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CEAC5" w14:textId="77777777" w:rsidR="00414412" w:rsidRDefault="007D4295">
      <w:pPr>
        <w:pStyle w:val="Heading"/>
      </w:pPr>
      <w:r>
        <w:t>IHE Change Proposal</w:t>
      </w:r>
    </w:p>
    <w:p w14:paraId="51873BF1" w14:textId="77777777" w:rsidR="00414412" w:rsidRDefault="007D4295">
      <w:pPr>
        <w:pStyle w:val="BodyText"/>
        <w:tabs>
          <w:tab w:val="left" w:pos="9180"/>
        </w:tabs>
        <w:rPr>
          <w:strike/>
        </w:rPr>
      </w:pPr>
      <w:r>
        <w:rPr>
          <w:strike/>
        </w:rPr>
        <w:tab/>
      </w:r>
    </w:p>
    <w:p w14:paraId="4C13651E" w14:textId="77777777" w:rsidR="00414412" w:rsidRDefault="007D4295">
      <w:pPr>
        <w:pStyle w:val="TableTitle"/>
      </w:pPr>
      <w:r>
        <w:t>Tracking information:</w:t>
      </w:r>
    </w:p>
    <w:tbl>
      <w:tblPr>
        <w:tblW w:w="9586" w:type="dxa"/>
        <w:tblInd w:w="-11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788"/>
        <w:gridCol w:w="4798"/>
      </w:tblGrid>
      <w:tr w:rsidR="00414412" w14:paraId="56E7081B" w14:textId="77777777">
        <w:tc>
          <w:tcPr>
            <w:tcW w:w="4788" w:type="dxa"/>
            <w:tcBorders>
              <w:top w:val="single" w:sz="4" w:space="0" w:color="000000"/>
              <w:left w:val="single" w:sz="4" w:space="0" w:color="000000"/>
              <w:bottom w:val="single" w:sz="4" w:space="0" w:color="000000"/>
            </w:tcBorders>
            <w:shd w:val="clear" w:color="auto" w:fill="auto"/>
          </w:tcPr>
          <w:p w14:paraId="1F1AFE33" w14:textId="77777777" w:rsidR="00414412" w:rsidRDefault="007D4295">
            <w:pPr>
              <w:pStyle w:val="TableEntry"/>
            </w:pPr>
            <w:r>
              <w:t>IHE Domain</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6996BD3F" w14:textId="77777777" w:rsidR="00414412" w:rsidRDefault="007D4295">
            <w:pPr>
              <w:pStyle w:val="TableEntry"/>
            </w:pPr>
            <w:r>
              <w:t>Patient Care Device (PCD) Subdomain in Device Domain</w:t>
            </w:r>
          </w:p>
        </w:tc>
      </w:tr>
      <w:tr w:rsidR="00414412" w14:paraId="127C8577" w14:textId="77777777">
        <w:tc>
          <w:tcPr>
            <w:tcW w:w="4788" w:type="dxa"/>
            <w:tcBorders>
              <w:top w:val="single" w:sz="4" w:space="0" w:color="000000"/>
              <w:left w:val="single" w:sz="4" w:space="0" w:color="000000"/>
              <w:bottom w:val="single" w:sz="4" w:space="0" w:color="000000"/>
            </w:tcBorders>
            <w:shd w:val="clear" w:color="auto" w:fill="auto"/>
          </w:tcPr>
          <w:p w14:paraId="782ED510" w14:textId="77777777" w:rsidR="00414412" w:rsidRDefault="007D4295">
            <w:pPr>
              <w:pStyle w:val="TableEntry"/>
            </w:pPr>
            <w:r>
              <w:t>Change Proposal ID: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37B0BE2D" w14:textId="77777777" w:rsidR="00414412" w:rsidRDefault="007D4295">
            <w:pPr>
              <w:pStyle w:val="TableEntry"/>
            </w:pPr>
            <w:r>
              <w:t>CP-PCD-150</w:t>
            </w:r>
          </w:p>
        </w:tc>
      </w:tr>
      <w:tr w:rsidR="00414412" w14:paraId="6F626F9F" w14:textId="77777777">
        <w:tc>
          <w:tcPr>
            <w:tcW w:w="4788" w:type="dxa"/>
            <w:tcBorders>
              <w:top w:val="single" w:sz="4" w:space="0" w:color="000000"/>
              <w:left w:val="single" w:sz="4" w:space="0" w:color="000000"/>
              <w:bottom w:val="single" w:sz="4" w:space="0" w:color="000000"/>
            </w:tcBorders>
            <w:shd w:val="clear" w:color="auto" w:fill="auto"/>
          </w:tcPr>
          <w:p w14:paraId="4E18D3C9" w14:textId="77777777" w:rsidR="00414412" w:rsidRDefault="007D4295">
            <w:pPr>
              <w:pStyle w:val="TableEntry"/>
            </w:pPr>
            <w:r>
              <w:t>Change Proposal Status:</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2981B0A5" w14:textId="77777777" w:rsidR="00414412" w:rsidRDefault="007D4295">
            <w:pPr>
              <w:pStyle w:val="TableEntry"/>
            </w:pPr>
            <w:r>
              <w:t>Submitted</w:t>
            </w:r>
          </w:p>
        </w:tc>
      </w:tr>
      <w:tr w:rsidR="00414412" w14:paraId="00B8A7D6" w14:textId="77777777">
        <w:tc>
          <w:tcPr>
            <w:tcW w:w="4788" w:type="dxa"/>
            <w:tcBorders>
              <w:top w:val="single" w:sz="4" w:space="0" w:color="000000"/>
              <w:left w:val="single" w:sz="4" w:space="0" w:color="000000"/>
              <w:bottom w:val="single" w:sz="4" w:space="0" w:color="000000"/>
            </w:tcBorders>
            <w:shd w:val="clear" w:color="auto" w:fill="auto"/>
          </w:tcPr>
          <w:p w14:paraId="2E61241E" w14:textId="77777777" w:rsidR="00414412" w:rsidRDefault="007D4295">
            <w:pPr>
              <w:pStyle w:val="TableEntry"/>
            </w:pPr>
            <w:r>
              <w:t>Date of last update:</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5FB36864" w14:textId="77777777" w:rsidR="00414412" w:rsidRDefault="007D4295">
            <w:pPr>
              <w:pStyle w:val="TableEntry"/>
            </w:pPr>
            <w:r>
              <w:t>2020-10-22</w:t>
            </w:r>
          </w:p>
        </w:tc>
      </w:tr>
      <w:tr w:rsidR="00414412" w14:paraId="203F6010" w14:textId="77777777">
        <w:tc>
          <w:tcPr>
            <w:tcW w:w="4788" w:type="dxa"/>
            <w:tcBorders>
              <w:top w:val="single" w:sz="4" w:space="0" w:color="000000"/>
              <w:left w:val="single" w:sz="4" w:space="0" w:color="000000"/>
              <w:bottom w:val="single" w:sz="4" w:space="0" w:color="000000"/>
            </w:tcBorders>
            <w:shd w:val="clear" w:color="auto" w:fill="auto"/>
          </w:tcPr>
          <w:p w14:paraId="470B789C" w14:textId="77777777" w:rsidR="00414412" w:rsidRDefault="007D4295">
            <w:pPr>
              <w:pStyle w:val="TableEntry"/>
            </w:pPr>
            <w:r>
              <w:t>Person assigned: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1E1ED789" w14:textId="77777777" w:rsidR="00414412" w:rsidRDefault="007D4295">
            <w:pPr>
              <w:pStyle w:val="TableEntry"/>
              <w:rPr>
                <w:szCs w:val="18"/>
              </w:rPr>
            </w:pPr>
            <w:r>
              <w:rPr>
                <w:szCs w:val="18"/>
              </w:rPr>
              <w:t>Monroe Pattillo</w:t>
            </w:r>
          </w:p>
        </w:tc>
      </w:tr>
    </w:tbl>
    <w:p w14:paraId="3A550F9E" w14:textId="77777777" w:rsidR="00414412" w:rsidRDefault="00414412">
      <w:pPr>
        <w:pStyle w:val="TableTitle"/>
      </w:pPr>
    </w:p>
    <w:p w14:paraId="6C44F703" w14:textId="77777777" w:rsidR="00414412" w:rsidRDefault="007D4295">
      <w:pPr>
        <w:pStyle w:val="TableTitle"/>
      </w:pPr>
      <w:r>
        <w:t>Change Proposal Summary information:</w:t>
      </w:r>
    </w:p>
    <w:tbl>
      <w:tblPr>
        <w:tblW w:w="958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4788"/>
        <w:gridCol w:w="4798"/>
      </w:tblGrid>
      <w:tr w:rsidR="00414412" w14:paraId="236B468C" w14:textId="77777777">
        <w:trPr>
          <w:cantSplit/>
        </w:trPr>
        <w:tc>
          <w:tcPr>
            <w:tcW w:w="9586" w:type="dxa"/>
            <w:gridSpan w:val="2"/>
            <w:tcBorders>
              <w:top w:val="single" w:sz="4" w:space="0" w:color="000000"/>
              <w:left w:val="single" w:sz="4" w:space="0" w:color="000000"/>
              <w:bottom w:val="single" w:sz="4" w:space="0" w:color="000000"/>
              <w:right w:val="single" w:sz="4" w:space="0" w:color="000000"/>
            </w:tcBorders>
            <w:shd w:val="clear" w:color="auto" w:fill="auto"/>
          </w:tcPr>
          <w:p w14:paraId="2CC52D65" w14:textId="77777777" w:rsidR="00414412" w:rsidRDefault="007D4295">
            <w:pPr>
              <w:pStyle w:val="Header"/>
              <w:jc w:val="center"/>
              <w:rPr>
                <w:rFonts w:ascii="Arial" w:hAnsi="Arial" w:cs="Arial"/>
                <w:b/>
                <w:iCs/>
                <w:sz w:val="20"/>
              </w:rPr>
            </w:pPr>
            <w:r>
              <w:rPr>
                <w:rFonts w:ascii="Arial" w:hAnsi="Arial" w:cs="Arial"/>
                <w:b/>
                <w:iCs/>
                <w:sz w:val="20"/>
              </w:rPr>
              <w:t>Change PCD-05 field requirements and MSH-16 in PCD-04</w:t>
            </w:r>
          </w:p>
        </w:tc>
      </w:tr>
      <w:tr w:rsidR="00414412" w14:paraId="2D917EB4" w14:textId="77777777">
        <w:tc>
          <w:tcPr>
            <w:tcW w:w="4788" w:type="dxa"/>
            <w:tcBorders>
              <w:top w:val="single" w:sz="4" w:space="0" w:color="000000"/>
              <w:left w:val="single" w:sz="4" w:space="0" w:color="000000"/>
              <w:bottom w:val="single" w:sz="4" w:space="0" w:color="000000"/>
            </w:tcBorders>
            <w:shd w:val="clear" w:color="auto" w:fill="auto"/>
          </w:tcPr>
          <w:p w14:paraId="657E2DF1" w14:textId="77777777" w:rsidR="00414412" w:rsidRDefault="007D4295">
            <w:pPr>
              <w:pStyle w:val="TableEntry"/>
            </w:pPr>
            <w:r>
              <w:t>Submitter’s Name(s) and e-mail address(es):</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34B56286" w14:textId="77777777" w:rsidR="00414412" w:rsidRDefault="007D4295">
            <w:pPr>
              <w:pStyle w:val="TableEntry"/>
            </w:pPr>
            <w:r>
              <w:t>Monroe Pattillo, monroe.pattillo@gmail.com</w:t>
            </w:r>
          </w:p>
        </w:tc>
      </w:tr>
      <w:tr w:rsidR="00414412" w14:paraId="7E3EC3A2" w14:textId="77777777">
        <w:tc>
          <w:tcPr>
            <w:tcW w:w="4788" w:type="dxa"/>
            <w:tcBorders>
              <w:top w:val="single" w:sz="4" w:space="0" w:color="000000"/>
              <w:left w:val="single" w:sz="4" w:space="0" w:color="000000"/>
              <w:bottom w:val="single" w:sz="4" w:space="0" w:color="000000"/>
            </w:tcBorders>
            <w:shd w:val="clear" w:color="auto" w:fill="auto"/>
          </w:tcPr>
          <w:p w14:paraId="41B698EE" w14:textId="77777777" w:rsidR="00414412" w:rsidRDefault="007D4295">
            <w:pPr>
              <w:pStyle w:val="TableEntry"/>
            </w:pPr>
            <w:r>
              <w:t>Submission Date:</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1515BEA0" w14:textId="77777777" w:rsidR="00414412" w:rsidRDefault="007D4295">
            <w:pPr>
              <w:pStyle w:val="TableEntry"/>
            </w:pPr>
            <w:r>
              <w:t>xxxx-xx-xx</w:t>
            </w:r>
          </w:p>
        </w:tc>
      </w:tr>
      <w:tr w:rsidR="00414412" w14:paraId="4B701900" w14:textId="77777777">
        <w:tc>
          <w:tcPr>
            <w:tcW w:w="4788" w:type="dxa"/>
            <w:tcBorders>
              <w:top w:val="single" w:sz="4" w:space="0" w:color="000000"/>
              <w:left w:val="single" w:sz="4" w:space="0" w:color="000000"/>
              <w:bottom w:val="single" w:sz="4" w:space="0" w:color="000000"/>
            </w:tcBorders>
            <w:shd w:val="clear" w:color="auto" w:fill="auto"/>
          </w:tcPr>
          <w:p w14:paraId="48E410F1" w14:textId="77777777" w:rsidR="00414412" w:rsidRDefault="007D4295">
            <w:pPr>
              <w:pStyle w:val="TableEntry"/>
            </w:pPr>
            <w:r>
              <w:t>Integration Profile(s) affected: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706AC763" w14:textId="77777777" w:rsidR="00414412" w:rsidRDefault="007D4295">
            <w:pPr>
              <w:pStyle w:val="TableEntry"/>
            </w:pPr>
            <w:r>
              <w:t xml:space="preserve">Alert </w:t>
            </w:r>
            <w:r>
              <w:t>Communication Management (ACM)</w:t>
            </w:r>
          </w:p>
        </w:tc>
      </w:tr>
      <w:tr w:rsidR="00414412" w14:paraId="38C7271F" w14:textId="77777777">
        <w:tc>
          <w:tcPr>
            <w:tcW w:w="4788" w:type="dxa"/>
            <w:tcBorders>
              <w:top w:val="single" w:sz="4" w:space="0" w:color="000000"/>
              <w:left w:val="single" w:sz="4" w:space="0" w:color="000000"/>
              <w:bottom w:val="single" w:sz="4" w:space="0" w:color="000000"/>
            </w:tcBorders>
            <w:shd w:val="clear" w:color="auto" w:fill="auto"/>
          </w:tcPr>
          <w:p w14:paraId="267BEE8B" w14:textId="77777777" w:rsidR="00414412" w:rsidRDefault="007D4295">
            <w:pPr>
              <w:pStyle w:val="TableEntry"/>
            </w:pPr>
            <w:r>
              <w:t>Actor(s) affected: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7B7B004B" w14:textId="77777777" w:rsidR="00414412" w:rsidRDefault="007D4295">
            <w:pPr>
              <w:pStyle w:val="TableEntry"/>
              <w:rPr>
                <w:color w:val="FF0000"/>
              </w:rPr>
            </w:pPr>
            <w:r>
              <w:t>Alert Reporter (AR) and Alert Manager (AM)</w:t>
            </w:r>
          </w:p>
        </w:tc>
      </w:tr>
      <w:tr w:rsidR="00414412" w14:paraId="3B4D5450" w14:textId="77777777">
        <w:trPr>
          <w:cantSplit/>
        </w:trPr>
        <w:tc>
          <w:tcPr>
            <w:tcW w:w="4788" w:type="dxa"/>
            <w:tcBorders>
              <w:top w:val="single" w:sz="4" w:space="0" w:color="000000"/>
              <w:left w:val="single" w:sz="4" w:space="0" w:color="000000"/>
              <w:bottom w:val="single" w:sz="4" w:space="0" w:color="000000"/>
            </w:tcBorders>
            <w:shd w:val="clear" w:color="auto" w:fill="auto"/>
          </w:tcPr>
          <w:p w14:paraId="4B349D10" w14:textId="77777777" w:rsidR="00414412" w:rsidRDefault="007D4295">
            <w:pPr>
              <w:pStyle w:val="TableEntry"/>
            </w:pPr>
            <w:r>
              <w:t>IHE Technical Framework or Supplement modified: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3C7A4F9F" w14:textId="77777777" w:rsidR="00414412" w:rsidRDefault="007D4295">
            <w:pPr>
              <w:pStyle w:val="TableEntry"/>
            </w:pPr>
            <w:r>
              <w:t>ACM profile in PCD TF revision 9.0, dated Dec 12, 2019</w:t>
            </w:r>
          </w:p>
        </w:tc>
      </w:tr>
      <w:tr w:rsidR="00414412" w14:paraId="2C330D5B" w14:textId="77777777">
        <w:tc>
          <w:tcPr>
            <w:tcW w:w="4788" w:type="dxa"/>
            <w:tcBorders>
              <w:top w:val="single" w:sz="4" w:space="0" w:color="000000"/>
              <w:left w:val="single" w:sz="4" w:space="0" w:color="000000"/>
              <w:bottom w:val="single" w:sz="4" w:space="0" w:color="000000"/>
            </w:tcBorders>
            <w:shd w:val="clear" w:color="auto" w:fill="auto"/>
          </w:tcPr>
          <w:p w14:paraId="20A85AD4" w14:textId="77777777" w:rsidR="00414412" w:rsidRDefault="007D4295">
            <w:pPr>
              <w:pStyle w:val="TableEntry"/>
            </w:pPr>
            <w:r>
              <w:t>Volume(s) and Section(s) affected: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75B141B7" w14:textId="77777777" w:rsidR="00414412" w:rsidRDefault="007D4295">
            <w:pPr>
              <w:pStyle w:val="TableEntry"/>
            </w:pPr>
            <w:r>
              <w:t xml:space="preserve">IHE PCD TF Vol 2, </w:t>
            </w:r>
            <w:r>
              <w:t>Table 3.5.4.1.4-1 in section 3.5.4.1 and adding text after that table and changing text in appendix B.1</w:t>
            </w:r>
          </w:p>
        </w:tc>
      </w:tr>
      <w:tr w:rsidR="00414412" w14:paraId="6DD75BCB" w14:textId="77777777">
        <w:trPr>
          <w:cantSplit/>
        </w:trPr>
        <w:tc>
          <w:tcPr>
            <w:tcW w:w="9586" w:type="dxa"/>
            <w:gridSpan w:val="2"/>
            <w:tcBorders>
              <w:top w:val="single" w:sz="4" w:space="0" w:color="000000"/>
              <w:left w:val="single" w:sz="4" w:space="0" w:color="000000"/>
              <w:bottom w:val="single" w:sz="4" w:space="0" w:color="000000"/>
              <w:right w:val="single" w:sz="4" w:space="0" w:color="000000"/>
            </w:tcBorders>
            <w:shd w:val="clear" w:color="auto" w:fill="auto"/>
          </w:tcPr>
          <w:p w14:paraId="3D9429E9" w14:textId="77777777" w:rsidR="00414412" w:rsidRDefault="007D4295">
            <w:pPr>
              <w:pStyle w:val="TableEntry"/>
              <w:rPr>
                <w:sz w:val="20"/>
              </w:rPr>
            </w:pPr>
            <w:r>
              <w:rPr>
                <w:sz w:val="20"/>
              </w:rPr>
              <w:t>Rationale for Change:</w:t>
            </w:r>
          </w:p>
          <w:p w14:paraId="78189EEA" w14:textId="77777777" w:rsidR="00414412" w:rsidRDefault="007D4295">
            <w:pPr>
              <w:pStyle w:val="TableEntry"/>
              <w:rPr>
                <w:sz w:val="20"/>
              </w:rPr>
            </w:pPr>
            <w:r>
              <w:rPr>
                <w:sz w:val="20"/>
              </w:rPr>
              <w:t xml:space="preserve">The ACM PCD-05 Report Alert Status transaction maps to an HL7 v2.8.2 ORA R41 Observation Report Alert </w:t>
            </w:r>
            <w:r>
              <w:rPr>
                <w:sz w:val="20"/>
              </w:rPr>
              <w:t>Acknowledgement.  The HL7 ORA message type requires an MSA segment.  The current ACM PCD-05 does not require an MSA segment.  This CP adds the MSA segment.</w:t>
            </w:r>
          </w:p>
          <w:p w14:paraId="63957DF4" w14:textId="77777777" w:rsidR="00414412" w:rsidRDefault="007D4295">
            <w:pPr>
              <w:pStyle w:val="TableEntry"/>
              <w:rPr>
                <w:sz w:val="20"/>
              </w:rPr>
            </w:pPr>
            <w:r>
              <w:rPr>
                <w:sz w:val="20"/>
              </w:rPr>
              <w:t>The ACM profile supports multiple use cases not all of which involve patients (PID) and a patient as</w:t>
            </w:r>
            <w:r>
              <w:rPr>
                <w:sz w:val="20"/>
              </w:rPr>
              <w:t>signed location (PV1).  Change the usage and cardinality to reflect the optionality of PID and PV1 segments in the [PCD-05] transaction.</w:t>
            </w:r>
          </w:p>
          <w:p w14:paraId="790DD8B9" w14:textId="77777777" w:rsidR="00414412" w:rsidRDefault="007D4295">
            <w:pPr>
              <w:pStyle w:val="TableEntry"/>
              <w:rPr>
                <w:sz w:val="20"/>
              </w:rPr>
            </w:pPr>
            <w:r>
              <w:rPr>
                <w:sz w:val="20"/>
              </w:rPr>
              <w:t>The HL7 ORA R41 message does not allow for the inclusion of OBX segments.  The ACM profile allows for the optional incl</w:t>
            </w:r>
            <w:r>
              <w:rPr>
                <w:sz w:val="20"/>
              </w:rPr>
              <w:t>usion of OBX segment instances to convey additional information.  This CP extends the HL7 ORA R41 definition by allowing for the optional inclusion of OBX segment instances.  The below indicated table from the ACM profile already includes optional OBX inst</w:t>
            </w:r>
            <w:r>
              <w:rPr>
                <w:sz w:val="20"/>
              </w:rPr>
              <w:t>ances.</w:t>
            </w:r>
          </w:p>
          <w:p w14:paraId="23401E4E" w14:textId="77777777" w:rsidR="00414412" w:rsidRDefault="007D4295">
            <w:pPr>
              <w:pStyle w:val="TableEntry"/>
              <w:rPr>
                <w:sz w:val="20"/>
              </w:rPr>
            </w:pPr>
            <w:r>
              <w:rPr>
                <w:sz w:val="20"/>
              </w:rPr>
              <w:t>And in the PCD-04 transaction the MSH-16 Application Acknowledgement Type field the ACM profile currently indicates the field to contain NE for PCD-05 messages, while is should use MSH-16 in PCD-04 to indicate whether or not the AR actor is prepared</w:t>
            </w:r>
            <w:r>
              <w:rPr>
                <w:sz w:val="20"/>
              </w:rPr>
              <w:t xml:space="preserve"> to receive PCD-05 messages.  Set MSH-16 of the PCD-04 to other than NE to receive PCD-05 (and other error indications) and set it to NE to indicate to the AM actor that PCD-05 transactions are not to be sent.</w:t>
            </w:r>
          </w:p>
        </w:tc>
      </w:tr>
    </w:tbl>
    <w:p w14:paraId="79E96331" w14:textId="77777777" w:rsidR="00414412" w:rsidRDefault="007D4295">
      <w:pPr>
        <w:pStyle w:val="EditorInstructions"/>
        <w:keepNext/>
        <w:keepLines/>
      </w:pPr>
      <w:r>
        <w:lastRenderedPageBreak/>
        <w:t xml:space="preserve">Section 3.5.4.1.4 </w:t>
      </w:r>
      <w:r>
        <w:rPr>
          <w:b/>
          <w:bCs/>
          <w:sz w:val="23"/>
          <w:szCs w:val="23"/>
        </w:rPr>
        <w:t xml:space="preserve">Table </w:t>
      </w:r>
      <w:r>
        <w:rPr>
          <w:b/>
          <w:bCs/>
          <w:sz w:val="23"/>
          <w:szCs w:val="23"/>
        </w:rPr>
        <w:t xml:space="preserve">3.5.4.1.4.-1: </w:t>
      </w:r>
      <w:bookmarkStart w:id="0" w:name="OLE_LINK1"/>
      <w:bookmarkStart w:id="1" w:name="OLE_LINK2"/>
      <w:r>
        <w:rPr>
          <w:b/>
          <w:bCs/>
          <w:sz w:val="23"/>
          <w:szCs w:val="23"/>
        </w:rPr>
        <w:t>ORA^R41^ORA_R41 static definition</w:t>
      </w:r>
      <w:bookmarkEnd w:id="0"/>
      <w:bookmarkEnd w:id="1"/>
      <w:r>
        <w:t>, add MSA segment below the MSH segment row of table, after line 1310, on page 51to include the following:</w:t>
      </w:r>
    </w:p>
    <w:p w14:paraId="098F5719" w14:textId="77777777" w:rsidR="00414412" w:rsidRDefault="00414412">
      <w:pPr>
        <w:pStyle w:val="Default"/>
        <w:keepNext/>
        <w:keepLines/>
        <w:rPr>
          <w:sz w:val="23"/>
          <w:szCs w:val="23"/>
        </w:rPr>
      </w:pPr>
    </w:p>
    <w:p w14:paraId="5B0D1D24" w14:textId="77777777" w:rsidR="00414412" w:rsidRDefault="007D4295">
      <w:pPr>
        <w:pStyle w:val="Default"/>
        <w:keepNext/>
        <w:keepLines/>
        <w:rPr>
          <w:sz w:val="23"/>
          <w:szCs w:val="23"/>
        </w:rPr>
      </w:pPr>
      <w:r>
        <w:rPr>
          <w:sz w:val="23"/>
          <w:szCs w:val="23"/>
        </w:rPr>
        <w:t>MSA</w:t>
      </w:r>
      <w:r>
        <w:rPr>
          <w:sz w:val="23"/>
          <w:szCs w:val="23"/>
        </w:rPr>
        <w:tab/>
      </w:r>
      <w:bookmarkStart w:id="2" w:name="_Hlk98705182"/>
      <w:bookmarkStart w:id="3" w:name="OLE_LINK3"/>
      <w:r>
        <w:rPr>
          <w:sz w:val="23"/>
          <w:szCs w:val="23"/>
        </w:rPr>
        <w:t>Message Acknowledgement</w:t>
      </w:r>
      <w:bookmarkEnd w:id="2"/>
      <w:bookmarkEnd w:id="3"/>
      <w:r>
        <w:rPr>
          <w:sz w:val="23"/>
          <w:szCs w:val="23"/>
        </w:rPr>
        <w:tab/>
        <w:t>R</w:t>
      </w:r>
      <w:r>
        <w:rPr>
          <w:sz w:val="23"/>
          <w:szCs w:val="23"/>
        </w:rPr>
        <w:tab/>
        <w:t>[1..1]</w:t>
      </w:r>
      <w:r>
        <w:rPr>
          <w:sz w:val="23"/>
          <w:szCs w:val="23"/>
        </w:rPr>
        <w:tab/>
        <w:t>2.14.8</w:t>
      </w:r>
    </w:p>
    <w:p w14:paraId="2123DDB9" w14:textId="77777777" w:rsidR="00414412" w:rsidRDefault="00414412">
      <w:pPr>
        <w:pStyle w:val="Default"/>
        <w:keepNext/>
        <w:keepLines/>
        <w:rPr>
          <w:sz w:val="23"/>
          <w:szCs w:val="23"/>
        </w:rPr>
      </w:pPr>
    </w:p>
    <w:p w14:paraId="77FDCE68" w14:textId="77777777" w:rsidR="00414412" w:rsidRDefault="007D4295">
      <w:pPr>
        <w:pStyle w:val="Default"/>
        <w:keepNext/>
        <w:keepLines/>
      </w:pPr>
      <w:r>
        <w:t>Change the following rows of the table.</w:t>
      </w:r>
    </w:p>
    <w:p w14:paraId="5EE46191" w14:textId="77777777" w:rsidR="00414412" w:rsidRDefault="00414412">
      <w:pPr>
        <w:pStyle w:val="Default"/>
        <w:keepNext/>
        <w:keepLines/>
      </w:pPr>
    </w:p>
    <w:p w14:paraId="7A7FE631" w14:textId="77777777" w:rsidR="00414412" w:rsidRDefault="007D4295">
      <w:pPr>
        <w:pStyle w:val="Default"/>
        <w:keepNext/>
        <w:keepLines/>
      </w:pPr>
      <w:r>
        <w:t>PID</w:t>
      </w:r>
      <w:r>
        <w:tab/>
      </w:r>
      <w:r>
        <w:t>Patient Identification Segment</w:t>
      </w:r>
      <w:r>
        <w:tab/>
        <w:t>O</w:t>
      </w:r>
      <w:r>
        <w:tab/>
        <w:t>[0..1]</w:t>
      </w:r>
      <w:r>
        <w:tab/>
        <w:t>3.4.2</w:t>
      </w:r>
    </w:p>
    <w:p w14:paraId="17AEE2EF" w14:textId="77777777" w:rsidR="00414412" w:rsidRDefault="00414412">
      <w:pPr>
        <w:pStyle w:val="Default"/>
        <w:keepNext/>
        <w:keepLines/>
      </w:pPr>
    </w:p>
    <w:p w14:paraId="2B44AB7D" w14:textId="77777777" w:rsidR="00414412" w:rsidRDefault="007D4295">
      <w:pPr>
        <w:pStyle w:val="Default"/>
        <w:keepNext/>
        <w:keepLines/>
      </w:pPr>
      <w:r>
        <w:t>PV1</w:t>
      </w:r>
      <w:r>
        <w:tab/>
        <w:t>Patient Visit Segment</w:t>
      </w:r>
      <w:r>
        <w:tab/>
        <w:t>O</w:t>
      </w:r>
      <w:r>
        <w:tab/>
        <w:t>[0..1]</w:t>
      </w:r>
      <w:r>
        <w:tab/>
        <w:t>3.4.3</w:t>
      </w:r>
    </w:p>
    <w:p w14:paraId="0473AAE3" w14:textId="77777777" w:rsidR="00414412" w:rsidRDefault="007D4295">
      <w:pPr>
        <w:pStyle w:val="EditorInstructions"/>
        <w:keepNext/>
        <w:keepLines/>
      </w:pPr>
      <w:r>
        <w:t>Add the following after the paragraph ending at line 1313 on page 51:</w:t>
      </w:r>
    </w:p>
    <w:p w14:paraId="646F7D16" w14:textId="77777777" w:rsidR="00414412" w:rsidRDefault="00414412">
      <w:pPr>
        <w:pStyle w:val="Default"/>
        <w:rPr>
          <w:sz w:val="23"/>
          <w:szCs w:val="23"/>
        </w:rPr>
      </w:pPr>
      <w:bookmarkStart w:id="4" w:name="OLE_LINK4"/>
      <w:bookmarkStart w:id="5" w:name="OLE_LINK5"/>
    </w:p>
    <w:p w14:paraId="241E9ECB" w14:textId="77777777" w:rsidR="00414412" w:rsidRDefault="007D4295">
      <w:pPr>
        <w:pStyle w:val="Default"/>
      </w:pPr>
      <w:r>
        <w:rPr>
          <w:sz w:val="23"/>
          <w:szCs w:val="23"/>
        </w:rPr>
        <w:t>For traceability the value in the MSA-2 Message Control ID field shall be the value of the MSH-10</w:t>
      </w:r>
      <w:r>
        <w:rPr>
          <w:sz w:val="23"/>
          <w:szCs w:val="23"/>
        </w:rPr>
        <w:t xml:space="preserve"> Message Control ID field of the original PCD-04 message where the alert phase is indicted as start, start only, or present and not the ID of any updates to that [PCD-04] message or of any [PCD-05] transaction message instances.  The content of MSA-2 is th</w:t>
      </w:r>
      <w:r>
        <w:rPr>
          <w:sz w:val="23"/>
          <w:szCs w:val="23"/>
        </w:rPr>
        <w:t>e identification of the [PCD-04] transaction for which the [PCD-05] transaction is providing application level acknowledgement and there can be more than one given the one-to-many relationship between [PCD-04] and [PCD-05] transactions.</w:t>
      </w:r>
    </w:p>
    <w:p w14:paraId="45BE9781" w14:textId="77777777" w:rsidR="00414412" w:rsidRDefault="00414412">
      <w:pPr>
        <w:pStyle w:val="Default"/>
        <w:rPr>
          <w:sz w:val="23"/>
          <w:szCs w:val="23"/>
        </w:rPr>
      </w:pPr>
    </w:p>
    <w:p w14:paraId="3BC70DD3" w14:textId="77777777" w:rsidR="00414412" w:rsidRDefault="007D4295">
      <w:pPr>
        <w:pStyle w:val="Default"/>
      </w:pPr>
      <w:r>
        <w:rPr>
          <w:sz w:val="23"/>
          <w:szCs w:val="23"/>
        </w:rPr>
        <w:t>For HL7 message re</w:t>
      </w:r>
      <w:r>
        <w:rPr>
          <w:sz w:val="23"/>
          <w:szCs w:val="23"/>
        </w:rPr>
        <w:t>ceipt acknowledgement of the [PCD-05] transaction the AR actor should use the contents of the MSH-10 Message Control ID field of the [PCD-05] transaction.</w:t>
      </w:r>
    </w:p>
    <w:p w14:paraId="5E6A28F3" w14:textId="77777777" w:rsidR="00414412" w:rsidRDefault="00414412">
      <w:pPr>
        <w:pStyle w:val="Default"/>
        <w:rPr>
          <w:sz w:val="23"/>
          <w:szCs w:val="23"/>
        </w:rPr>
      </w:pPr>
    </w:p>
    <w:p w14:paraId="29B1CF31" w14:textId="77777777" w:rsidR="00414412" w:rsidRDefault="007D4295">
      <w:pPr>
        <w:pStyle w:val="Default"/>
        <w:rPr>
          <w:sz w:val="23"/>
          <w:szCs w:val="23"/>
        </w:rPr>
      </w:pPr>
      <w:r>
        <w:rPr>
          <w:sz w:val="23"/>
          <w:szCs w:val="23"/>
        </w:rPr>
        <w:t>The Alert Manager (AM) actor does not have the awareness to realistically determine the total number</w:t>
      </w:r>
      <w:r>
        <w:rPr>
          <w:sz w:val="23"/>
          <w:szCs w:val="23"/>
        </w:rPr>
        <w:t xml:space="preserve"> of expected or outstanding [PCD-05] instances.  This is due to the ability of the AC actor to instantiate additional alert disseminations and the endpoint communication devices being an unknown mix of those both supporting and not supporting specific resp</w:t>
      </w:r>
      <w:r>
        <w:rPr>
          <w:sz w:val="23"/>
          <w:szCs w:val="23"/>
        </w:rPr>
        <w:t>onses (Delivery confirmation, Read receipt).  Additionally, polling is discouraged as it introduces unwanted delays in patient life safety notifications.  Therefore the MSA-7 Message Waiting Number and MSA-8 Message Waiting Priority fields shall both be em</w:t>
      </w:r>
      <w:r>
        <w:rPr>
          <w:sz w:val="23"/>
          <w:szCs w:val="23"/>
        </w:rPr>
        <w:t>pty.</w:t>
      </w:r>
    </w:p>
    <w:bookmarkEnd w:id="4"/>
    <w:bookmarkEnd w:id="5"/>
    <w:p w14:paraId="25664745" w14:textId="77777777" w:rsidR="00414412" w:rsidRDefault="00414412">
      <w:pPr>
        <w:pStyle w:val="Default"/>
        <w:rPr>
          <w:sz w:val="23"/>
          <w:szCs w:val="23"/>
        </w:rPr>
      </w:pPr>
    </w:p>
    <w:p w14:paraId="5FC8EBF2" w14:textId="77777777" w:rsidR="00414412" w:rsidRDefault="007D4295">
      <w:pPr>
        <w:pStyle w:val="EditorInstructions"/>
        <w:keepNext/>
        <w:keepLines/>
      </w:pPr>
      <w:r>
        <w:t>Change the existing paragraph at line 1974 on page 87:</w:t>
      </w:r>
    </w:p>
    <w:p w14:paraId="3A108080" w14:textId="77777777" w:rsidR="00414412" w:rsidRDefault="00414412">
      <w:pPr>
        <w:pStyle w:val="Default"/>
        <w:rPr>
          <w:sz w:val="23"/>
          <w:szCs w:val="23"/>
        </w:rPr>
      </w:pPr>
    </w:p>
    <w:p w14:paraId="261E8352" w14:textId="77777777" w:rsidR="00414412" w:rsidRDefault="007D4295">
      <w:pPr>
        <w:pStyle w:val="Default"/>
        <w:rPr>
          <w:b/>
          <w:i/>
          <w:sz w:val="23"/>
          <w:szCs w:val="23"/>
        </w:rPr>
      </w:pPr>
      <w:r>
        <w:rPr>
          <w:b/>
          <w:i/>
          <w:sz w:val="23"/>
          <w:szCs w:val="23"/>
        </w:rPr>
        <w:t>From</w:t>
      </w:r>
    </w:p>
    <w:p w14:paraId="7BA0ABF0" w14:textId="77777777" w:rsidR="00414412" w:rsidRDefault="007D4295">
      <w:pPr>
        <w:pStyle w:val="Default"/>
        <w:rPr>
          <w:sz w:val="23"/>
          <w:szCs w:val="23"/>
        </w:rPr>
      </w:pPr>
      <w:r>
        <w:rPr>
          <w:sz w:val="23"/>
          <w:szCs w:val="23"/>
        </w:rPr>
        <w:t xml:space="preserve">The PCD TF </w:t>
      </w:r>
      <w:bookmarkStart w:id="6" w:name="_Hlk98705390"/>
      <w:bookmarkStart w:id="7" w:name="OLE_LINK6"/>
      <w:bookmarkStart w:id="8" w:name="OLE_LINK7"/>
      <w:r>
        <w:rPr>
          <w:sz w:val="23"/>
          <w:szCs w:val="23"/>
        </w:rPr>
        <w:t>requires that this field be valued</w:t>
      </w:r>
      <w:bookmarkEnd w:id="6"/>
      <w:bookmarkEnd w:id="7"/>
      <w:bookmarkEnd w:id="8"/>
      <w:r>
        <w:rPr>
          <w:sz w:val="23"/>
          <w:szCs w:val="23"/>
        </w:rPr>
        <w:t xml:space="preserve"> as NE for [PCD-01], [PCD-04], and [PCD-05] transactions. The receiving system must send (or not send) acknowledgements as specified by this </w:t>
      </w:r>
      <w:r>
        <w:rPr>
          <w:sz w:val="23"/>
          <w:szCs w:val="23"/>
        </w:rPr>
        <w:t>field.</w:t>
      </w:r>
    </w:p>
    <w:p w14:paraId="5DF11D82" w14:textId="77777777" w:rsidR="00414412" w:rsidRDefault="00414412">
      <w:pPr>
        <w:pStyle w:val="Default"/>
        <w:rPr>
          <w:sz w:val="23"/>
          <w:szCs w:val="23"/>
        </w:rPr>
      </w:pPr>
    </w:p>
    <w:p w14:paraId="0605DFDE" w14:textId="77777777" w:rsidR="00414412" w:rsidRDefault="007D4295">
      <w:pPr>
        <w:pStyle w:val="Default"/>
        <w:rPr>
          <w:b/>
          <w:i/>
          <w:sz w:val="23"/>
          <w:szCs w:val="23"/>
        </w:rPr>
      </w:pPr>
      <w:r>
        <w:rPr>
          <w:b/>
          <w:i/>
          <w:sz w:val="23"/>
          <w:szCs w:val="23"/>
        </w:rPr>
        <w:t>To</w:t>
      </w:r>
    </w:p>
    <w:p w14:paraId="2A6A00BF" w14:textId="77777777" w:rsidR="00414412" w:rsidRDefault="007D4295">
      <w:pPr>
        <w:pStyle w:val="Default"/>
        <w:rPr>
          <w:sz w:val="23"/>
          <w:szCs w:val="23"/>
        </w:rPr>
      </w:pPr>
      <w:bookmarkStart w:id="9" w:name="OLE_LINK8"/>
      <w:bookmarkStart w:id="10" w:name="OLE_LINK9"/>
      <w:r>
        <w:rPr>
          <w:sz w:val="23"/>
          <w:szCs w:val="23"/>
        </w:rPr>
        <w:t>For [PCD-01] and [PCD-05] transactions this field shall be valued as NE.  The ACM AR actor should use MSH-16 in [PCD-04] to indicate whether or not the AR actor is prepared to receive [PCD-05] transactions.  Set MSH-16 of the [PCD-04] transactio</w:t>
      </w:r>
      <w:r>
        <w:rPr>
          <w:sz w:val="23"/>
          <w:szCs w:val="23"/>
        </w:rPr>
        <w:t xml:space="preserve">n to other than NE to receive [PCD-05] transaction (and other error indications) or set it to NE to indicate to the AM actor that [PCD-05] transactions are not to be sent.  The receiving system must send (or not send) acknowledgements as specified by this </w:t>
      </w:r>
      <w:r>
        <w:rPr>
          <w:sz w:val="23"/>
          <w:szCs w:val="23"/>
        </w:rPr>
        <w:t>field.</w:t>
      </w:r>
    </w:p>
    <w:bookmarkEnd w:id="9"/>
    <w:bookmarkEnd w:id="10"/>
    <w:p w14:paraId="3FAB6299" w14:textId="77777777" w:rsidR="00414412" w:rsidRDefault="00414412">
      <w:pPr>
        <w:pStyle w:val="Default"/>
        <w:rPr>
          <w:sz w:val="23"/>
          <w:szCs w:val="23"/>
        </w:rPr>
      </w:pPr>
    </w:p>
    <w:sectPr w:rsidR="00414412">
      <w:headerReference w:type="default" r:id="rId7"/>
      <w:footerReference w:type="default" r:id="rId8"/>
      <w:pgSz w:w="12240" w:h="15840"/>
      <w:pgMar w:top="1440" w:right="1080" w:bottom="1440" w:left="180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63BC7" w14:textId="77777777" w:rsidR="007D4295" w:rsidRDefault="007D4295">
      <w:pPr>
        <w:spacing w:before="0"/>
      </w:pPr>
      <w:r>
        <w:separator/>
      </w:r>
    </w:p>
  </w:endnote>
  <w:endnote w:type="continuationSeparator" w:id="0">
    <w:p w14:paraId="6A5F179A" w14:textId="77777777" w:rsidR="007D4295" w:rsidRDefault="007D429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A90D7" w14:textId="77777777" w:rsidR="00414412" w:rsidRDefault="007D4295">
    <w:pPr>
      <w:pStyle w:val="Footer"/>
      <w:jc w:val="center"/>
    </w:pPr>
    <w:r>
      <w:t xml:space="preserve">Page </w:t>
    </w:r>
    <w:r>
      <w:fldChar w:fldCharType="begin"/>
    </w:r>
    <w:r>
      <w:instrText>PAGE</w:instrText>
    </w:r>
    <w:r>
      <w:fldChar w:fldCharType="separate"/>
    </w:r>
    <w:r>
      <w:t>2</w:t>
    </w:r>
    <w:r>
      <w:fldChar w:fldCharType="end"/>
    </w:r>
    <w:r>
      <w:t xml:space="preserve"> of </w:t>
    </w:r>
    <w:r>
      <w:fldChar w:fldCharType="begin"/>
    </w:r>
    <w:r>
      <w:instrText>NUMPAGES \* ARABIC</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C3091" w14:textId="77777777" w:rsidR="007D4295" w:rsidRDefault="007D4295">
      <w:pPr>
        <w:spacing w:before="0"/>
      </w:pPr>
      <w:r>
        <w:separator/>
      </w:r>
    </w:p>
  </w:footnote>
  <w:footnote w:type="continuationSeparator" w:id="0">
    <w:p w14:paraId="1CBE6EF0" w14:textId="77777777" w:rsidR="007D4295" w:rsidRDefault="007D429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C2850" w14:textId="77777777" w:rsidR="00414412" w:rsidRDefault="007D4295">
    <w:pPr>
      <w:pStyle w:val="Header"/>
      <w:rPr>
        <w:rFonts w:ascii="Arial" w:hAnsi="Arial" w:cs="Arial"/>
        <w:i/>
        <w:iCs/>
        <w:sz w:val="16"/>
      </w:rPr>
    </w:pPr>
    <w:r>
      <w:rPr>
        <w:rFonts w:ascii="Arial" w:hAnsi="Arial" w:cs="Arial"/>
        <w:i/>
        <w:iCs/>
        <w:sz w:val="16"/>
      </w:rPr>
      <w:fldChar w:fldCharType="begin"/>
    </w:r>
    <w:r>
      <w:rPr>
        <w:rFonts w:ascii="Arial" w:hAnsi="Arial" w:cs="Arial"/>
        <w:i/>
        <w:iCs/>
        <w:sz w:val="16"/>
      </w:rPr>
      <w:instrText>FILENAME</w:instrText>
    </w:r>
    <w:r>
      <w:rPr>
        <w:rFonts w:ascii="Arial" w:hAnsi="Arial" w:cs="Arial"/>
        <w:i/>
        <w:iCs/>
        <w:sz w:val="16"/>
      </w:rPr>
      <w:fldChar w:fldCharType="separate"/>
    </w:r>
    <w:r>
      <w:rPr>
        <w:rFonts w:ascii="Arial" w:hAnsi="Arial" w:cs="Arial"/>
        <w:i/>
        <w:iCs/>
        <w:sz w:val="16"/>
      </w:rPr>
      <w:t>CP-PCD-nnn-MWP_PCDTF_ACM_Change PCD-05 field requirements and MSH-16 in PCD-04 03.doc</w:t>
    </w:r>
    <w:r>
      <w:rPr>
        <w:rFonts w:ascii="Arial" w:hAnsi="Arial" w:cs="Arial"/>
        <w:i/>
        <w:iCs/>
        <w:sz w:val="16"/>
      </w:rPr>
      <w:fldChar w:fldCharType="end"/>
    </w:r>
  </w:p>
  <w:p w14:paraId="733361F9" w14:textId="77777777" w:rsidR="00414412" w:rsidRDefault="007D4295">
    <w:pPr>
      <w:pStyle w:val="Header"/>
    </w:pPr>
    <w:r>
      <w:rPr>
        <w:rFonts w:ascii="Arial" w:hAnsi="Arial" w:cs="Arial"/>
        <w:i/>
        <w:iCs/>
        <w:sz w:val="20"/>
      </w:rPr>
      <w:t>Change PCD-05 field requirements and MSH-16 in PCD-04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65E14"/>
    <w:multiLevelType w:val="multilevel"/>
    <w:tmpl w:val="EF089A0E"/>
    <w:lvl w:ilvl="0">
      <w:start w:val="1"/>
      <w:numFmt w:val="bullet"/>
      <w:pStyle w:val="List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EF91BAA"/>
    <w:multiLevelType w:val="multilevel"/>
    <w:tmpl w:val="2278A8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4085754A"/>
    <w:multiLevelType w:val="multilevel"/>
    <w:tmpl w:val="B87C05F4"/>
    <w:lvl w:ilvl="0">
      <w:start w:val="1"/>
      <w:numFmt w:val="upperLetter"/>
      <w:pStyle w:val="AppendixHeading2"/>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59A4006"/>
    <w:multiLevelType w:val="multilevel"/>
    <w:tmpl w:val="BFD02432"/>
    <w:lvl w:ilvl="0">
      <w:start w:val="1"/>
      <w:numFmt w:val="bullet"/>
      <w:pStyle w:val="ListBullet2"/>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6420B1E"/>
    <w:multiLevelType w:val="multilevel"/>
    <w:tmpl w:val="788CF950"/>
    <w:lvl w:ilvl="0">
      <w:start w:val="1"/>
      <w:numFmt w:val="decimal"/>
      <w:pStyle w:val="ListNumber"/>
      <w:lvlText w:val="%1."/>
      <w:lvlJc w:val="left"/>
      <w:pPr>
        <w:tabs>
          <w:tab w:val="num" w:pos="900"/>
        </w:tabs>
        <w:ind w:left="900" w:hanging="54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82E5EC4"/>
    <w:multiLevelType w:val="multilevel"/>
    <w:tmpl w:val="985A5B94"/>
    <w:lvl w:ilvl="0">
      <w:start w:val="1"/>
      <w:numFmt w:val="bullet"/>
      <w:lvlText w:val=""/>
      <w:lvlJc w:val="left"/>
      <w:pPr>
        <w:tabs>
          <w:tab w:val="num" w:pos="1080"/>
        </w:tabs>
        <w:ind w:left="108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7"/>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4412"/>
    <w:rsid w:val="00414412"/>
    <w:rsid w:val="007D4295"/>
    <w:rsid w:val="008D08B8"/>
    <w:rsid w:val="009271F6"/>
    <w:rsid w:val="00A866FC"/>
    <w:rsid w:val="00CC0D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47E99A81"/>
  <w15:docId w15:val="{156BB45F-33A7-3343-8F33-B8CE8167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pPr>
    <w:rPr>
      <w:rFonts w:ascii="Times New Roman" w:eastAsia="Times New Roman" w:hAnsi="Times New Roman" w:cs="Times New Roman"/>
      <w:sz w:val="24"/>
      <w:szCs w:val="20"/>
      <w:lang w:bidi="ar-SA"/>
    </w:rPr>
  </w:style>
  <w:style w:type="paragraph" w:styleId="Heading1">
    <w:name w:val="heading 1"/>
    <w:next w:val="BodyText"/>
    <w:uiPriority w:val="9"/>
    <w:qFormat/>
    <w:pPr>
      <w:keepNext/>
      <w:numPr>
        <w:numId w:val="1"/>
      </w:numPr>
      <w:tabs>
        <w:tab w:val="left" w:pos="360"/>
      </w:tabs>
      <w:spacing w:before="240" w:after="60"/>
      <w:ind w:left="360" w:hanging="720"/>
      <w:outlineLvl w:val="0"/>
    </w:pPr>
    <w:rPr>
      <w:rFonts w:ascii="Arial" w:eastAsia="Times New Roman" w:hAnsi="Arial" w:cs="Arial"/>
      <w:b/>
      <w:kern w:val="2"/>
      <w:sz w:val="28"/>
      <w:szCs w:val="20"/>
      <w:lang w:eastAsia="en-US" w:bidi="ar-SA"/>
    </w:rPr>
  </w:style>
  <w:style w:type="paragraph" w:styleId="Heading2">
    <w:name w:val="heading 2"/>
    <w:basedOn w:val="Heading1"/>
    <w:next w:val="BodyText"/>
    <w:uiPriority w:val="9"/>
    <w:semiHidden/>
    <w:unhideWhenUsed/>
    <w:qFormat/>
    <w:pPr>
      <w:numPr>
        <w:ilvl w:val="1"/>
      </w:numPr>
      <w:tabs>
        <w:tab w:val="left" w:pos="540"/>
      </w:tabs>
      <w:ind w:left="547" w:hanging="907"/>
      <w:outlineLvl w:val="1"/>
    </w:pPr>
  </w:style>
  <w:style w:type="paragraph" w:styleId="Heading3">
    <w:name w:val="heading 3"/>
    <w:basedOn w:val="Heading2"/>
    <w:next w:val="BodyText"/>
    <w:uiPriority w:val="9"/>
    <w:semiHidden/>
    <w:unhideWhenUsed/>
    <w:qFormat/>
    <w:pPr>
      <w:numPr>
        <w:ilvl w:val="2"/>
      </w:numPr>
      <w:ind w:left="547" w:hanging="1080"/>
      <w:outlineLvl w:val="2"/>
    </w:pPr>
    <w:rPr>
      <w:sz w:val="24"/>
    </w:rPr>
  </w:style>
  <w:style w:type="paragraph" w:styleId="Heading4">
    <w:name w:val="heading 4"/>
    <w:basedOn w:val="Heading3"/>
    <w:next w:val="BodyText"/>
    <w:uiPriority w:val="9"/>
    <w:semiHidden/>
    <w:unhideWhenUsed/>
    <w:qFormat/>
    <w:pPr>
      <w:numPr>
        <w:ilvl w:val="3"/>
      </w:numPr>
      <w:tabs>
        <w:tab w:val="left" w:pos="900"/>
      </w:tabs>
      <w:ind w:left="900" w:hanging="1260"/>
      <w:outlineLvl w:val="3"/>
    </w:pPr>
  </w:style>
  <w:style w:type="paragraph" w:styleId="Heading5">
    <w:name w:val="heading 5"/>
    <w:basedOn w:val="Heading4"/>
    <w:next w:val="BodyText"/>
    <w:uiPriority w:val="9"/>
    <w:semiHidden/>
    <w:unhideWhenUsed/>
    <w:qFormat/>
    <w:pPr>
      <w:numPr>
        <w:ilvl w:val="4"/>
      </w:numPr>
      <w:tabs>
        <w:tab w:val="left" w:pos="1080"/>
      </w:tabs>
      <w:ind w:left="1080" w:hanging="1440"/>
      <w:outlineLvl w:val="4"/>
    </w:pPr>
  </w:style>
  <w:style w:type="paragraph" w:styleId="Heading6">
    <w:name w:val="heading 6"/>
    <w:basedOn w:val="Heading5"/>
    <w:next w:val="BodyText"/>
    <w:uiPriority w:val="9"/>
    <w:semiHidden/>
    <w:unhideWhenUsed/>
    <w:qFormat/>
    <w:pPr>
      <w:numPr>
        <w:ilvl w:val="5"/>
      </w:numPr>
      <w:tabs>
        <w:tab w:val="left" w:pos="1260"/>
      </w:tabs>
      <w:ind w:left="1260" w:hanging="1620"/>
      <w:outlineLvl w:val="5"/>
    </w:pPr>
  </w:style>
  <w:style w:type="paragraph" w:styleId="Heading7">
    <w:name w:val="heading 7"/>
    <w:basedOn w:val="Heading6"/>
    <w:next w:val="BodyText"/>
    <w:qFormat/>
    <w:pPr>
      <w:numPr>
        <w:ilvl w:val="6"/>
      </w:numPr>
      <w:tabs>
        <w:tab w:val="left" w:pos="1440"/>
      </w:tabs>
      <w:ind w:left="1440" w:hanging="1800"/>
      <w:outlineLvl w:val="6"/>
    </w:pPr>
  </w:style>
  <w:style w:type="paragraph" w:styleId="Heading8">
    <w:name w:val="heading 8"/>
    <w:basedOn w:val="Heading7"/>
    <w:next w:val="BodyText"/>
    <w:qFormat/>
    <w:pPr>
      <w:numPr>
        <w:ilvl w:val="7"/>
      </w:numPr>
      <w:tabs>
        <w:tab w:val="left" w:pos="1620"/>
      </w:tabs>
      <w:ind w:left="1620" w:hanging="1980"/>
      <w:outlineLvl w:val="7"/>
    </w:pPr>
  </w:style>
  <w:style w:type="paragraph" w:styleId="Heading9">
    <w:name w:val="heading 9"/>
    <w:basedOn w:val="Heading8"/>
    <w:next w:val="BodyText"/>
    <w:qFormat/>
    <w:pPr>
      <w:numPr>
        <w:ilvl w:val="8"/>
      </w:numPr>
      <w:tabs>
        <w:tab w:val="left" w:pos="1800"/>
      </w:tabs>
      <w:ind w:left="1800" w:hanging="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2z0">
    <w:name w:val="WW8Num2z0"/>
    <w:qFormat/>
    <w:rPr>
      <w:rFonts w:ascii="Symbol" w:hAnsi="Symbol" w:cs="Symbol"/>
    </w:rPr>
  </w:style>
  <w:style w:type="character" w:customStyle="1" w:styleId="WW8Num3z0">
    <w:name w:val="WW8Num3z0"/>
    <w:qFormat/>
  </w:style>
  <w:style w:type="character" w:customStyle="1" w:styleId="WW8Num4z0">
    <w:name w:val="WW8Num4z0"/>
    <w:qFormat/>
    <w:rPr>
      <w:rFonts w:ascii="Symbol" w:hAnsi="Symbol" w:cs="Symbol"/>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HL7FieldIndent2Char">
    <w:name w:val="HL7 Field Indent 2 Char"/>
    <w:qFormat/>
    <w:rPr>
      <w:sz w:val="24"/>
      <w:lang w:val="en-US" w:eastAsia="en-US"/>
    </w:rPr>
  </w:style>
  <w:style w:type="character" w:customStyle="1" w:styleId="TableEntryChar">
    <w:name w:val="Table Entry Char"/>
    <w:qFormat/>
    <w:rPr>
      <w:sz w:val="18"/>
      <w:lang w:val="en-US" w:eastAsia="en-US"/>
    </w:rPr>
  </w:style>
  <w:style w:type="character" w:customStyle="1" w:styleId="TableEntryHeaderChar">
    <w:name w:val="Table Entry Header Char"/>
    <w:qFormat/>
    <w:rPr>
      <w:rFonts w:ascii="Arial" w:hAnsi="Arial" w:cs="Arial"/>
      <w:b/>
      <w:lang w:val="en-US" w:eastAsia="en-US"/>
    </w:rPr>
  </w:style>
  <w:style w:type="paragraph" w:customStyle="1" w:styleId="Heading">
    <w:name w:val="Heading"/>
    <w:basedOn w:val="Normal"/>
    <w:next w:val="BodyText"/>
    <w:qFormat/>
    <w:pPr>
      <w:jc w:val="center"/>
    </w:pPr>
    <w:rPr>
      <w:b/>
      <w:sz w:val="44"/>
    </w:rPr>
  </w:style>
  <w:style w:type="paragraph" w:styleId="BodyText">
    <w:name w:val="Body Text"/>
    <w:pPr>
      <w:spacing w:before="120"/>
    </w:pPr>
    <w:rPr>
      <w:rFonts w:ascii="Times New Roman" w:eastAsia="Times New Roman" w:hAnsi="Times New Roman" w:cs="Times New Roman"/>
      <w:sz w:val="24"/>
      <w:szCs w:val="20"/>
      <w:lang w:eastAsia="en-US" w:bidi="ar-SA"/>
    </w:rPr>
  </w:style>
  <w:style w:type="paragraph" w:styleId="List">
    <w:name w:val="List"/>
    <w:basedOn w:val="BodyText"/>
    <w:pPr>
      <w:spacing w:before="60"/>
      <w:ind w:left="1080" w:hanging="720"/>
    </w:pPr>
  </w:style>
  <w:style w:type="paragraph" w:styleId="Caption">
    <w:name w:val="caption"/>
    <w:basedOn w:val="BodyText"/>
    <w:next w:val="BodyText"/>
    <w:qFormat/>
    <w:rPr>
      <w:rFonts w:ascii="Arial" w:hAnsi="Arial" w:cs="Arial"/>
      <w:b/>
    </w:rPr>
  </w:style>
  <w:style w:type="paragraph" w:customStyle="1" w:styleId="Index">
    <w:name w:val="Index"/>
    <w:basedOn w:val="Normal"/>
    <w:qFormat/>
    <w:pPr>
      <w:suppressLineNumbers/>
    </w:pPr>
    <w:rPr>
      <w:rFonts w:cs="Lohit Devanagari"/>
    </w:rPr>
  </w:style>
  <w:style w:type="paragraph" w:styleId="BodyTextIndent">
    <w:name w:val="Body Text Indent"/>
    <w:basedOn w:val="BodyText"/>
    <w:pPr>
      <w:ind w:left="360"/>
    </w:pPr>
  </w:style>
  <w:style w:type="paragraph" w:styleId="ListNumber">
    <w:name w:val="List Number"/>
    <w:basedOn w:val="BodyText"/>
    <w:qFormat/>
    <w:pPr>
      <w:numPr>
        <w:numId w:val="4"/>
      </w:numPr>
    </w:pPr>
  </w:style>
  <w:style w:type="paragraph" w:styleId="ListBullet">
    <w:name w:val="List Bullet"/>
    <w:basedOn w:val="BodyText"/>
    <w:qFormat/>
    <w:pPr>
      <w:numPr>
        <w:numId w:val="5"/>
      </w:numPr>
      <w:tabs>
        <w:tab w:val="left" w:pos="720"/>
      </w:tabs>
      <w:spacing w:before="60"/>
      <w:ind w:left="720" w:firstLine="0"/>
    </w:pPr>
  </w:style>
  <w:style w:type="paragraph" w:styleId="ListBullet2">
    <w:name w:val="List Bullet 2"/>
    <w:basedOn w:val="ListBullet"/>
    <w:qFormat/>
    <w:pPr>
      <w:numPr>
        <w:numId w:val="3"/>
      </w:numPr>
      <w:tabs>
        <w:tab w:val="left" w:pos="1080"/>
      </w:tabs>
      <w:ind w:left="1080" w:firstLine="0"/>
    </w:pPr>
  </w:style>
  <w:style w:type="paragraph" w:styleId="ListBullet3">
    <w:name w:val="List Bullet 3"/>
    <w:basedOn w:val="List"/>
    <w:pPr>
      <w:ind w:left="1440"/>
    </w:pPr>
  </w:style>
  <w:style w:type="paragraph" w:styleId="TOC1">
    <w:name w:val="toc 1"/>
    <w:next w:val="Normal"/>
    <w:rPr>
      <w:rFonts w:ascii="Times New Roman" w:eastAsia="Times New Roman" w:hAnsi="Times New Roman" w:cs="Times New Roman"/>
      <w:sz w:val="24"/>
      <w:szCs w:val="20"/>
      <w:lang w:eastAsia="en-US" w:bidi="ar-SA"/>
    </w:rPr>
  </w:style>
  <w:style w:type="paragraph" w:styleId="TOC2">
    <w:name w:val="toc 2"/>
    <w:basedOn w:val="TOC1"/>
    <w:next w:val="Normal"/>
    <w:pPr>
      <w:ind w:left="240"/>
    </w:pPr>
  </w:style>
  <w:style w:type="paragraph" w:styleId="TOC3">
    <w:name w:val="toc 3"/>
    <w:basedOn w:val="TOC2"/>
    <w:next w:val="Normal"/>
    <w:pPr>
      <w:ind w:left="480"/>
    </w:pPr>
  </w:style>
  <w:style w:type="paragraph" w:styleId="TOC4">
    <w:name w:val="toc 4"/>
    <w:basedOn w:val="TOC3"/>
    <w:next w:val="Normal"/>
    <w:pPr>
      <w:ind w:left="720"/>
    </w:pPr>
  </w:style>
  <w:style w:type="paragraph" w:styleId="TOC5">
    <w:name w:val="toc 5"/>
    <w:basedOn w:val="TOC4"/>
    <w:next w:val="Normal"/>
    <w:pPr>
      <w:ind w:left="960"/>
    </w:pPr>
  </w:style>
  <w:style w:type="paragraph" w:styleId="TOC6">
    <w:name w:val="toc 6"/>
    <w:basedOn w:val="TOC5"/>
    <w:next w:val="Normal"/>
    <w:pPr>
      <w:ind w:left="1200"/>
    </w:pPr>
  </w:style>
  <w:style w:type="paragraph" w:styleId="TOC7">
    <w:name w:val="toc 7"/>
    <w:basedOn w:val="TOC6"/>
    <w:next w:val="Normal"/>
    <w:pPr>
      <w:ind w:left="1440"/>
    </w:pPr>
  </w:style>
  <w:style w:type="paragraph" w:styleId="TOC8">
    <w:name w:val="toc 8"/>
    <w:basedOn w:val="TOC7"/>
    <w:next w:val="Normal"/>
    <w:pPr>
      <w:ind w:left="1680"/>
    </w:pPr>
  </w:style>
  <w:style w:type="paragraph" w:styleId="TOC9">
    <w:name w:val="toc 9"/>
    <w:basedOn w:val="TOC8"/>
    <w:next w:val="Normal"/>
    <w:pPr>
      <w:ind w:left="1920"/>
    </w:pPr>
  </w:style>
  <w:style w:type="paragraph" w:customStyle="1" w:styleId="TableEntry">
    <w:name w:val="Table Entry"/>
    <w:basedOn w:val="BodyText"/>
    <w:qFormat/>
    <w:pPr>
      <w:spacing w:before="40" w:after="40"/>
      <w:ind w:left="72" w:right="72"/>
    </w:pPr>
    <w:rPr>
      <w:sz w:val="18"/>
    </w:rPr>
  </w:style>
  <w:style w:type="paragraph" w:customStyle="1" w:styleId="TableEntryHeader">
    <w:name w:val="Table Entry Header"/>
    <w:basedOn w:val="TableEntry"/>
    <w:qFormat/>
    <w:pPr>
      <w:jc w:val="center"/>
    </w:pPr>
    <w:rPr>
      <w:rFonts w:ascii="Arial" w:hAnsi="Arial" w:cs="Arial"/>
      <w:b/>
      <w:sz w:val="20"/>
    </w:rPr>
  </w:style>
  <w:style w:type="paragraph" w:customStyle="1" w:styleId="TableTitle">
    <w:name w:val="Table Title"/>
    <w:basedOn w:val="BodyText"/>
    <w:qFormat/>
    <w:pPr>
      <w:spacing w:before="60" w:after="60"/>
      <w:jc w:val="center"/>
    </w:pPr>
    <w:rPr>
      <w:rFonts w:ascii="Arial" w:hAnsi="Arial" w:cs="Arial"/>
      <w:b/>
      <w:sz w:val="22"/>
    </w:rPr>
  </w:style>
  <w:style w:type="paragraph" w:customStyle="1" w:styleId="FigureTitle">
    <w:name w:val="Figure Title"/>
    <w:basedOn w:val="TableTitle"/>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Bullet4">
    <w:name w:val="List Bullet 4"/>
    <w:basedOn w:val="Normal"/>
    <w:pPr>
      <w:ind w:left="1800" w:hanging="720"/>
    </w:pPr>
  </w:style>
  <w:style w:type="paragraph" w:styleId="ListContinue">
    <w:name w:val="List Continue"/>
    <w:basedOn w:val="List"/>
    <w:qFormat/>
    <w:pPr>
      <w:spacing w:after="120"/>
      <w:ind w:firstLine="0"/>
    </w:pPr>
  </w:style>
  <w:style w:type="paragraph" w:styleId="ListContinue2">
    <w:name w:val="List Continue 2"/>
    <w:basedOn w:val="ListBullet3"/>
    <w:qFormat/>
    <w:pPr>
      <w:ind w:firstLine="0"/>
    </w:pPr>
  </w:style>
  <w:style w:type="paragraph" w:customStyle="1" w:styleId="ParagraphHeading">
    <w:name w:val="Paragraph Heading"/>
    <w:basedOn w:val="Caption"/>
    <w:next w:val="BodyText"/>
    <w:qFormat/>
    <w:pPr>
      <w:spacing w:before="180"/>
    </w:pPr>
  </w:style>
  <w:style w:type="paragraph" w:customStyle="1" w:styleId="ListNumberContinue">
    <w:name w:val="List Number Continue"/>
    <w:basedOn w:val="ListNumber"/>
    <w:qFormat/>
    <w:pPr>
      <w:numPr>
        <w:numId w:val="0"/>
      </w:numPr>
      <w:spacing w:before="60"/>
      <w:ind w:left="900"/>
    </w:pPr>
  </w:style>
  <w:style w:type="paragraph" w:customStyle="1" w:styleId="ListBulletContinue">
    <w:name w:val="List Bullet Continue"/>
    <w:basedOn w:val="ListBullet"/>
    <w:qFormat/>
    <w:pPr>
      <w:numPr>
        <w:numId w:val="0"/>
      </w:numPr>
      <w:ind w:left="720"/>
    </w:pPr>
  </w:style>
  <w:style w:type="paragraph" w:customStyle="1" w:styleId="ListBullet2Continue">
    <w:name w:val="List Bullet 2 Continue"/>
    <w:basedOn w:val="ListBullet2"/>
    <w:qFormat/>
    <w:pPr>
      <w:numPr>
        <w:numId w:val="0"/>
      </w:numPr>
      <w:ind w:left="1080"/>
    </w:pPr>
  </w:style>
  <w:style w:type="paragraph" w:customStyle="1" w:styleId="ListBullet3Continue">
    <w:name w:val="List Bullet 3 Continue"/>
    <w:basedOn w:val="ListBullet3"/>
    <w:qFormat/>
    <w:pPr>
      <w:ind w:firstLine="0"/>
    </w:pPr>
  </w:style>
  <w:style w:type="paragraph" w:customStyle="1" w:styleId="List3Continue">
    <w:name w:val="List 3 Continue"/>
    <w:basedOn w:val="ListBullet4"/>
    <w:qFormat/>
    <w:pPr>
      <w:ind w:firstLine="0"/>
    </w:pPr>
  </w:style>
  <w:style w:type="paragraph" w:customStyle="1" w:styleId="AppendixHeading2">
    <w:name w:val="Appendix Heading 2"/>
    <w:next w:val="BodyText"/>
    <w:qFormat/>
    <w:pPr>
      <w:numPr>
        <w:numId w:val="6"/>
      </w:numPr>
      <w:spacing w:before="240" w:after="60"/>
    </w:pPr>
    <w:rPr>
      <w:rFonts w:ascii="Arial" w:eastAsia="Times New Roman" w:hAnsi="Arial" w:cs="Arial"/>
      <w:b/>
      <w:sz w:val="28"/>
      <w:szCs w:val="20"/>
      <w:lang w:eastAsia="en-US" w:bidi="ar-SA"/>
    </w:rPr>
  </w:style>
  <w:style w:type="paragraph" w:customStyle="1" w:styleId="AppendixHeading1">
    <w:name w:val="Appendix Heading 1"/>
    <w:next w:val="BodyText"/>
    <w:qFormat/>
    <w:pPr>
      <w:tabs>
        <w:tab w:val="num" w:pos="1980"/>
      </w:tabs>
      <w:spacing w:before="240" w:after="60"/>
      <w:ind w:left="1980" w:hanging="1980"/>
    </w:pPr>
    <w:rPr>
      <w:rFonts w:ascii="Arial" w:eastAsia="Times New Roman" w:hAnsi="Arial" w:cs="Arial"/>
      <w:b/>
      <w:sz w:val="28"/>
      <w:szCs w:val="20"/>
      <w:lang w:eastAsia="en-US" w:bidi="ar-SA"/>
    </w:rPr>
  </w:style>
  <w:style w:type="paragraph" w:customStyle="1" w:styleId="AppendixHeading3">
    <w:name w:val="Appendix Heading 3"/>
    <w:basedOn w:val="AppendixHeading2"/>
    <w:next w:val="BodyText"/>
    <w:qFormat/>
    <w:rPr>
      <w:sz w:val="24"/>
    </w:rPr>
  </w:style>
  <w:style w:type="paragraph" w:customStyle="1" w:styleId="EditorInstructions">
    <w:name w:val="Editor Instructions"/>
    <w:basedOn w:val="BodyText"/>
    <w:qFormat/>
    <w:pPr>
      <w:pBdr>
        <w:top w:val="single" w:sz="4" w:space="1" w:color="000000"/>
        <w:left w:val="single" w:sz="4" w:space="4" w:color="000000"/>
        <w:bottom w:val="single" w:sz="4" w:space="1" w:color="000000"/>
        <w:right w:val="single" w:sz="4" w:space="4" w:color="000000"/>
      </w:pBdr>
    </w:pPr>
    <w:rPr>
      <w:i/>
      <w:iCs/>
    </w:rPr>
  </w:style>
  <w:style w:type="paragraph" w:customStyle="1" w:styleId="StyleBodyTextItalicRedBoxSinglesolidlineAuto05">
    <w:name w:val="Style Body Text + Italic Red Box: (Single solid line Auto  0.5 ..."/>
    <w:basedOn w:val="BodyText"/>
    <w:qFormat/>
    <w:pPr>
      <w:pBdr>
        <w:top w:val="single" w:sz="4" w:space="1" w:color="000000"/>
        <w:left w:val="single" w:sz="4" w:space="4" w:color="000000"/>
        <w:bottom w:val="single" w:sz="4" w:space="1" w:color="000000"/>
        <w:right w:val="single" w:sz="4" w:space="4" w:color="000000"/>
      </w:pBdr>
    </w:pPr>
    <w:rPr>
      <w:i/>
      <w:iCs/>
    </w:rPr>
  </w:style>
  <w:style w:type="paragraph" w:styleId="FootnoteText">
    <w:name w:val="footnote text"/>
    <w:basedOn w:val="Normal"/>
    <w:rPr>
      <w:sz w:val="20"/>
    </w:rPr>
  </w:style>
  <w:style w:type="paragraph" w:customStyle="1" w:styleId="Note">
    <w:name w:val="Note"/>
    <w:basedOn w:val="FootnoteText"/>
    <w:qFormat/>
    <w:pPr>
      <w:ind w:left="1152" w:hanging="720"/>
    </w:pPr>
    <w:rPr>
      <w:sz w:val="18"/>
    </w:rPr>
  </w:style>
  <w:style w:type="paragraph" w:styleId="BalloonText">
    <w:name w:val="Balloon Text"/>
    <w:basedOn w:val="Normal"/>
    <w:qFormat/>
    <w:rPr>
      <w:rFonts w:ascii="Tahoma" w:hAnsi="Tahoma" w:cs="Tahoma"/>
      <w:sz w:val="16"/>
      <w:szCs w:val="16"/>
    </w:rPr>
  </w:style>
  <w:style w:type="paragraph" w:customStyle="1" w:styleId="Default">
    <w:name w:val="Default"/>
    <w:qFormat/>
    <w:pPr>
      <w:autoSpaceDE w:val="0"/>
    </w:pPr>
    <w:rPr>
      <w:rFonts w:ascii="Times New Roman" w:eastAsia="Times New Roman" w:hAnsi="Times New Roman" w:cs="Times New Roman"/>
      <w:color w:val="000000"/>
      <w:sz w:val="24"/>
      <w:lang w:bidi="ar-SA"/>
    </w:rPr>
  </w:style>
  <w:style w:type="paragraph" w:customStyle="1" w:styleId="HL7FieldIndent2">
    <w:name w:val="HL7 Field Indent 2"/>
    <w:basedOn w:val="BodyTextIndent"/>
    <w:qFormat/>
    <w:pPr>
      <w:spacing w:line="240" w:lineRule="atLeast"/>
      <w:ind w:left="720"/>
    </w:pPr>
  </w:style>
  <w:style w:type="paragraph" w:customStyle="1" w:styleId="HL7Field">
    <w:name w:val="HL7 Field"/>
    <w:basedOn w:val="Normal"/>
    <w:qFormat/>
    <w:pPr>
      <w:keepNext/>
      <w:spacing w:after="60" w:line="260" w:lineRule="atLeast"/>
    </w:pPr>
    <w:rPr>
      <w:b/>
      <w:bC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&lt;Change Proposal Title&gt;</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subject/>
  <dc:creator>NO ONE ASSIGNED</dc:creator>
  <dc:description/>
  <cp:lastModifiedBy>John Rhoads</cp:lastModifiedBy>
  <cp:revision>6</cp:revision>
  <dcterms:created xsi:type="dcterms:W3CDTF">2020-10-22T14:15:00Z</dcterms:created>
  <dcterms:modified xsi:type="dcterms:W3CDTF">2022-03-21T01:54:00Z</dcterms:modified>
  <dc:language>en-US</dc:language>
</cp:coreProperties>
</file>