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120" w:after="0"/>
        <w:rPr/>
      </w:pPr>
      <w:r>
        <w:rPr/>
        <w:t>IHE Change Proposal</w:t>
      </w:r>
    </w:p>
    <w:p>
      <w:pPr>
        <w:pStyle w:val="TextBody"/>
        <w:tabs>
          <w:tab w:val="left" w:pos="9180" w:leader="none"/>
        </w:tabs>
        <w:rPr>
          <w:strike/>
        </w:rPr>
      </w:pPr>
      <w:r>
        <w:rPr>
          <w:strike/>
        </w:rPr>
        <w:tab/>
      </w:r>
    </w:p>
    <w:p>
      <w:pPr>
        <w:pStyle w:val="TableTitle"/>
        <w:rPr/>
      </w:pPr>
      <w:r>
        <w:rPr/>
        <w:t>Tracking information:</w:t>
      </w:r>
    </w:p>
    <w:tbl>
      <w:tblPr>
        <w:tblW w:w="958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4788"/>
        <w:gridCol w:w="4797"/>
      </w:tblGrid>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IHE Domain</w:t>
            </w:r>
            <w:bookmarkStart w:id="0" w:name="_GoBack"/>
            <w:bookmarkEnd w:id="0"/>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Patient Care Device (PCD) Subdomain in Device Domain</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Change Proposal ID: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CP-PCD-</w:t>
            </w:r>
            <w:r>
              <w:rPr/>
              <w:t>152</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Change Proposal Status:</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Draft for review</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Date of last update:</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2020-11-</w:t>
            </w:r>
            <w:r>
              <w:rPr/>
              <w:t>3</w:t>
            </w:r>
            <w:r>
              <w:rPr/>
              <w:t>0</w:t>
            </w:r>
          </w:p>
        </w:tc>
      </w:tr>
      <w:tr>
        <w:trPr/>
        <w:tc>
          <w:tcPr>
            <w:tcW w:w="4788" w:type="dxa"/>
            <w:tcBorders>
              <w:top w:val="single" w:sz="4" w:space="0" w:color="000000"/>
              <w:left w:val="single" w:sz="4" w:space="0" w:color="000000"/>
              <w:bottom w:val="single" w:sz="4" w:space="0" w:color="000000"/>
              <w:insideH w:val="single" w:sz="4" w:space="0" w:color="000000"/>
            </w:tcBorders>
            <w:shd w:fill="auto" w:val="clear"/>
          </w:tcPr>
          <w:p>
            <w:pPr>
              <w:pStyle w:val="TableEntry"/>
              <w:spacing w:before="40" w:after="40"/>
              <w:ind w:left="72" w:right="72" w:hanging="0"/>
              <w:rPr/>
            </w:pPr>
            <w:r>
              <w:rPr/>
              <w:t>Person assigned: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szCs w:val="18"/>
              </w:rPr>
            </w:pPr>
            <w:r>
              <w:rPr>
                <w:szCs w:val="18"/>
              </w:rPr>
              <w:t>Monroe Pattillo</w:t>
            </w:r>
          </w:p>
        </w:tc>
      </w:tr>
    </w:tbl>
    <w:p>
      <w:pPr>
        <w:pStyle w:val="TableTitle"/>
        <w:rPr/>
      </w:pPr>
      <w:r>
        <w:rPr/>
      </w:r>
    </w:p>
    <w:p>
      <w:pPr>
        <w:pStyle w:val="TableTitle"/>
        <w:rPr/>
      </w:pPr>
      <w:r>
        <w:rPr/>
        <w:t>Change Proposal Summary information:</w:t>
      </w:r>
    </w:p>
    <w:tbl>
      <w:tblPr>
        <w:tblW w:w="958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4788"/>
        <w:gridCol w:w="4797"/>
      </w:tblGrid>
      <w:tr>
        <w:trPr>
          <w:cantSplit w:val="true"/>
        </w:trPr>
        <w:tc>
          <w:tcPr>
            <w:tcW w:w="95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er"/>
              <w:spacing w:before="120" w:after="0"/>
              <w:jc w:val="center"/>
              <w:rPr>
                <w:rFonts w:ascii="Arial" w:hAnsi="Arial" w:cs="Arial"/>
                <w:b/>
                <w:b/>
                <w:iCs/>
                <w:sz w:val="20"/>
              </w:rPr>
            </w:pPr>
            <w:r>
              <w:rPr>
                <w:rFonts w:cs="Arial" w:ascii="Arial" w:hAnsi="Arial"/>
                <w:b/>
                <w:iCs/>
                <w:sz w:val="20"/>
              </w:rPr>
              <w:t>MEMDMC_Use of MDC_OBS_MEM in OBR-4 in PCD-15</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Submitter’s Name(s) and e-mail address(es):</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Monroe Pattillo, monroe.pattillo@gmail.com</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Submission Date:</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2020-11-20</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Integration Profile(s) affected: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Medical Equipment Management Device Management Communication (MEMDMC)</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Actor(s) affected: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color w:val="FF0000"/>
              </w:rPr>
            </w:pPr>
            <w:r>
              <w:rPr/>
              <w:t>Device Management Information Reporter (DMIR) and Device Management Information Consumer (DMIC)</w:t>
            </w:r>
          </w:p>
        </w:tc>
      </w:tr>
      <w:tr>
        <w:trPr>
          <w:cantSplit w:val="true"/>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IHE Technical Framework or Supplement modified: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MEMDMC TI revision 1.3, dated Nov 11, 2017</w:t>
            </w:r>
          </w:p>
        </w:tc>
      </w:tr>
      <w:tr>
        <w:trPr/>
        <w:tc>
          <w:tcPr>
            <w:tcW w:w="4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Volume(s) and Section(s) affected:</w:t>
            </w:r>
          </w:p>
        </w:tc>
        <w:tc>
          <w:tcPr>
            <w:tcW w:w="4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pPr>
            <w:r>
              <w:rPr/>
              <w:t>Multiple paragraphs in multiple sections</w:t>
            </w:r>
          </w:p>
        </w:tc>
      </w:tr>
      <w:tr>
        <w:trPr>
          <w:cantSplit w:val="true"/>
        </w:trPr>
        <w:tc>
          <w:tcPr>
            <w:tcW w:w="95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Entry"/>
              <w:spacing w:before="40" w:after="40"/>
              <w:ind w:left="72" w:right="72" w:hanging="0"/>
              <w:rPr>
                <w:sz w:val="20"/>
              </w:rPr>
            </w:pPr>
            <w:r>
              <w:rPr>
                <w:sz w:val="20"/>
              </w:rPr>
              <w:t>Rationale for Change:</w:t>
            </w:r>
          </w:p>
          <w:p>
            <w:pPr>
              <w:pStyle w:val="TableEntry"/>
              <w:rPr>
                <w:sz w:val="20"/>
              </w:rPr>
            </w:pPr>
            <w:r>
              <w:rPr>
                <w:sz w:val="20"/>
              </w:rPr>
              <w:t>The Medical Equipment Management Device Management Information (MEMDMC) profile’s Device Management Information Observation (DMIO) [PCD-15] transaction does not currently provide the ability to uniquely and efficiently identify medical device equipment packaged observations from other HL7 ORU R01 based observations in multiple actor server implementations.  This requires the multiple actor implementing consuming server to compare against a very long list (many hundreds) to make the determination that the observation being consumed is for the medical equipment management device management information consumer (MEMDMC DMIC) profile actor implementation.</w:t>
            </w:r>
          </w:p>
          <w:p>
            <w:pPr>
              <w:pStyle w:val="TableEntry"/>
              <w:rPr>
                <w:sz w:val="20"/>
              </w:rPr>
            </w:pPr>
            <w:r>
              <w:rPr>
                <w:sz w:val="20"/>
              </w:rPr>
              <w:t>IEEE 11073-10101 has provisionally approved nomenclature of the REFerence IDentifier (REFID) MDC_OBS_MEM, Group 2, Partition 1, Code10 3599, for an observation value of 69135 for the use of identification of packaged medical equipment observations (OBS) for the purpose of Medical Device Communication (MDC) for medical equipment management (MEM).  The nomenclature is anticipated as being loaded into RTMMS2 in time for vendor adoption and verification prior to the IHE 2021 North America Connectathon.</w:t>
            </w:r>
          </w:p>
          <w:p>
            <w:pPr>
              <w:pStyle w:val="TableEntry"/>
              <w:spacing w:before="40" w:after="40"/>
              <w:ind w:left="72" w:right="72" w:hanging="0"/>
              <w:rPr>
                <w:sz w:val="20"/>
              </w:rPr>
            </w:pPr>
            <w:r>
              <w:rPr>
                <w:sz w:val="20"/>
              </w:rPr>
              <w:t>As an analogy the ACM profile uses MDC_EVT_ALARM for a similar purpose.  The difference is that for ACM the communication is of an event (EVT) (alert – alarm or advisory) whereas for MEMDMC it is a packaged grouping of one or more observations (OBS) not associated with any specific event.</w:t>
            </w:r>
          </w:p>
        </w:tc>
      </w:tr>
    </w:tbl>
    <w:p>
      <w:pPr>
        <w:pStyle w:val="Default"/>
        <w:keepNext w:val="true"/>
        <w:keepLines/>
        <w:rPr/>
      </w:pPr>
      <w:r>
        <w:rPr/>
      </w:r>
    </w:p>
    <w:p>
      <w:pPr>
        <w:pStyle w:val="EditorInstructions"/>
        <w:keepNext w:val="true"/>
        <w:keepLines/>
        <w:rPr/>
      </w:pPr>
      <w:r>
        <w:rPr/>
        <w:t>Change the following paragraph at line 108 on page 5:</w:t>
      </w:r>
    </w:p>
    <w:p>
      <w:pPr>
        <w:pStyle w:val="Default"/>
        <w:rPr>
          <w:sz w:val="23"/>
          <w:szCs w:val="23"/>
        </w:rPr>
      </w:pPr>
      <w:r>
        <w:rPr>
          <w:sz w:val="23"/>
          <w:szCs w:val="23"/>
        </w:rPr>
      </w:r>
    </w:p>
    <w:p>
      <w:pPr>
        <w:pStyle w:val="Default"/>
        <w:rPr>
          <w:b/>
          <w:b/>
          <w:i/>
          <w:i/>
          <w:sz w:val="23"/>
          <w:szCs w:val="23"/>
        </w:rPr>
      </w:pPr>
      <w:r>
        <w:rPr>
          <w:b/>
          <w:i/>
          <w:sz w:val="23"/>
          <w:szCs w:val="23"/>
        </w:rPr>
        <w:t>From</w:t>
      </w:r>
    </w:p>
    <w:p>
      <w:pPr>
        <w:pStyle w:val="Default"/>
        <w:rPr>
          <w:sz w:val="23"/>
          <w:szCs w:val="23"/>
        </w:rPr>
      </w:pPr>
      <w:r>
        <w:rPr>
          <w:sz w:val="23"/>
          <w:szCs w:val="23"/>
        </w:rPr>
      </w:r>
    </w:p>
    <w:p>
      <w:pPr>
        <w:pStyle w:val="Default"/>
        <w:rPr>
          <w:sz w:val="23"/>
          <w:szCs w:val="23"/>
        </w:rPr>
      </w:pPr>
      <w:r>
        <w:rPr>
          <w:sz w:val="23"/>
          <w:szCs w:val="23"/>
        </w:rPr>
        <w:t>Identification of some observation identifications (MDC &amp; REFID) is not currently defined in Rosetta Terminology Mapping (RTM) or in IEEE 11073-10101 Nomenclature and so a submission will be required. In the interim an MDC value of zero and a REFID prefix of MDCX will be utilized until official values are assigned. After values are assigned they are likely to appear in the Rosetta Terminology Mapping Management System (RTMMS) prior to being balloted for an update to the standard. Once assigned official values implementations are required to use the assigned values.</w:t>
      </w:r>
    </w:p>
    <w:p>
      <w:pPr>
        <w:pStyle w:val="Default"/>
        <w:rPr>
          <w:sz w:val="23"/>
          <w:szCs w:val="23"/>
        </w:rPr>
      </w:pPr>
      <w:r>
        <w:rPr>
          <w:sz w:val="23"/>
          <w:szCs w:val="23"/>
        </w:rPr>
      </w:r>
    </w:p>
    <w:p>
      <w:pPr>
        <w:pStyle w:val="Default"/>
        <w:rPr>
          <w:b/>
          <w:b/>
          <w:i/>
          <w:i/>
          <w:sz w:val="23"/>
          <w:szCs w:val="23"/>
        </w:rPr>
      </w:pPr>
      <w:r>
        <w:rPr>
          <w:b/>
          <w:i/>
          <w:sz w:val="23"/>
          <w:szCs w:val="23"/>
        </w:rPr>
        <w:t>To</w:t>
      </w:r>
    </w:p>
    <w:p>
      <w:pPr>
        <w:pStyle w:val="Default"/>
        <w:rPr>
          <w:sz w:val="23"/>
          <w:szCs w:val="23"/>
        </w:rPr>
      </w:pPr>
      <w:r>
        <w:rPr>
          <w:sz w:val="23"/>
          <w:szCs w:val="23"/>
        </w:rPr>
      </w:r>
    </w:p>
    <w:p>
      <w:pPr>
        <w:pStyle w:val="Default"/>
        <w:rPr>
          <w:sz w:val="23"/>
          <w:szCs w:val="23"/>
        </w:rPr>
      </w:pPr>
      <w:r>
        <w:rPr>
          <w:sz w:val="23"/>
          <w:szCs w:val="23"/>
        </w:rPr>
        <w:t xml:space="preserve">Identification of some observation identifications (MDC &amp; REFID) may not be currently defined in Rosetta Terminology Mapping (RTM) or in IEEE 11073-10101 Nomenclature.  Submissions will be required as needed. In the interim an MDC value of zero and a REFID prefix of MDCX </w:t>
      </w:r>
      <w:r>
        <w:rPr>
          <w:i/>
          <w:sz w:val="23"/>
          <w:szCs w:val="23"/>
        </w:rPr>
        <w:t>shall</w:t>
      </w:r>
      <w:r>
        <w:rPr>
          <w:sz w:val="23"/>
          <w:szCs w:val="23"/>
        </w:rPr>
        <w:t xml:space="preserve"> be utilized until provisional values have been assigned. After provisional values are assigned they are expected to appear in the most recent update and version of the Rosetta Terminology Mapping Management System (RTMMS) prior to being balloted for an update to the IEEE standard. Once provisional values are assigned implementations </w:t>
      </w:r>
      <w:r>
        <w:rPr>
          <w:i/>
          <w:sz w:val="23"/>
          <w:szCs w:val="23"/>
        </w:rPr>
        <w:t>shall</w:t>
      </w:r>
      <w:r>
        <w:rPr>
          <w:sz w:val="23"/>
          <w:szCs w:val="23"/>
        </w:rPr>
        <w:t xml:space="preserve"> use the assigned values.</w:t>
      </w:r>
    </w:p>
    <w:p>
      <w:pPr>
        <w:pStyle w:val="Default"/>
        <w:rPr>
          <w:sz w:val="23"/>
          <w:szCs w:val="23"/>
        </w:rPr>
      </w:pPr>
      <w:r>
        <w:rPr>
          <w:sz w:val="23"/>
          <w:szCs w:val="23"/>
        </w:rPr>
      </w:r>
    </w:p>
    <w:p>
      <w:pPr>
        <w:pStyle w:val="EditorInstructions"/>
        <w:keepNext w:val="true"/>
        <w:keepLines/>
        <w:rPr/>
      </w:pPr>
      <w:r>
        <w:rPr/>
        <w:t>Change the two paragraphs starting at line 336 on page 16:</w:t>
      </w:r>
    </w:p>
    <w:p>
      <w:pPr>
        <w:pStyle w:val="Default"/>
        <w:rPr>
          <w:sz w:val="23"/>
          <w:szCs w:val="23"/>
        </w:rPr>
      </w:pPr>
      <w:r>
        <w:rPr>
          <w:sz w:val="23"/>
          <w:szCs w:val="23"/>
        </w:rPr>
      </w:r>
    </w:p>
    <w:p>
      <w:pPr>
        <w:pStyle w:val="Default"/>
        <w:rPr>
          <w:b/>
          <w:b/>
          <w:i/>
          <w:i/>
          <w:sz w:val="23"/>
          <w:szCs w:val="23"/>
        </w:rPr>
      </w:pPr>
      <w:r>
        <w:rPr>
          <w:b/>
          <w:i/>
          <w:sz w:val="23"/>
          <w:szCs w:val="23"/>
        </w:rPr>
        <w:t>From</w:t>
      </w:r>
    </w:p>
    <w:p>
      <w:pPr>
        <w:pStyle w:val="Default"/>
        <w:rPr>
          <w:sz w:val="23"/>
          <w:szCs w:val="23"/>
        </w:rPr>
      </w:pPr>
      <w:r>
        <w:rPr>
          <w:sz w:val="23"/>
          <w:szCs w:val="23"/>
        </w:rPr>
      </w:r>
    </w:p>
    <w:p>
      <w:pPr>
        <w:pStyle w:val="Default"/>
        <w:rPr>
          <w:sz w:val="23"/>
          <w:szCs w:val="23"/>
        </w:rPr>
      </w:pPr>
      <w:r>
        <w:rPr>
          <w:sz w:val="23"/>
          <w:szCs w:val="23"/>
        </w:rPr>
        <w:t>Specific MDC codes and REFIDs for triggers and observations are listed in the Rosetta Terminology Mapping Management System (RTMMS). This permits new triggers and observations to be added without a version update of this document.</w:t>
      </w:r>
    </w:p>
    <w:p>
      <w:pPr>
        <w:pStyle w:val="Default"/>
        <w:rPr>
          <w:sz w:val="23"/>
          <w:szCs w:val="23"/>
        </w:rPr>
      </w:pPr>
      <w:r>
        <w:rPr>
          <w:sz w:val="23"/>
          <w:szCs w:val="23"/>
        </w:rPr>
      </w:r>
    </w:p>
    <w:p>
      <w:pPr>
        <w:pStyle w:val="Default"/>
        <w:rPr>
          <w:sz w:val="23"/>
          <w:szCs w:val="23"/>
        </w:rPr>
      </w:pPr>
      <w:r>
        <w:rPr>
          <w:sz w:val="23"/>
          <w:szCs w:val="23"/>
        </w:rPr>
        <w:t>Identification of some observation identifications (MDC &amp; REFID) are not be currently defined in Rosetta Terminology Mapping (RTM) or in IEEE 11073-10101 Nomenclature and so a submission will be required. After values are assigned they are likely to appear in the Rosetta Terminology Mapping Management System (RTMMS) prior to being balloted for an update to the standard. Once assigned official values implementations will be required to use the assigned values.</w:t>
      </w:r>
    </w:p>
    <w:p>
      <w:pPr>
        <w:pStyle w:val="Default"/>
        <w:rPr>
          <w:sz w:val="23"/>
          <w:szCs w:val="23"/>
        </w:rPr>
      </w:pPr>
      <w:r>
        <w:rPr>
          <w:sz w:val="23"/>
          <w:szCs w:val="23"/>
        </w:rPr>
      </w:r>
    </w:p>
    <w:p>
      <w:pPr>
        <w:pStyle w:val="Default"/>
        <w:rPr>
          <w:b/>
          <w:b/>
          <w:i/>
          <w:i/>
          <w:sz w:val="23"/>
          <w:szCs w:val="23"/>
        </w:rPr>
      </w:pPr>
      <w:r>
        <w:rPr>
          <w:b/>
          <w:i/>
          <w:sz w:val="23"/>
          <w:szCs w:val="23"/>
        </w:rPr>
        <w:t>To</w:t>
      </w:r>
    </w:p>
    <w:p>
      <w:pPr>
        <w:pStyle w:val="Default"/>
        <w:rPr>
          <w:sz w:val="23"/>
          <w:szCs w:val="23"/>
        </w:rPr>
      </w:pPr>
      <w:r>
        <w:rPr>
          <w:sz w:val="23"/>
          <w:szCs w:val="23"/>
        </w:rPr>
      </w:r>
    </w:p>
    <w:p>
      <w:pPr>
        <w:pStyle w:val="Default"/>
        <w:rPr>
          <w:sz w:val="23"/>
          <w:szCs w:val="23"/>
        </w:rPr>
      </w:pPr>
      <w:r>
        <w:rPr>
          <w:sz w:val="23"/>
          <w:szCs w:val="23"/>
        </w:rPr>
        <w:t xml:space="preserve">The identification of a MEMDMC packaged group of observations </w:t>
      </w:r>
      <w:r>
        <w:rPr>
          <w:i/>
          <w:sz w:val="23"/>
          <w:szCs w:val="23"/>
        </w:rPr>
        <w:t>shall</w:t>
      </w:r>
      <w:r>
        <w:rPr>
          <w:sz w:val="23"/>
          <w:szCs w:val="23"/>
        </w:rPr>
        <w:t xml:space="preserve"> be encoded in the value of OBR-4 Universal Service Identifier (CWE data type) of the OBR segment as </w:t>
      </w:r>
    </w:p>
    <w:p>
      <w:pPr>
        <w:pStyle w:val="Default"/>
        <w:rPr>
          <w:sz w:val="23"/>
          <w:szCs w:val="23"/>
        </w:rPr>
      </w:pPr>
      <w:r>
        <w:rPr>
          <w:sz w:val="23"/>
          <w:szCs w:val="23"/>
        </w:rPr>
      </w:r>
    </w:p>
    <w:p>
      <w:pPr>
        <w:pStyle w:val="Default"/>
        <w:rPr>
          <w:sz w:val="23"/>
          <w:szCs w:val="23"/>
        </w:rPr>
      </w:pPr>
      <w:r>
        <w:rPr>
          <w:sz w:val="23"/>
          <w:szCs w:val="23"/>
        </w:rPr>
        <w:tab/>
        <w:t>69135^MDC_OBS_MEM^MDC</w:t>
      </w:r>
    </w:p>
    <w:p>
      <w:pPr>
        <w:pStyle w:val="Default"/>
        <w:rPr>
          <w:sz w:val="23"/>
          <w:szCs w:val="23"/>
        </w:rPr>
      </w:pPr>
      <w:r>
        <w:rPr>
          <w:sz w:val="23"/>
          <w:szCs w:val="23"/>
        </w:rPr>
      </w:r>
    </w:p>
    <w:p>
      <w:pPr>
        <w:pStyle w:val="Default"/>
        <w:rPr>
          <w:sz w:val="23"/>
          <w:szCs w:val="23"/>
        </w:rPr>
      </w:pPr>
      <w:r>
        <w:rPr>
          <w:sz w:val="23"/>
          <w:szCs w:val="23"/>
        </w:rPr>
        <w:t>Specific MDC codes and REFIDs for specific observations and events are found in the Rosetta Terminology Mapping Management System (RTMMS). This permits additional observation definitions to be added without a version update of this document.</w:t>
      </w:r>
    </w:p>
    <w:p>
      <w:pPr>
        <w:pStyle w:val="Default"/>
        <w:rPr>
          <w:sz w:val="23"/>
          <w:szCs w:val="23"/>
        </w:rPr>
      </w:pPr>
      <w:r>
        <w:rPr>
          <w:sz w:val="23"/>
          <w:szCs w:val="23"/>
        </w:rPr>
      </w:r>
    </w:p>
    <w:p>
      <w:pPr>
        <w:pStyle w:val="Default"/>
        <w:rPr>
          <w:sz w:val="23"/>
          <w:szCs w:val="23"/>
        </w:rPr>
      </w:pPr>
      <w:r>
        <w:rPr>
          <w:sz w:val="23"/>
          <w:szCs w:val="23"/>
        </w:rPr>
        <w:t xml:space="preserve">Identification of some observation identifications (MDC &amp; REFID) may not be currently defined in Rosetta Terminology Mapping (RTM) or in IEEE 11073-10101 Nomenclature.  Submissions will be required as needed. In the interim an MDC value of zero and a REFID prefix of MDCX </w:t>
      </w:r>
      <w:r>
        <w:rPr>
          <w:i/>
          <w:sz w:val="23"/>
          <w:szCs w:val="23"/>
        </w:rPr>
        <w:t>shall</w:t>
      </w:r>
      <w:r>
        <w:rPr>
          <w:sz w:val="23"/>
          <w:szCs w:val="23"/>
        </w:rPr>
        <w:t xml:space="preserve"> be utilized until provisional values have been assigned. After provisional values are assigned they are expected to appear in the most recent update and version of the Rosetta Terminology Mapping Management System (RTMMS) prior to being balloted for an update to the IEEE standard. Once provisional values are assigned implementations </w:t>
      </w:r>
      <w:r>
        <w:rPr>
          <w:i/>
          <w:sz w:val="23"/>
          <w:szCs w:val="23"/>
        </w:rPr>
        <w:t>shall</w:t>
      </w:r>
      <w:r>
        <w:rPr>
          <w:sz w:val="23"/>
          <w:szCs w:val="23"/>
        </w:rPr>
        <w:t xml:space="preserve"> use the assigned values.</w:t>
      </w:r>
    </w:p>
    <w:p>
      <w:pPr>
        <w:pStyle w:val="Default"/>
        <w:rPr>
          <w:sz w:val="23"/>
          <w:szCs w:val="23"/>
        </w:rPr>
      </w:pPr>
      <w:r>
        <w:rPr>
          <w:sz w:val="23"/>
          <w:szCs w:val="23"/>
        </w:rPr>
      </w:r>
    </w:p>
    <w:p>
      <w:pPr>
        <w:pStyle w:val="EditorInstructions"/>
        <w:keepNext w:val="true"/>
        <w:keepLines/>
        <w:rPr/>
      </w:pPr>
      <w:r>
        <w:rPr/>
        <w:t>Change the two paragraphs starting at line 379 on page 18:</w:t>
      </w:r>
    </w:p>
    <w:p>
      <w:pPr>
        <w:pStyle w:val="Default"/>
        <w:rPr>
          <w:sz w:val="23"/>
          <w:szCs w:val="23"/>
        </w:rPr>
      </w:pPr>
      <w:r>
        <w:rPr>
          <w:sz w:val="23"/>
          <w:szCs w:val="23"/>
        </w:rPr>
      </w:r>
    </w:p>
    <w:p>
      <w:pPr>
        <w:pStyle w:val="Default"/>
        <w:rPr>
          <w:b/>
          <w:b/>
          <w:i/>
          <w:i/>
          <w:sz w:val="23"/>
          <w:szCs w:val="23"/>
        </w:rPr>
      </w:pPr>
      <w:r>
        <w:rPr>
          <w:b/>
          <w:i/>
          <w:sz w:val="23"/>
          <w:szCs w:val="23"/>
        </w:rPr>
        <w:t>From</w:t>
      </w:r>
    </w:p>
    <w:p>
      <w:pPr>
        <w:pStyle w:val="Default"/>
        <w:rPr>
          <w:sz w:val="23"/>
          <w:szCs w:val="23"/>
        </w:rPr>
      </w:pPr>
      <w:r>
        <w:rPr>
          <w:sz w:val="23"/>
          <w:szCs w:val="23"/>
        </w:rPr>
      </w:r>
    </w:p>
    <w:p>
      <w:pPr>
        <w:pStyle w:val="Default"/>
        <w:rPr>
          <w:sz w:val="23"/>
          <w:szCs w:val="23"/>
        </w:rPr>
      </w:pPr>
      <w:r>
        <w:rPr>
          <w:sz w:val="23"/>
          <w:szCs w:val="23"/>
        </w:rPr>
        <w:t>Observation identifiers of MDCX with a value of zero indicate the MDC and REFID have not yet been officially assigned. Once officially assigned the MDC code will change from zero to its assigned value and the REFID will change to the officially assigned string.</w:t>
      </w:r>
    </w:p>
    <w:p>
      <w:pPr>
        <w:pStyle w:val="Default"/>
        <w:rPr>
          <w:sz w:val="23"/>
          <w:szCs w:val="23"/>
        </w:rPr>
      </w:pPr>
      <w:r>
        <w:rPr>
          <w:sz w:val="23"/>
          <w:szCs w:val="23"/>
        </w:rPr>
      </w:r>
    </w:p>
    <w:p>
      <w:pPr>
        <w:pStyle w:val="Default"/>
        <w:rPr>
          <w:sz w:val="23"/>
          <w:szCs w:val="23"/>
        </w:rPr>
      </w:pPr>
      <w:r>
        <w:rPr>
          <w:sz w:val="23"/>
          <w:szCs w:val="23"/>
        </w:rPr>
        <w:t>Identification of some observation identifications (MDC &amp; REFID) are not be currently defined in Rosetta Terminology Mapping (RTM) or in IEEE 11073-10101 Nomenclature and so a submission will be required. After values are assigned they are likely to appear in the Rosetta Terminology Mapping Management System (RTMMS) prior to being balloted for an update to the standard. Once assigned official values implementations will be required to use the assigned values.</w:t>
      </w:r>
    </w:p>
    <w:p>
      <w:pPr>
        <w:pStyle w:val="Default"/>
        <w:rPr>
          <w:sz w:val="23"/>
          <w:szCs w:val="23"/>
        </w:rPr>
      </w:pPr>
      <w:r>
        <w:rPr>
          <w:sz w:val="23"/>
          <w:szCs w:val="23"/>
        </w:rPr>
      </w:r>
    </w:p>
    <w:p>
      <w:pPr>
        <w:pStyle w:val="Default"/>
        <w:rPr>
          <w:b/>
          <w:b/>
          <w:i/>
          <w:i/>
          <w:sz w:val="23"/>
          <w:szCs w:val="23"/>
        </w:rPr>
      </w:pPr>
      <w:r>
        <w:rPr>
          <w:b/>
          <w:i/>
          <w:sz w:val="23"/>
          <w:szCs w:val="23"/>
        </w:rPr>
        <w:t>To</w:t>
      </w:r>
    </w:p>
    <w:p>
      <w:pPr>
        <w:pStyle w:val="Default"/>
        <w:rPr>
          <w:sz w:val="23"/>
          <w:szCs w:val="23"/>
        </w:rPr>
      </w:pPr>
      <w:r>
        <w:rPr>
          <w:sz w:val="23"/>
          <w:szCs w:val="23"/>
        </w:rPr>
      </w:r>
    </w:p>
    <w:p>
      <w:pPr>
        <w:pStyle w:val="Default"/>
        <w:rPr>
          <w:sz w:val="23"/>
          <w:szCs w:val="23"/>
        </w:rPr>
      </w:pPr>
      <w:r>
        <w:rPr>
          <w:sz w:val="23"/>
          <w:szCs w:val="23"/>
        </w:rPr>
        <w:t xml:space="preserve">When a [PCD-15] transaction is used for the purpose of communication of a packaged group of medical device observations for the purpose of equipment management primary identification of a MEMDMC group of observations </w:t>
      </w:r>
      <w:r>
        <w:rPr>
          <w:i/>
          <w:sz w:val="23"/>
          <w:szCs w:val="23"/>
        </w:rPr>
        <w:t>shall</w:t>
      </w:r>
      <w:r>
        <w:rPr>
          <w:sz w:val="23"/>
          <w:szCs w:val="23"/>
        </w:rPr>
        <w:t xml:space="preserve"> be encoded in the value of  OBR-4 Universal Service Identifier (CWE data type) of the OBR segment as </w:t>
      </w:r>
    </w:p>
    <w:p>
      <w:pPr>
        <w:pStyle w:val="Default"/>
        <w:rPr>
          <w:sz w:val="23"/>
          <w:szCs w:val="23"/>
        </w:rPr>
      </w:pPr>
      <w:r>
        <w:rPr>
          <w:sz w:val="23"/>
          <w:szCs w:val="23"/>
        </w:rPr>
      </w:r>
    </w:p>
    <w:p>
      <w:pPr>
        <w:pStyle w:val="Default"/>
        <w:rPr>
          <w:sz w:val="23"/>
          <w:szCs w:val="23"/>
        </w:rPr>
      </w:pPr>
      <w:r>
        <w:rPr>
          <w:sz w:val="23"/>
          <w:szCs w:val="23"/>
        </w:rPr>
        <w:tab/>
        <w:t>69135^MDC_OBS_MEM^MDC</w:t>
      </w:r>
    </w:p>
    <w:p>
      <w:pPr>
        <w:pStyle w:val="Default"/>
        <w:rPr>
          <w:sz w:val="23"/>
          <w:szCs w:val="23"/>
        </w:rPr>
      </w:pPr>
      <w:r>
        <w:rPr>
          <w:sz w:val="23"/>
          <w:szCs w:val="23"/>
        </w:rPr>
      </w:r>
    </w:p>
    <w:p>
      <w:pPr>
        <w:pStyle w:val="Default"/>
        <w:rPr>
          <w:sz w:val="23"/>
          <w:szCs w:val="23"/>
        </w:rPr>
      </w:pPr>
      <w:r>
        <w:rPr>
          <w:sz w:val="23"/>
          <w:szCs w:val="23"/>
        </w:rPr>
        <w:t>Specific MDC codes and REFIDs for specific observations and events are found in the Rosetta Terminology Mapping Management System (RTMMS). This permits additional observation definitions to be added without a version update of this document.</w:t>
      </w:r>
    </w:p>
    <w:p>
      <w:pPr>
        <w:pStyle w:val="Default"/>
        <w:rPr>
          <w:sz w:val="23"/>
          <w:szCs w:val="23"/>
        </w:rPr>
      </w:pPr>
      <w:r>
        <w:rPr>
          <w:sz w:val="23"/>
          <w:szCs w:val="23"/>
        </w:rPr>
      </w:r>
    </w:p>
    <w:p>
      <w:pPr>
        <w:pStyle w:val="Default"/>
        <w:rPr/>
      </w:pPr>
      <w:r>
        <w:rPr>
          <w:sz w:val="23"/>
          <w:szCs w:val="23"/>
        </w:rPr>
        <w:t xml:space="preserve">Identification of some observation identifications (MDC &amp; REFID) may not be currently defined in Rosetta Terminology Mapping (RTM) or in IEEE 11073-10101 Nomenclature.  Submissions will be required as needed. In the interim an MDC value of zero and a REFID prefix of MDCX </w:t>
      </w:r>
      <w:r>
        <w:rPr>
          <w:i/>
          <w:sz w:val="23"/>
          <w:szCs w:val="23"/>
        </w:rPr>
        <w:t>shall</w:t>
      </w:r>
      <w:r>
        <w:rPr>
          <w:sz w:val="23"/>
          <w:szCs w:val="23"/>
        </w:rPr>
        <w:t xml:space="preserve"> be utilized until provisional values have been assigned. After provisional values are assigned they are expected to appear in the most recent update and version of the Rosetta Terminology Mapping Management System (RTMMS) prior to being balloted for an update to the IEEE standard. Once provisional values are assigned implementations </w:t>
      </w:r>
      <w:r>
        <w:rPr>
          <w:i/>
          <w:sz w:val="23"/>
          <w:szCs w:val="23"/>
        </w:rPr>
        <w:t>shall</w:t>
      </w:r>
      <w:r>
        <w:rPr>
          <w:sz w:val="23"/>
          <w:szCs w:val="23"/>
        </w:rPr>
        <w:t xml:space="preserve"> use the assigned values.</w:t>
      </w:r>
    </w:p>
    <w:sectPr>
      <w:headerReference w:type="default" r:id="rId2"/>
      <w:footerReference w:type="default" r:id="rId3"/>
      <w:type w:val="nextPage"/>
      <w:pgSz w:w="12240" w:h="15840"/>
      <w:pgMar w:left="1800" w:right="108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120" w:after="0"/>
      <w:rPr/>
    </w:pPr>
    <w:r>
      <w:rPr>
        <w:rFonts w:cs="Arial" w:ascii="Arial" w:hAnsi="Arial"/>
        <w:i/>
        <w:iCs/>
        <w:sz w:val="16"/>
      </w:rPr>
      <w:fldChar w:fldCharType="begin"/>
    </w:r>
    <w:r>
      <w:rPr>
        <w:sz w:val="16"/>
        <w:i/>
        <w:iCs/>
        <w:rFonts w:cs="Arial" w:ascii="Arial" w:hAnsi="Arial"/>
      </w:rPr>
      <w:instrText> FILENAME </w:instrText>
    </w:r>
    <w:r>
      <w:rPr>
        <w:sz w:val="16"/>
        <w:i/>
        <w:iCs/>
        <w:rFonts w:cs="Arial" w:ascii="Arial" w:hAnsi="Arial"/>
      </w:rPr>
      <w:fldChar w:fldCharType="separate"/>
    </w:r>
    <w:r>
      <w:rPr>
        <w:sz w:val="16"/>
        <w:i/>
        <w:iCs/>
        <w:rFonts w:cs="Arial" w:ascii="Arial" w:hAnsi="Arial"/>
      </w:rPr>
      <w:t>CP-PCD-nnnn_MEMDMC_Use of MDC_OBS_MEM in OBR-4 in PCD-15 03.docx</w:t>
    </w:r>
    <w:r>
      <w:rPr>
        <w:sz w:val="16"/>
        <w:i/>
        <w:iCs/>
        <w:rFonts w:cs="Arial" w:ascii="Arial" w:hAnsi="Arial"/>
      </w:rPr>
      <w:fldChar w:fldCharType="end"/>
    </w:r>
  </w:p>
  <w:p>
    <w:pPr>
      <w:pStyle w:val="Header"/>
      <w:rPr/>
    </w:pPr>
    <w:r>
      <w:rPr>
        <w:rFonts w:cs="Arial" w:ascii="Arial" w:hAnsi="Arial"/>
        <w:i/>
        <w:iCs/>
        <w:sz w:val="20"/>
      </w:rPr>
      <w:t>Use of MDC_OBS_MEM in OBR-4 in PCD-15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120" w:after="0"/>
      <w:jc w:val="left"/>
    </w:pPr>
    <w:rPr>
      <w:rFonts w:ascii="Times New Roman" w:hAnsi="Times New Roman" w:eastAsia="Times New Roman" w:cs="Times New Roman"/>
      <w:color w:val="auto"/>
      <w:kern w:val="0"/>
      <w:sz w:val="24"/>
      <w:szCs w:val="20"/>
      <w:lang w:bidi="ar-SA" w:val="en-US" w:eastAsia="zh-CN"/>
    </w:rPr>
  </w:style>
  <w:style w:type="paragraph" w:styleId="Heading1">
    <w:name w:val="Heading 1"/>
    <w:basedOn w:val="Normal"/>
    <w:next w:val="TextBody"/>
    <w:uiPriority w:val="9"/>
    <w:qFormat/>
    <w:pPr>
      <w:keepNext w:val="true"/>
      <w:widowControl/>
      <w:numPr>
        <w:ilvl w:val="0"/>
        <w:numId w:val="1"/>
      </w:numPr>
      <w:tabs>
        <w:tab w:val="left" w:pos="360" w:leader="none"/>
      </w:tabs>
      <w:bidi w:val="0"/>
      <w:spacing w:before="240" w:after="60"/>
      <w:ind w:left="360" w:hanging="720"/>
      <w:jc w:val="left"/>
      <w:outlineLvl w:val="0"/>
    </w:pPr>
    <w:rPr>
      <w:rFonts w:ascii="Arial" w:hAnsi="Arial" w:eastAsia="Times New Roman" w:cs="Arial"/>
      <w:b/>
      <w:kern w:val="2"/>
      <w:sz w:val="28"/>
      <w:szCs w:val="20"/>
      <w:lang w:eastAsia="en-US" w:bidi="ar-SA"/>
    </w:rPr>
  </w:style>
  <w:style w:type="paragraph" w:styleId="Heading2">
    <w:name w:val="Heading 2"/>
    <w:basedOn w:val="Heading1"/>
    <w:next w:val="TextBody"/>
    <w:uiPriority w:val="9"/>
    <w:semiHidden/>
    <w:unhideWhenUsed/>
    <w:qFormat/>
    <w:pPr>
      <w:numPr>
        <w:ilvl w:val="1"/>
        <w:numId w:val="1"/>
      </w:numPr>
      <w:tabs>
        <w:tab w:val="left" w:pos="540" w:leader="none"/>
      </w:tabs>
      <w:ind w:left="547" w:hanging="907"/>
      <w:outlineLvl w:val="1"/>
    </w:pPr>
    <w:rPr/>
  </w:style>
  <w:style w:type="paragraph" w:styleId="Heading3">
    <w:name w:val="Heading 3"/>
    <w:basedOn w:val="Heading2"/>
    <w:next w:val="TextBody"/>
    <w:uiPriority w:val="9"/>
    <w:semiHidden/>
    <w:unhideWhenUsed/>
    <w:qFormat/>
    <w:pPr>
      <w:numPr>
        <w:ilvl w:val="2"/>
        <w:numId w:val="1"/>
      </w:numPr>
      <w:ind w:left="547" w:hanging="1080"/>
      <w:outlineLvl w:val="2"/>
    </w:pPr>
    <w:rPr>
      <w:sz w:val="24"/>
    </w:rPr>
  </w:style>
  <w:style w:type="paragraph" w:styleId="Heading4">
    <w:name w:val="Heading 4"/>
    <w:basedOn w:val="Heading3"/>
    <w:next w:val="TextBody"/>
    <w:uiPriority w:val="9"/>
    <w:semiHidden/>
    <w:unhideWhenUsed/>
    <w:qFormat/>
    <w:pPr>
      <w:numPr>
        <w:ilvl w:val="3"/>
        <w:numId w:val="1"/>
      </w:numPr>
      <w:tabs>
        <w:tab w:val="left" w:pos="900" w:leader="none"/>
      </w:tabs>
      <w:ind w:left="900" w:hanging="1260"/>
      <w:outlineLvl w:val="3"/>
    </w:pPr>
    <w:rPr/>
  </w:style>
  <w:style w:type="paragraph" w:styleId="Heading5">
    <w:name w:val="Heading 5"/>
    <w:basedOn w:val="Heading4"/>
    <w:next w:val="TextBody"/>
    <w:uiPriority w:val="9"/>
    <w:semiHidden/>
    <w:unhideWhenUsed/>
    <w:qFormat/>
    <w:pPr>
      <w:numPr>
        <w:ilvl w:val="4"/>
        <w:numId w:val="1"/>
      </w:numPr>
      <w:tabs>
        <w:tab w:val="left" w:pos="1080" w:leader="none"/>
      </w:tabs>
      <w:ind w:left="1080" w:hanging="1440"/>
      <w:outlineLvl w:val="4"/>
    </w:pPr>
    <w:rPr/>
  </w:style>
  <w:style w:type="paragraph" w:styleId="Heading6">
    <w:name w:val="Heading 6"/>
    <w:basedOn w:val="Heading5"/>
    <w:next w:val="TextBody"/>
    <w:uiPriority w:val="9"/>
    <w:semiHidden/>
    <w:unhideWhenUsed/>
    <w:qFormat/>
    <w:pPr>
      <w:numPr>
        <w:ilvl w:val="5"/>
        <w:numId w:val="1"/>
      </w:numPr>
      <w:tabs>
        <w:tab w:val="left" w:pos="1260" w:leader="none"/>
      </w:tabs>
      <w:ind w:left="1260" w:hanging="1620"/>
      <w:outlineLvl w:val="5"/>
    </w:pPr>
    <w:rPr/>
  </w:style>
  <w:style w:type="paragraph" w:styleId="Heading7">
    <w:name w:val="Heading 7"/>
    <w:basedOn w:val="Heading6"/>
    <w:next w:val="TextBody"/>
    <w:qFormat/>
    <w:pPr>
      <w:numPr>
        <w:ilvl w:val="6"/>
        <w:numId w:val="1"/>
      </w:numPr>
      <w:tabs>
        <w:tab w:val="left" w:pos="1440" w:leader="none"/>
      </w:tabs>
      <w:ind w:left="1440" w:hanging="1800"/>
      <w:outlineLvl w:val="6"/>
    </w:pPr>
    <w:rPr/>
  </w:style>
  <w:style w:type="paragraph" w:styleId="Heading8">
    <w:name w:val="Heading 8"/>
    <w:basedOn w:val="Heading7"/>
    <w:next w:val="TextBody"/>
    <w:qFormat/>
    <w:pPr>
      <w:numPr>
        <w:ilvl w:val="7"/>
        <w:numId w:val="1"/>
      </w:numPr>
      <w:tabs>
        <w:tab w:val="left" w:pos="1620" w:leader="none"/>
      </w:tabs>
      <w:ind w:left="1620" w:hanging="1980"/>
      <w:outlineLvl w:val="7"/>
    </w:pPr>
    <w:rPr/>
  </w:style>
  <w:style w:type="paragraph" w:styleId="Heading9">
    <w:name w:val="Heading 9"/>
    <w:basedOn w:val="Heading8"/>
    <w:next w:val="TextBody"/>
    <w:qFormat/>
    <w:pPr>
      <w:numPr>
        <w:ilvl w:val="8"/>
        <w:numId w:val="1"/>
      </w:numPr>
      <w:tabs>
        <w:tab w:val="left" w:pos="1800" w:leader="none"/>
      </w:tabs>
      <w:ind w:left="1800" w:hanging="21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2z0" w:customStyle="1">
    <w:name w:val="WW8Num2z0"/>
    <w:qFormat/>
    <w:rPr>
      <w:rFonts w:ascii="Symbol" w:hAnsi="Symbol" w:cs="Symbol"/>
    </w:rPr>
  </w:style>
  <w:style w:type="character" w:styleId="WW8Num3z0" w:customStyle="1">
    <w:name w:val="WW8Num3z0"/>
    <w:qFormat/>
    <w:rPr/>
  </w:style>
  <w:style w:type="character" w:styleId="WW8Num4z0" w:customStyle="1">
    <w:name w:val="WW8Num4z0"/>
    <w:qFormat/>
    <w:rPr>
      <w:rFonts w:ascii="Symbol" w:hAnsi="Symbol" w:cs="Symbol"/>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HL7FieldIndent2Char" w:customStyle="1">
    <w:name w:val="HL7 Field Indent 2 Char"/>
    <w:qFormat/>
    <w:rPr>
      <w:sz w:val="24"/>
      <w:lang w:val="en-US" w:eastAsia="en-US"/>
    </w:rPr>
  </w:style>
  <w:style w:type="character" w:styleId="TableEntryChar" w:customStyle="1">
    <w:name w:val="Table Entry Char"/>
    <w:qFormat/>
    <w:rPr>
      <w:sz w:val="18"/>
      <w:lang w:val="en-US" w:eastAsia="en-US"/>
    </w:rPr>
  </w:style>
  <w:style w:type="character" w:styleId="TableEntryHeaderChar" w:customStyle="1">
    <w:name w:val="Table Entry Header Char"/>
    <w:qFormat/>
    <w:rPr>
      <w:rFonts w:ascii="Arial" w:hAnsi="Arial" w:cs="Arial"/>
      <w:b/>
      <w:lang w:val="en-US" w:eastAsia="en-US"/>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Heading" w:customStyle="1">
    <w:name w:val="Heading"/>
    <w:basedOn w:val="Normal"/>
    <w:next w:val="TextBody"/>
    <w:qFormat/>
    <w:pPr>
      <w:jc w:val="center"/>
    </w:pPr>
    <w:rPr>
      <w:b/>
      <w:sz w:val="44"/>
    </w:rPr>
  </w:style>
  <w:style w:type="paragraph" w:styleId="TextBody">
    <w:name w:val="Body Text"/>
    <w:basedOn w:val="Normal"/>
    <w:pPr>
      <w:widowControl/>
      <w:bidi w:val="0"/>
      <w:spacing w:before="120" w:after="0"/>
      <w:jc w:val="left"/>
    </w:pPr>
    <w:rPr>
      <w:rFonts w:ascii="Times New Roman" w:hAnsi="Times New Roman" w:eastAsia="Times New Roman" w:cs="Times New Roman"/>
      <w:sz w:val="24"/>
      <w:szCs w:val="20"/>
      <w:lang w:eastAsia="en-US" w:bidi="ar-SA"/>
    </w:rPr>
  </w:style>
  <w:style w:type="paragraph" w:styleId="List">
    <w:name w:val="List"/>
    <w:basedOn w:val="TextBody"/>
    <w:pPr>
      <w:spacing w:before="60" w:after="0"/>
      <w:ind w:left="1080" w:hanging="7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TextBody"/>
    <w:next w:val="TextBody"/>
    <w:qFormat/>
    <w:pPr/>
    <w:rPr>
      <w:rFonts w:ascii="Arial" w:hAnsi="Arial" w:cs="Arial"/>
      <w:b/>
    </w:rPr>
  </w:style>
  <w:style w:type="paragraph" w:styleId="TextBodyIndent">
    <w:name w:val="Body Text Indent"/>
    <w:basedOn w:val="TextBody"/>
    <w:pPr>
      <w:ind w:left="360" w:hanging="0"/>
    </w:pPr>
    <w:rPr/>
  </w:style>
  <w:style w:type="paragraph" w:styleId="ListNumber">
    <w:name w:val="List Number"/>
    <w:basedOn w:val="TextBody"/>
    <w:qFormat/>
    <w:pPr/>
    <w:rPr/>
  </w:style>
  <w:style w:type="paragraph" w:styleId="ListBullet">
    <w:name w:val="List Bullet"/>
    <w:basedOn w:val="TextBody"/>
    <w:qFormat/>
    <w:pPr>
      <w:tabs>
        <w:tab w:val="left" w:pos="720" w:leader="none"/>
      </w:tabs>
      <w:spacing w:before="60" w:after="0"/>
      <w:ind w:left="720" w:hanging="0"/>
    </w:pPr>
    <w:rPr/>
  </w:style>
  <w:style w:type="paragraph" w:styleId="ListBullet2">
    <w:name w:val="List Bullet 2"/>
    <w:basedOn w:val="ListBullet"/>
    <w:qFormat/>
    <w:pPr>
      <w:tabs>
        <w:tab w:val="left" w:pos="1080" w:leader="none"/>
      </w:tabs>
      <w:ind w:left="1080" w:hanging="0"/>
    </w:pPr>
    <w:rPr/>
  </w:style>
  <w:style w:type="paragraph" w:styleId="ListBullet3">
    <w:name w:val="List Bullet 3"/>
    <w:basedOn w:val="List"/>
    <w:qFormat/>
    <w:pPr>
      <w:ind w:left="1440" w:hanging="720"/>
    </w:pPr>
    <w:rPr/>
  </w:style>
  <w:style w:type="paragraph" w:styleId="Contents1">
    <w:name w:val="TOC 1"/>
    <w:basedOn w:val="Normal"/>
    <w:next w:val="Normal"/>
    <w:pPr>
      <w:widowControl/>
      <w:bidi w:val="0"/>
      <w:jc w:val="left"/>
    </w:pPr>
    <w:rPr>
      <w:rFonts w:ascii="Times New Roman" w:hAnsi="Times New Roman" w:eastAsia="Times New Roman" w:cs="Times New Roman"/>
      <w:sz w:val="24"/>
      <w:szCs w:val="20"/>
      <w:lang w:eastAsia="en-US" w:bidi="ar-SA"/>
    </w:rPr>
  </w:style>
  <w:style w:type="paragraph" w:styleId="Contents2">
    <w:name w:val="TOC 2"/>
    <w:basedOn w:val="Contents1"/>
    <w:next w:val="Normal"/>
    <w:pPr>
      <w:ind w:left="240" w:hanging="0"/>
    </w:pPr>
    <w:rPr/>
  </w:style>
  <w:style w:type="paragraph" w:styleId="Contents3">
    <w:name w:val="TOC 3"/>
    <w:basedOn w:val="Contents2"/>
    <w:next w:val="Normal"/>
    <w:pPr>
      <w:ind w:left="480" w:hanging="0"/>
    </w:pPr>
    <w:rPr/>
  </w:style>
  <w:style w:type="paragraph" w:styleId="Contents4">
    <w:name w:val="TOC 4"/>
    <w:basedOn w:val="Contents3"/>
    <w:next w:val="Normal"/>
    <w:pPr>
      <w:ind w:left="720" w:hanging="0"/>
    </w:pPr>
    <w:rPr/>
  </w:style>
  <w:style w:type="paragraph" w:styleId="Contents5">
    <w:name w:val="TOC 5"/>
    <w:basedOn w:val="Contents4"/>
    <w:next w:val="Normal"/>
    <w:pPr>
      <w:ind w:left="960" w:hanging="0"/>
    </w:pPr>
    <w:rPr/>
  </w:style>
  <w:style w:type="paragraph" w:styleId="Contents6">
    <w:name w:val="TOC 6"/>
    <w:basedOn w:val="Contents5"/>
    <w:next w:val="Normal"/>
    <w:pPr>
      <w:ind w:left="1200" w:hanging="0"/>
    </w:pPr>
    <w:rPr/>
  </w:style>
  <w:style w:type="paragraph" w:styleId="Contents7">
    <w:name w:val="TOC 7"/>
    <w:basedOn w:val="Contents6"/>
    <w:next w:val="Normal"/>
    <w:pPr>
      <w:ind w:left="1440" w:hanging="0"/>
    </w:pPr>
    <w:rPr/>
  </w:style>
  <w:style w:type="paragraph" w:styleId="Contents8">
    <w:name w:val="TOC 8"/>
    <w:basedOn w:val="Contents7"/>
    <w:next w:val="Normal"/>
    <w:pPr>
      <w:ind w:left="1680" w:hanging="0"/>
    </w:pPr>
    <w:rPr/>
  </w:style>
  <w:style w:type="paragraph" w:styleId="Contents9">
    <w:name w:val="TOC 9"/>
    <w:basedOn w:val="Contents8"/>
    <w:next w:val="Normal"/>
    <w:pPr>
      <w:ind w:left="1920" w:hanging="0"/>
    </w:pPr>
    <w:rPr/>
  </w:style>
  <w:style w:type="paragraph" w:styleId="TableEntry" w:customStyle="1">
    <w:name w:val="Table Entry"/>
    <w:basedOn w:val="TextBody"/>
    <w:qFormat/>
    <w:pPr>
      <w:spacing w:before="40" w:after="40"/>
      <w:ind w:left="72" w:right="72" w:hanging="0"/>
    </w:pPr>
    <w:rPr>
      <w:sz w:val="18"/>
    </w:rPr>
  </w:style>
  <w:style w:type="paragraph" w:styleId="TableEntryHeader" w:customStyle="1">
    <w:name w:val="Table Entry Header"/>
    <w:basedOn w:val="TableEntry"/>
    <w:qFormat/>
    <w:pPr>
      <w:jc w:val="center"/>
    </w:pPr>
    <w:rPr>
      <w:rFonts w:ascii="Arial" w:hAnsi="Arial" w:cs="Arial"/>
      <w:b/>
      <w:sz w:val="20"/>
    </w:rPr>
  </w:style>
  <w:style w:type="paragraph" w:styleId="TableTitle" w:customStyle="1">
    <w:name w:val="Table Title"/>
    <w:basedOn w:val="TextBody"/>
    <w:qFormat/>
    <w:pPr>
      <w:spacing w:before="60" w:after="60"/>
      <w:jc w:val="center"/>
    </w:pPr>
    <w:rPr>
      <w:rFonts w:ascii="Arial" w:hAnsi="Arial" w:cs="Arial"/>
      <w:b/>
      <w:sz w:val="22"/>
    </w:rPr>
  </w:style>
  <w:style w:type="paragraph" w:styleId="FigureTitle" w:customStyle="1">
    <w:name w:val="Figure Title"/>
    <w:basedOn w:val="TableTitle"/>
    <w:qFormat/>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ListBullet4">
    <w:name w:val="List Bullet 4"/>
    <w:basedOn w:val="Normal"/>
    <w:qFormat/>
    <w:pPr>
      <w:ind w:left="1800" w:hanging="720"/>
    </w:pPr>
    <w:rPr/>
  </w:style>
  <w:style w:type="paragraph" w:styleId="ListContinue">
    <w:name w:val="List Continue"/>
    <w:basedOn w:val="List"/>
    <w:qFormat/>
    <w:pPr>
      <w:spacing w:before="60" w:after="120"/>
      <w:ind w:left="1080" w:hanging="0"/>
    </w:pPr>
    <w:rPr/>
  </w:style>
  <w:style w:type="paragraph" w:styleId="ListContinue2">
    <w:name w:val="List Continue 2"/>
    <w:basedOn w:val="ListBullet3"/>
    <w:qFormat/>
    <w:pPr>
      <w:ind w:left="1440" w:hanging="0"/>
    </w:pPr>
    <w:rPr/>
  </w:style>
  <w:style w:type="paragraph" w:styleId="ParagraphHeading" w:customStyle="1">
    <w:name w:val="Paragraph Heading"/>
    <w:basedOn w:val="Caption1"/>
    <w:next w:val="TextBody"/>
    <w:qFormat/>
    <w:pPr>
      <w:spacing w:before="180" w:after="0"/>
    </w:pPr>
    <w:rPr/>
  </w:style>
  <w:style w:type="paragraph" w:styleId="ListNumberContinue" w:customStyle="1">
    <w:name w:val="List Number Continue"/>
    <w:basedOn w:val="ListNumber"/>
    <w:qFormat/>
    <w:pPr>
      <w:spacing w:before="60" w:after="0"/>
      <w:ind w:left="900" w:hanging="0"/>
    </w:pPr>
    <w:rPr/>
  </w:style>
  <w:style w:type="paragraph" w:styleId="ListBulletContinue" w:customStyle="1">
    <w:name w:val="List Bullet Continue"/>
    <w:basedOn w:val="ListBullet"/>
    <w:qFormat/>
    <w:pPr>
      <w:ind w:left="720" w:hanging="0"/>
    </w:pPr>
    <w:rPr/>
  </w:style>
  <w:style w:type="paragraph" w:styleId="ListBullet2Continue" w:customStyle="1">
    <w:name w:val="List Bullet 2 Continue"/>
    <w:basedOn w:val="ListBullet2"/>
    <w:qFormat/>
    <w:pPr>
      <w:ind w:left="1080" w:hanging="0"/>
    </w:pPr>
    <w:rPr/>
  </w:style>
  <w:style w:type="paragraph" w:styleId="ListBullet3Continue" w:customStyle="1">
    <w:name w:val="List Bullet 3 Continue"/>
    <w:basedOn w:val="ListBullet3"/>
    <w:qFormat/>
    <w:pPr>
      <w:ind w:left="1440" w:hanging="0"/>
    </w:pPr>
    <w:rPr/>
  </w:style>
  <w:style w:type="paragraph" w:styleId="List3Continue" w:customStyle="1">
    <w:name w:val="List 3 Continue"/>
    <w:basedOn w:val="ListBullet4"/>
    <w:qFormat/>
    <w:pPr>
      <w:ind w:left="1800" w:hanging="0"/>
    </w:pPr>
    <w:rPr/>
  </w:style>
  <w:style w:type="paragraph" w:styleId="AppendixHeading2" w:customStyle="1">
    <w:name w:val="Appendix Heading 2"/>
    <w:next w:val="TextBody"/>
    <w:qFormat/>
    <w:pPr>
      <w:widowControl/>
      <w:bidi w:val="0"/>
      <w:spacing w:before="240" w:after="60"/>
      <w:jc w:val="left"/>
    </w:pPr>
    <w:rPr>
      <w:rFonts w:ascii="Arial" w:hAnsi="Arial" w:eastAsia="Times New Roman" w:cs="Arial"/>
      <w:b/>
      <w:color w:val="auto"/>
      <w:kern w:val="0"/>
      <w:sz w:val="28"/>
      <w:szCs w:val="20"/>
      <w:lang w:eastAsia="en-US" w:bidi="ar-SA" w:val="en-US"/>
    </w:rPr>
  </w:style>
  <w:style w:type="paragraph" w:styleId="AppendixHeading1" w:customStyle="1">
    <w:name w:val="Appendix Heading 1"/>
    <w:next w:val="TextBody"/>
    <w:qFormat/>
    <w:pPr>
      <w:widowControl/>
      <w:tabs>
        <w:tab w:val="left" w:pos="1980" w:leader="none"/>
      </w:tabs>
      <w:bidi w:val="0"/>
      <w:spacing w:before="240" w:after="60"/>
      <w:ind w:left="1980" w:hanging="1980"/>
      <w:jc w:val="left"/>
    </w:pPr>
    <w:rPr>
      <w:rFonts w:ascii="Arial" w:hAnsi="Arial" w:eastAsia="Times New Roman" w:cs="Arial"/>
      <w:b/>
      <w:color w:val="auto"/>
      <w:kern w:val="0"/>
      <w:sz w:val="28"/>
      <w:szCs w:val="20"/>
      <w:lang w:eastAsia="en-US" w:bidi="ar-SA" w:val="en-US"/>
    </w:rPr>
  </w:style>
  <w:style w:type="paragraph" w:styleId="AppendixHeading3" w:customStyle="1">
    <w:name w:val="Appendix Heading 3"/>
    <w:basedOn w:val="AppendixHeading2"/>
    <w:next w:val="TextBody"/>
    <w:qFormat/>
    <w:pPr/>
    <w:rPr>
      <w:sz w:val="24"/>
    </w:rPr>
  </w:style>
  <w:style w:type="paragraph" w:styleId="EditorInstructions" w:customStyle="1">
    <w:name w:val="Editor Instructions"/>
    <w:basedOn w:val="TextBody"/>
    <w:qFormat/>
    <w:pPr>
      <w:pBdr>
        <w:top w:val="single" w:sz="4" w:space="1" w:color="000000"/>
        <w:left w:val="single" w:sz="4" w:space="4" w:color="000000"/>
        <w:bottom w:val="single" w:sz="4" w:space="1" w:color="000000"/>
        <w:right w:val="single" w:sz="4" w:space="4" w:color="000000"/>
      </w:pBdr>
    </w:pPr>
    <w:rPr>
      <w:i/>
      <w:iCs/>
    </w:rPr>
  </w:style>
  <w:style w:type="paragraph" w:styleId="StyleBodyTextItalicRedBoxSinglesolidlineAuto05" w:customStyle="1">
    <w:name w:val="Style Body Text + Italic Red Box: (Single solid line Auto  0.5 ..."/>
    <w:basedOn w:val="TextBody"/>
    <w:qFormat/>
    <w:pPr>
      <w:pBdr>
        <w:top w:val="single" w:sz="4" w:space="1" w:color="000000"/>
        <w:left w:val="single" w:sz="4" w:space="4" w:color="000000"/>
        <w:bottom w:val="single" w:sz="4" w:space="1" w:color="000000"/>
        <w:right w:val="single" w:sz="4" w:space="4" w:color="000000"/>
      </w:pBdr>
    </w:pPr>
    <w:rPr>
      <w:i/>
      <w:iCs/>
    </w:rPr>
  </w:style>
  <w:style w:type="paragraph" w:styleId="Footnote">
    <w:name w:val="Footnote Text"/>
    <w:basedOn w:val="Normal"/>
    <w:pPr/>
    <w:rPr>
      <w:sz w:val="20"/>
    </w:rPr>
  </w:style>
  <w:style w:type="paragraph" w:styleId="Note" w:customStyle="1">
    <w:name w:val="Note"/>
    <w:basedOn w:val="Footnote"/>
    <w:qFormat/>
    <w:pPr>
      <w:ind w:left="1152" w:hanging="720"/>
    </w:pPr>
    <w:rPr>
      <w:sz w:val="18"/>
    </w:rPr>
  </w:style>
  <w:style w:type="paragraph" w:styleId="BalloonText">
    <w:name w:val="Balloon Text"/>
    <w:basedOn w:val="Normal"/>
    <w:qFormat/>
    <w:pPr/>
    <w:rPr>
      <w:rFonts w:ascii="Tahoma" w:hAnsi="Tahoma" w:cs="Tahoma"/>
      <w:sz w:val="16"/>
      <w:szCs w:val="16"/>
    </w:rPr>
  </w:style>
  <w:style w:type="paragraph" w:styleId="Default" w:customStyle="1">
    <w:name w:val="Default"/>
    <w:qFormat/>
    <w:pPr>
      <w:widowControl/>
      <w:bidi w:val="0"/>
      <w:jc w:val="left"/>
    </w:pPr>
    <w:rPr>
      <w:rFonts w:ascii="Times New Roman" w:hAnsi="Times New Roman" w:eastAsia="Times New Roman" w:cs="Times New Roman"/>
      <w:color w:val="000000"/>
      <w:kern w:val="0"/>
      <w:sz w:val="24"/>
      <w:szCs w:val="24"/>
      <w:lang w:bidi="ar-SA" w:val="en-US" w:eastAsia="zh-CN"/>
    </w:rPr>
  </w:style>
  <w:style w:type="paragraph" w:styleId="HL7FieldIndent2" w:customStyle="1">
    <w:name w:val="HL7 Field Indent 2"/>
    <w:basedOn w:val="TextBodyIndent"/>
    <w:qFormat/>
    <w:pPr>
      <w:spacing w:lineRule="atLeast" w:line="240"/>
      <w:ind w:left="720" w:hanging="0"/>
    </w:pPr>
    <w:rPr/>
  </w:style>
  <w:style w:type="paragraph" w:styleId="HL7Field" w:customStyle="1">
    <w:name w:val="HL7 Field"/>
    <w:basedOn w:val="Normal"/>
    <w:qFormat/>
    <w:pPr>
      <w:keepNext w:val="true"/>
      <w:spacing w:lineRule="atLeast" w:line="260" w:before="120" w:after="60"/>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LibreOffice/6.0.7.3$Linux_X86_64 LibreOffice_project/00m0$Build-3</Application>
  <Pages>3</Pages>
  <Words>1126</Words>
  <Characters>6423</Characters>
  <CharactersWithSpaces>7506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2020-11-03T01:59:00Z</dcterms:created>
  <dc:creator>NO ONE ASSIGNED</dc:creator>
  <dc:description/>
  <dc:language>en-US</dc:language>
  <cp:lastModifiedBy/>
  <cp:lastPrinted>2020-11-03T01:59:00Z</cp:lastPrinted>
  <dcterms:modified xsi:type="dcterms:W3CDTF">2020-11-30T10:10:10Z</dcterms:modified>
  <cp:revision>18</cp:revision>
  <dc:subject/>
  <dc:title>&lt;Change Proposal Title&gt;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