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9221" w14:textId="77777777" w:rsidR="00D732B7" w:rsidRDefault="00D732B7">
      <w:pPr>
        <w:pStyle w:val="Title"/>
      </w:pPr>
      <w:r>
        <w:t>IHE Change Proposal</w:t>
      </w:r>
    </w:p>
    <w:p w14:paraId="6C21CE42" w14:textId="77777777" w:rsidR="00D732B7" w:rsidRDefault="00D732B7">
      <w:pPr>
        <w:pStyle w:val="BodyText"/>
        <w:tabs>
          <w:tab w:val="left" w:pos="9180"/>
        </w:tabs>
        <w:rPr>
          <w:strike/>
        </w:rPr>
      </w:pPr>
      <w:r>
        <w:rPr>
          <w:strike/>
        </w:rPr>
        <w:tab/>
      </w:r>
    </w:p>
    <w:p w14:paraId="67F2A4BF" w14:textId="77777777" w:rsidR="00D732B7" w:rsidRDefault="00D732B7">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676"/>
      </w:tblGrid>
      <w:tr w:rsidR="00D732B7" w14:paraId="5A4D9E66" w14:textId="77777777">
        <w:tblPrEx>
          <w:tblCellMar>
            <w:top w:w="0" w:type="dxa"/>
            <w:bottom w:w="0" w:type="dxa"/>
          </w:tblCellMar>
        </w:tblPrEx>
        <w:tc>
          <w:tcPr>
            <w:tcW w:w="4788" w:type="dxa"/>
          </w:tcPr>
          <w:p w14:paraId="62A72D71" w14:textId="77777777" w:rsidR="00D732B7" w:rsidRDefault="00D732B7">
            <w:pPr>
              <w:pStyle w:val="TableEntry"/>
            </w:pPr>
            <w:r>
              <w:t>IHE Domain</w:t>
            </w:r>
          </w:p>
        </w:tc>
        <w:tc>
          <w:tcPr>
            <w:tcW w:w="4788" w:type="dxa"/>
          </w:tcPr>
          <w:p w14:paraId="42874422" w14:textId="77777777" w:rsidR="00D732B7" w:rsidRPr="004D440C" w:rsidRDefault="004D440C">
            <w:pPr>
              <w:pStyle w:val="TableEntry"/>
            </w:pPr>
            <w:r w:rsidRPr="004D440C">
              <w:t>Patient Care Device (PCD)</w:t>
            </w:r>
          </w:p>
        </w:tc>
      </w:tr>
      <w:tr w:rsidR="00D732B7" w14:paraId="32EA2D8C" w14:textId="77777777">
        <w:tblPrEx>
          <w:tblCellMar>
            <w:top w:w="0" w:type="dxa"/>
            <w:bottom w:w="0" w:type="dxa"/>
          </w:tblCellMar>
        </w:tblPrEx>
        <w:tc>
          <w:tcPr>
            <w:tcW w:w="4788" w:type="dxa"/>
          </w:tcPr>
          <w:p w14:paraId="6EC284EC" w14:textId="77777777" w:rsidR="00D732B7" w:rsidRDefault="00D732B7">
            <w:pPr>
              <w:pStyle w:val="TableEntry"/>
            </w:pPr>
            <w:r>
              <w:t xml:space="preserve">Change Proposal </w:t>
            </w:r>
            <w:r w:rsidR="00766FFD">
              <w:t>ID</w:t>
            </w:r>
            <w:r w:rsidR="00A43CFF">
              <w:t>:</w:t>
            </w:r>
          </w:p>
        </w:tc>
        <w:tc>
          <w:tcPr>
            <w:tcW w:w="4788" w:type="dxa"/>
          </w:tcPr>
          <w:p w14:paraId="377231B8" w14:textId="77777777" w:rsidR="00D732B7" w:rsidRDefault="00766FFD" w:rsidP="004D440C">
            <w:pPr>
              <w:pStyle w:val="TableEntry"/>
            </w:pPr>
            <w:r>
              <w:t>CP-</w:t>
            </w:r>
            <w:r w:rsidR="004D440C">
              <w:t>PCD</w:t>
            </w:r>
            <w:r>
              <w:t>-</w:t>
            </w:r>
            <w:r w:rsidR="00D34E08">
              <w:t>154</w:t>
            </w:r>
          </w:p>
        </w:tc>
      </w:tr>
      <w:tr w:rsidR="00D732B7" w14:paraId="7AC3532B" w14:textId="77777777">
        <w:tblPrEx>
          <w:tblCellMar>
            <w:top w:w="0" w:type="dxa"/>
            <w:bottom w:w="0" w:type="dxa"/>
          </w:tblCellMar>
        </w:tblPrEx>
        <w:tc>
          <w:tcPr>
            <w:tcW w:w="4788" w:type="dxa"/>
          </w:tcPr>
          <w:p w14:paraId="5CE21532" w14:textId="77777777" w:rsidR="00D732B7" w:rsidRDefault="00D732B7">
            <w:pPr>
              <w:pStyle w:val="TableEntry"/>
            </w:pPr>
            <w:r>
              <w:t>Change Proposal Status:</w:t>
            </w:r>
          </w:p>
        </w:tc>
        <w:tc>
          <w:tcPr>
            <w:tcW w:w="4788" w:type="dxa"/>
          </w:tcPr>
          <w:p w14:paraId="685407FD" w14:textId="77777777" w:rsidR="00D732B7" w:rsidRDefault="00F25F75">
            <w:pPr>
              <w:pStyle w:val="TableEntry"/>
            </w:pPr>
            <w:r>
              <w:t>Submitted</w:t>
            </w:r>
          </w:p>
        </w:tc>
      </w:tr>
      <w:tr w:rsidR="00D732B7" w14:paraId="7C5D212E" w14:textId="77777777">
        <w:tblPrEx>
          <w:tblCellMar>
            <w:top w:w="0" w:type="dxa"/>
            <w:bottom w:w="0" w:type="dxa"/>
          </w:tblCellMar>
        </w:tblPrEx>
        <w:tc>
          <w:tcPr>
            <w:tcW w:w="4788" w:type="dxa"/>
          </w:tcPr>
          <w:p w14:paraId="325A85CB" w14:textId="77777777" w:rsidR="00D732B7" w:rsidRDefault="00D732B7">
            <w:pPr>
              <w:pStyle w:val="TableEntry"/>
            </w:pPr>
            <w:r>
              <w:t>Date of last update:</w:t>
            </w:r>
          </w:p>
        </w:tc>
        <w:tc>
          <w:tcPr>
            <w:tcW w:w="4788" w:type="dxa"/>
          </w:tcPr>
          <w:p w14:paraId="55CB893F" w14:textId="77777777" w:rsidR="00D732B7" w:rsidRDefault="00B208CF" w:rsidP="00D10B53">
            <w:pPr>
              <w:pStyle w:val="TableEntry"/>
            </w:pPr>
            <w:r>
              <w:t>2020</w:t>
            </w:r>
            <w:r w:rsidR="00F22A06">
              <w:t>-</w:t>
            </w:r>
            <w:r w:rsidR="0025586C">
              <w:t>12</w:t>
            </w:r>
            <w:r w:rsidR="004D440C">
              <w:t>-</w:t>
            </w:r>
            <w:r w:rsidR="0025586C">
              <w:t>0</w:t>
            </w:r>
            <w:r w:rsidR="00451336">
              <w:t>8</w:t>
            </w:r>
          </w:p>
        </w:tc>
      </w:tr>
      <w:tr w:rsidR="00D732B7" w14:paraId="270DB95A" w14:textId="77777777">
        <w:tblPrEx>
          <w:tblCellMar>
            <w:top w:w="0" w:type="dxa"/>
            <w:bottom w:w="0" w:type="dxa"/>
          </w:tblCellMar>
        </w:tblPrEx>
        <w:tc>
          <w:tcPr>
            <w:tcW w:w="4788" w:type="dxa"/>
          </w:tcPr>
          <w:p w14:paraId="1BCEE61D" w14:textId="77777777" w:rsidR="00D732B7" w:rsidRDefault="00D732B7">
            <w:pPr>
              <w:pStyle w:val="TableEntry"/>
            </w:pPr>
            <w:r>
              <w:t>Person assigned:</w:t>
            </w:r>
          </w:p>
        </w:tc>
        <w:tc>
          <w:tcPr>
            <w:tcW w:w="4788" w:type="dxa"/>
          </w:tcPr>
          <w:p w14:paraId="6B5E9883" w14:textId="77777777" w:rsidR="00D732B7" w:rsidRPr="004D440C" w:rsidRDefault="004D440C">
            <w:pPr>
              <w:pStyle w:val="TableEntry"/>
            </w:pPr>
            <w:r w:rsidRPr="004D440C">
              <w:rPr>
                <w:szCs w:val="18"/>
              </w:rPr>
              <w:t>Monroe Pattillo</w:t>
            </w:r>
          </w:p>
        </w:tc>
      </w:tr>
    </w:tbl>
    <w:p w14:paraId="548C6A91" w14:textId="77777777" w:rsidR="00D732B7" w:rsidRDefault="00D732B7">
      <w:pPr>
        <w:pStyle w:val="TableTitle"/>
      </w:pPr>
    </w:p>
    <w:p w14:paraId="29E11159" w14:textId="77777777" w:rsidR="00D732B7" w:rsidRDefault="00D732B7">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698"/>
      </w:tblGrid>
      <w:tr w:rsidR="00D732B7" w14:paraId="0CB02410" w14:textId="77777777">
        <w:tblPrEx>
          <w:tblCellMar>
            <w:top w:w="0" w:type="dxa"/>
            <w:bottom w:w="0" w:type="dxa"/>
          </w:tblCellMar>
        </w:tblPrEx>
        <w:trPr>
          <w:cantSplit/>
        </w:trPr>
        <w:tc>
          <w:tcPr>
            <w:tcW w:w="9576" w:type="dxa"/>
            <w:gridSpan w:val="2"/>
          </w:tcPr>
          <w:p w14:paraId="3A63408D" w14:textId="77777777" w:rsidR="00D732B7" w:rsidRPr="004D440C" w:rsidRDefault="00451336" w:rsidP="003A2DD5">
            <w:pPr>
              <w:pStyle w:val="TableEntryHeader"/>
            </w:pPr>
            <w:r w:rsidRPr="00451336">
              <w:t>ACM AR optional PCD-05 filtering</w:t>
            </w:r>
          </w:p>
        </w:tc>
      </w:tr>
      <w:tr w:rsidR="00D732B7" w14:paraId="3D6EB4AA" w14:textId="77777777">
        <w:tblPrEx>
          <w:tblCellMar>
            <w:top w:w="0" w:type="dxa"/>
            <w:bottom w:w="0" w:type="dxa"/>
          </w:tblCellMar>
        </w:tblPrEx>
        <w:tc>
          <w:tcPr>
            <w:tcW w:w="4788" w:type="dxa"/>
          </w:tcPr>
          <w:p w14:paraId="5C642E30" w14:textId="77777777" w:rsidR="00D732B7" w:rsidRDefault="00D732B7">
            <w:pPr>
              <w:pStyle w:val="TableEntry"/>
            </w:pPr>
            <w:r>
              <w:t>Submitter’s Name(s) and e-mail address(es):</w:t>
            </w:r>
          </w:p>
        </w:tc>
        <w:tc>
          <w:tcPr>
            <w:tcW w:w="4788" w:type="dxa"/>
          </w:tcPr>
          <w:p w14:paraId="0A4CC002" w14:textId="77777777" w:rsidR="00D732B7" w:rsidRPr="004D440C" w:rsidRDefault="004D440C">
            <w:pPr>
              <w:pStyle w:val="TableEntry"/>
            </w:pPr>
            <w:r w:rsidRPr="004D440C">
              <w:t>Monroe Pattillo, monroe.pattillo@gmail.com</w:t>
            </w:r>
          </w:p>
        </w:tc>
      </w:tr>
      <w:tr w:rsidR="00D732B7" w14:paraId="6E735D63" w14:textId="77777777">
        <w:tblPrEx>
          <w:tblCellMar>
            <w:top w:w="0" w:type="dxa"/>
            <w:bottom w:w="0" w:type="dxa"/>
          </w:tblCellMar>
        </w:tblPrEx>
        <w:tc>
          <w:tcPr>
            <w:tcW w:w="4788" w:type="dxa"/>
          </w:tcPr>
          <w:p w14:paraId="5B15B07A" w14:textId="77777777" w:rsidR="00D732B7" w:rsidRDefault="00D732B7">
            <w:pPr>
              <w:pStyle w:val="TableEntry"/>
            </w:pPr>
            <w:r>
              <w:t>Submission Date:</w:t>
            </w:r>
          </w:p>
        </w:tc>
        <w:tc>
          <w:tcPr>
            <w:tcW w:w="4788" w:type="dxa"/>
          </w:tcPr>
          <w:p w14:paraId="6A20268A" w14:textId="77777777" w:rsidR="00D732B7" w:rsidRPr="004D440C" w:rsidRDefault="00655B0C" w:rsidP="0006687D">
            <w:pPr>
              <w:pStyle w:val="TableEntry"/>
            </w:pPr>
            <w:r>
              <w:t>2021-01-2</w:t>
            </w:r>
            <w:r w:rsidR="00D34E08">
              <w:t>8</w:t>
            </w:r>
          </w:p>
        </w:tc>
      </w:tr>
      <w:tr w:rsidR="00D732B7" w14:paraId="68595568" w14:textId="77777777">
        <w:tblPrEx>
          <w:tblCellMar>
            <w:top w:w="0" w:type="dxa"/>
            <w:bottom w:w="0" w:type="dxa"/>
          </w:tblCellMar>
        </w:tblPrEx>
        <w:tc>
          <w:tcPr>
            <w:tcW w:w="4788" w:type="dxa"/>
          </w:tcPr>
          <w:p w14:paraId="5AD29653" w14:textId="77777777" w:rsidR="00D732B7" w:rsidRDefault="00D732B7">
            <w:pPr>
              <w:pStyle w:val="TableEntry"/>
            </w:pPr>
            <w:r>
              <w:t>Integration Profile</w:t>
            </w:r>
            <w:r w:rsidR="002D46B1">
              <w:t>(s)</w:t>
            </w:r>
            <w:r>
              <w:t xml:space="preserve"> affected:</w:t>
            </w:r>
          </w:p>
        </w:tc>
        <w:tc>
          <w:tcPr>
            <w:tcW w:w="4788" w:type="dxa"/>
          </w:tcPr>
          <w:p w14:paraId="5BDDD5A0" w14:textId="77777777" w:rsidR="00D732B7" w:rsidRPr="004D440C" w:rsidRDefault="004D440C" w:rsidP="008019F2">
            <w:pPr>
              <w:pStyle w:val="TableEntry"/>
            </w:pPr>
            <w:r w:rsidRPr="004D440C">
              <w:t>Alert Communication Management (ACM)</w:t>
            </w:r>
          </w:p>
        </w:tc>
      </w:tr>
      <w:tr w:rsidR="00766FFD" w14:paraId="60F4E438" w14:textId="77777777">
        <w:tblPrEx>
          <w:tblCellMar>
            <w:top w:w="0" w:type="dxa"/>
            <w:bottom w:w="0" w:type="dxa"/>
          </w:tblCellMar>
        </w:tblPrEx>
        <w:tc>
          <w:tcPr>
            <w:tcW w:w="4788" w:type="dxa"/>
          </w:tcPr>
          <w:p w14:paraId="462E6167" w14:textId="77777777" w:rsidR="00766FFD" w:rsidRDefault="00766FFD">
            <w:pPr>
              <w:pStyle w:val="TableEntry"/>
            </w:pPr>
            <w:r>
              <w:t>Actor(s) affected:</w:t>
            </w:r>
          </w:p>
        </w:tc>
        <w:tc>
          <w:tcPr>
            <w:tcW w:w="4788" w:type="dxa"/>
          </w:tcPr>
          <w:p w14:paraId="7C5B9876" w14:textId="77777777" w:rsidR="004D440C" w:rsidRDefault="004D440C" w:rsidP="008019F2">
            <w:pPr>
              <w:pStyle w:val="TableEntry"/>
              <w:rPr>
                <w:color w:val="FF0000"/>
              </w:rPr>
            </w:pPr>
            <w:r w:rsidRPr="004D440C">
              <w:t>Alert Reporter (AR)</w:t>
            </w:r>
            <w:r w:rsidR="008019F2">
              <w:t xml:space="preserve"> and </w:t>
            </w:r>
            <w:r w:rsidRPr="004D440C">
              <w:t>Alert Manager (AM)</w:t>
            </w:r>
          </w:p>
        </w:tc>
      </w:tr>
      <w:tr w:rsidR="00D732B7" w14:paraId="4C445123" w14:textId="77777777">
        <w:tblPrEx>
          <w:tblCellMar>
            <w:top w:w="0" w:type="dxa"/>
            <w:bottom w:w="0" w:type="dxa"/>
          </w:tblCellMar>
        </w:tblPrEx>
        <w:trPr>
          <w:cantSplit/>
        </w:trPr>
        <w:tc>
          <w:tcPr>
            <w:tcW w:w="4788" w:type="dxa"/>
          </w:tcPr>
          <w:p w14:paraId="2DE43434" w14:textId="77777777" w:rsidR="00D732B7" w:rsidRDefault="00D732B7">
            <w:pPr>
              <w:pStyle w:val="TableEntry"/>
            </w:pPr>
            <w:r>
              <w:t>IHE Technical Framework</w:t>
            </w:r>
            <w:r w:rsidR="008F1355">
              <w:t xml:space="preserve"> or Supplement</w:t>
            </w:r>
            <w:r w:rsidR="00EE3EC0">
              <w:t xml:space="preserve"> modified</w:t>
            </w:r>
            <w:r>
              <w:t>:</w:t>
            </w:r>
          </w:p>
        </w:tc>
        <w:tc>
          <w:tcPr>
            <w:tcW w:w="4788" w:type="dxa"/>
          </w:tcPr>
          <w:p w14:paraId="26B36C09" w14:textId="77777777" w:rsidR="00D732B7" w:rsidRPr="004D440C" w:rsidRDefault="00B208CF" w:rsidP="00B208CF">
            <w:pPr>
              <w:pStyle w:val="TableEntry"/>
            </w:pPr>
            <w:r>
              <w:t>ACM profile in PCD TF revision 9</w:t>
            </w:r>
            <w:r w:rsidR="004D440C" w:rsidRPr="004D440C">
              <w:t xml:space="preserve">.0, dated </w:t>
            </w:r>
            <w:r>
              <w:t>Dec</w:t>
            </w:r>
            <w:r w:rsidR="004D440C" w:rsidRPr="004D440C">
              <w:t xml:space="preserve"> </w:t>
            </w:r>
            <w:r>
              <w:t>12</w:t>
            </w:r>
            <w:r w:rsidR="004D440C" w:rsidRPr="004D440C">
              <w:t>, 201</w:t>
            </w:r>
            <w:r>
              <w:t>9</w:t>
            </w:r>
          </w:p>
        </w:tc>
      </w:tr>
      <w:tr w:rsidR="00D732B7" w14:paraId="0727F61F" w14:textId="77777777">
        <w:tblPrEx>
          <w:tblCellMar>
            <w:top w:w="0" w:type="dxa"/>
            <w:bottom w:w="0" w:type="dxa"/>
          </w:tblCellMar>
        </w:tblPrEx>
        <w:tc>
          <w:tcPr>
            <w:tcW w:w="4788" w:type="dxa"/>
          </w:tcPr>
          <w:p w14:paraId="73E98A92" w14:textId="77777777" w:rsidR="00D732B7" w:rsidRDefault="00D732B7">
            <w:pPr>
              <w:pStyle w:val="TableEntry"/>
            </w:pPr>
            <w:r>
              <w:t>Volume(s) and Section(s) affected:</w:t>
            </w:r>
          </w:p>
        </w:tc>
        <w:tc>
          <w:tcPr>
            <w:tcW w:w="4788" w:type="dxa"/>
          </w:tcPr>
          <w:p w14:paraId="61760197" w14:textId="77777777" w:rsidR="0018592D" w:rsidRPr="004D440C" w:rsidRDefault="008019F2" w:rsidP="00451336">
            <w:pPr>
              <w:pStyle w:val="TableEntry"/>
            </w:pPr>
            <w:r>
              <w:t>IHE PCD TF Vol 2</w:t>
            </w:r>
            <w:r w:rsidR="0006687D">
              <w:t>,</w:t>
            </w:r>
            <w:r w:rsidR="00905A8C" w:rsidRPr="00905A8C">
              <w:t xml:space="preserve"> </w:t>
            </w:r>
            <w:r w:rsidR="00451336">
              <w:t xml:space="preserve">additions to Section 3.4.4.1.5 and </w:t>
            </w:r>
            <w:r w:rsidR="00C36FB6">
              <w:t>Appendix B</w:t>
            </w:r>
            <w:r w:rsidR="005E377A">
              <w:t>.7.1.2</w:t>
            </w:r>
          </w:p>
        </w:tc>
      </w:tr>
      <w:tr w:rsidR="00D732B7" w14:paraId="410CD5CA" w14:textId="77777777">
        <w:tblPrEx>
          <w:tblCellMar>
            <w:top w:w="0" w:type="dxa"/>
            <w:bottom w:w="0" w:type="dxa"/>
          </w:tblCellMar>
        </w:tblPrEx>
        <w:trPr>
          <w:cantSplit/>
        </w:trPr>
        <w:tc>
          <w:tcPr>
            <w:tcW w:w="9576" w:type="dxa"/>
            <w:gridSpan w:val="2"/>
          </w:tcPr>
          <w:p w14:paraId="2319A4D5" w14:textId="77777777" w:rsidR="00D732B7" w:rsidRPr="005E377A" w:rsidRDefault="00D732B7">
            <w:pPr>
              <w:pStyle w:val="TableEntry"/>
              <w:rPr>
                <w:sz w:val="20"/>
              </w:rPr>
            </w:pPr>
            <w:bookmarkStart w:id="0" w:name="_Hlk62669439"/>
            <w:r w:rsidRPr="005E377A">
              <w:rPr>
                <w:sz w:val="20"/>
              </w:rPr>
              <w:lastRenderedPageBreak/>
              <w:t>Rationale for Change:</w:t>
            </w:r>
          </w:p>
          <w:p w14:paraId="29D5413E" w14:textId="77777777" w:rsidR="00451336" w:rsidRDefault="00451336" w:rsidP="00451336">
            <w:pPr>
              <w:pStyle w:val="TableEntry"/>
              <w:rPr>
                <w:sz w:val="20"/>
              </w:rPr>
            </w:pPr>
            <w:r>
              <w:rPr>
                <w:sz w:val="20"/>
              </w:rPr>
              <w:t>Currently in the</w:t>
            </w:r>
            <w:r w:rsidR="009E74D8" w:rsidRPr="005E377A">
              <w:rPr>
                <w:sz w:val="20"/>
              </w:rPr>
              <w:t xml:space="preserve"> ACM </w:t>
            </w:r>
            <w:r>
              <w:rPr>
                <w:sz w:val="20"/>
              </w:rPr>
              <w:t xml:space="preserve">profile the Alert Reporter (AR) actor, if it chooses to receive any </w:t>
            </w:r>
            <w:r w:rsidR="009E74D8" w:rsidRPr="005E377A">
              <w:rPr>
                <w:sz w:val="20"/>
              </w:rPr>
              <w:t>PCD-05 transaction</w:t>
            </w:r>
            <w:r>
              <w:rPr>
                <w:sz w:val="20"/>
              </w:rPr>
              <w:t>s from the Alert Manager (AM) actor (by way of it indicating this in MSH-16 of the PCD-04 transaction), it must receive all possible types of PCD-05 transactions as triggered by the various forms of signaling associated with the PCD-07 transaction.  This approach subjects the AR</w:t>
            </w:r>
            <w:r w:rsidR="009E74D8" w:rsidRPr="005E377A">
              <w:rPr>
                <w:sz w:val="20"/>
              </w:rPr>
              <w:t xml:space="preserve"> </w:t>
            </w:r>
            <w:r>
              <w:rPr>
                <w:sz w:val="20"/>
              </w:rPr>
              <w:t xml:space="preserve">to receive a lot of transactions, most of which some AR actors consider noise.  In alert large group disseminations (codes) this can results in a considerable amount of PCD-05 transactions that must be filtered out by the AR actor.  Expecting the AM actor to put this volume of transactions on the network infrastructure only to have the AR actor receive and discard the majority of them is an inefficient use of processing, storage, and networking resources.  Some AR actors would rather receive only what they consider pertinent types of PCD-05 transactions, such as those indicating ACCEPT, and not others, such as DELIVERED, READ, or event REJECT.  Any such filtering of PCD-05 transactions by the AM actor should be dictated by </w:t>
            </w:r>
            <w:commentRangeStart w:id="1"/>
            <w:r>
              <w:rPr>
                <w:sz w:val="20"/>
              </w:rPr>
              <w:t>idications</w:t>
            </w:r>
            <w:commentRangeEnd w:id="1"/>
            <w:r w:rsidR="000B3350">
              <w:rPr>
                <w:rStyle w:val="CommentReference"/>
                <w:noProof w:val="0"/>
              </w:rPr>
              <w:commentReference w:id="1"/>
            </w:r>
            <w:r>
              <w:rPr>
                <w:sz w:val="20"/>
              </w:rPr>
              <w:t xml:space="preserve"> on a per PCD-04 basis.  This allows for full details for some PCD-04 transactions and much less information for other PCD-04 transactions on an AR actor selecive basis.</w:t>
            </w:r>
          </w:p>
          <w:p w14:paraId="7534B466" w14:textId="77777777" w:rsidR="00451336" w:rsidRDefault="00451336" w:rsidP="00451336">
            <w:pPr>
              <w:pStyle w:val="TableEntry"/>
              <w:rPr>
                <w:sz w:val="20"/>
              </w:rPr>
            </w:pPr>
            <w:r>
              <w:rPr>
                <w:sz w:val="20"/>
              </w:rPr>
              <w:t>This Change Proposal (CP) proposes that the AR optionally send an observation value to the AM actor in a separate instance OBX segment occurrence that indicates which of the possible PCD-05 indications it would like to receive using an occurrence delimited se</w:t>
            </w:r>
            <w:r w:rsidR="009E74D8" w:rsidRPr="005E377A">
              <w:rPr>
                <w:sz w:val="20"/>
              </w:rPr>
              <w:t>t</w:t>
            </w:r>
            <w:r>
              <w:rPr>
                <w:sz w:val="20"/>
              </w:rPr>
              <w:t xml:space="preserve"> of string values that are the same as the indication strings used by the PCD-05 tranasaction.  This OBX instance would require a purpose specific identifier to be added to the IEEE 11073-10101 nomenclature.  This CP draft proposes MDCX_ALERT_DISSEM_STATUS_FILTER. </w:t>
            </w:r>
          </w:p>
          <w:p w14:paraId="01F994D6" w14:textId="77777777" w:rsidR="00451336" w:rsidRDefault="00451336" w:rsidP="00451336">
            <w:pPr>
              <w:pStyle w:val="TableEntry"/>
              <w:rPr>
                <w:sz w:val="20"/>
              </w:rPr>
            </w:pPr>
            <w:r>
              <w:rPr>
                <w:sz w:val="20"/>
              </w:rPr>
              <w:t xml:space="preserve">The AR would first still need to indicate in MSH-16 of the PCD-04 that the AR wanted to receive any PCD-05 transactions at all in association with that PCD-04.  </w:t>
            </w:r>
          </w:p>
          <w:p w14:paraId="5ECF78E2" w14:textId="77777777" w:rsidR="00154A1E" w:rsidRDefault="00451336" w:rsidP="00451336">
            <w:pPr>
              <w:pStyle w:val="TableEntry"/>
              <w:rPr>
                <w:sz w:val="20"/>
              </w:rPr>
            </w:pPr>
            <w:r>
              <w:rPr>
                <w:sz w:val="20"/>
              </w:rPr>
              <w:t>Even if MSH-16 of the PCD-04 indicates the AR wants to receive PCD-05 transactions, a filter OBX segment instance containing no indication strings in OBX-5 would result in no PCD-05 transactions being sent from the AM to the AR.  As that capability is in a separate CP to ACM for this same cycle the modifications text of this CP will not directly reference it.</w:t>
            </w:r>
          </w:p>
          <w:p w14:paraId="585D5736" w14:textId="77777777" w:rsidR="00451336" w:rsidRDefault="00451336" w:rsidP="00451336">
            <w:pPr>
              <w:pStyle w:val="TableEntry"/>
              <w:rPr>
                <w:sz w:val="20"/>
              </w:rPr>
            </w:pPr>
            <w:r>
              <w:rPr>
                <w:sz w:val="20"/>
              </w:rPr>
              <w:t>The absence of any such indicating OBX instance would mean that AM actor is unfiltered for that PCD-04 instance and may send any defined PCD-05 indications to the AR actor.</w:t>
            </w:r>
          </w:p>
          <w:p w14:paraId="0FE78CAF" w14:textId="77777777" w:rsidR="00451336" w:rsidRPr="005E377A" w:rsidRDefault="00451336" w:rsidP="00451336">
            <w:pPr>
              <w:pStyle w:val="TableEntry"/>
              <w:rPr>
                <w:sz w:val="20"/>
              </w:rPr>
            </w:pPr>
            <w:r>
              <w:rPr>
                <w:sz w:val="20"/>
              </w:rPr>
              <w:t>Given that the ACM profile has achieve final text status and has been integrated into the PCD Technical Framework the effectivity of this CP is optional for both AR and AM actor implenentations.</w:t>
            </w:r>
          </w:p>
        </w:tc>
      </w:tr>
    </w:tbl>
    <w:p w14:paraId="24727369" w14:textId="77777777" w:rsidR="005E377A" w:rsidRPr="008019F2" w:rsidRDefault="005E377A" w:rsidP="005E377A">
      <w:pPr>
        <w:pStyle w:val="EditorInstructions"/>
        <w:keepNext/>
        <w:keepLines/>
      </w:pPr>
      <w:r>
        <w:t xml:space="preserve">Section </w:t>
      </w:r>
      <w:r w:rsidR="00451336" w:rsidRPr="00451336">
        <w:t xml:space="preserve">3.4.4.1.5 </w:t>
      </w:r>
      <w:r w:rsidR="00451336" w:rsidRPr="00451336">
        <w:rPr>
          <w:b/>
        </w:rPr>
        <w:t>Expected Actions</w:t>
      </w:r>
      <w:r>
        <w:t xml:space="preserve">, </w:t>
      </w:r>
      <w:r w:rsidR="00451336">
        <w:t>after line 1241 on page 47 add the following paragraph</w:t>
      </w:r>
      <w:r w:rsidRPr="008019F2">
        <w:t>:</w:t>
      </w:r>
    </w:p>
    <w:p w14:paraId="55C2527E" w14:textId="77777777" w:rsidR="005E377A" w:rsidRDefault="005E377A" w:rsidP="005E377A">
      <w:pPr>
        <w:pStyle w:val="Default"/>
        <w:rPr>
          <w:sz w:val="23"/>
          <w:szCs w:val="23"/>
        </w:rPr>
      </w:pPr>
    </w:p>
    <w:p w14:paraId="1AE39354" w14:textId="77777777" w:rsidR="005E377A" w:rsidRDefault="00451336" w:rsidP="005E377A">
      <w:pPr>
        <w:pStyle w:val="Default"/>
        <w:rPr>
          <w:sz w:val="23"/>
          <w:szCs w:val="23"/>
        </w:rPr>
      </w:pPr>
      <w:r>
        <w:rPr>
          <w:sz w:val="23"/>
          <w:szCs w:val="23"/>
        </w:rPr>
        <w:t>An optional instance of the OBX segment with a specific observation indication can be included in the Report Alert [PCD-04] transaction by the Alert Reporter (AR) actor to communicate a filter to the Alert Manager (AM) actor to constrain the types of alert dissemination status update Report Alert Status [PCD-05] transactions sent by the Alert Manager (AM) actor to the AR actor in response to the Alert Manager (AM) actor receiving Report Alert Dissemination Status [PCD-07] transactions from the Alert Communicator (AC) actor.  See Appendix B for details</w:t>
      </w:r>
      <w:bookmarkEnd w:id="0"/>
      <w:r>
        <w:rPr>
          <w:sz w:val="23"/>
          <w:szCs w:val="23"/>
        </w:rPr>
        <w:t>.</w:t>
      </w:r>
    </w:p>
    <w:p w14:paraId="2797B20B" w14:textId="77777777" w:rsidR="005E377A" w:rsidRPr="008019F2" w:rsidRDefault="005E377A" w:rsidP="005E377A">
      <w:pPr>
        <w:pStyle w:val="Default"/>
      </w:pPr>
    </w:p>
    <w:p w14:paraId="01961024" w14:textId="77777777" w:rsidR="005E377A" w:rsidRPr="008019F2" w:rsidRDefault="00451336" w:rsidP="005E377A">
      <w:pPr>
        <w:pStyle w:val="EditorInstructions"/>
        <w:keepNext/>
        <w:keepLines/>
      </w:pPr>
      <w:commentRangeStart w:id="2"/>
      <w:r>
        <w:t>In</w:t>
      </w:r>
      <w:r w:rsidR="005E377A">
        <w:t xml:space="preserve"> </w:t>
      </w:r>
      <w:r w:rsidR="005E377A">
        <w:rPr>
          <w:b/>
          <w:bCs/>
          <w:sz w:val="23"/>
          <w:szCs w:val="23"/>
        </w:rPr>
        <w:t>Appendix B.7.1.2 PRT Participation Information Segment in ACM Transaction [PCD-05]</w:t>
      </w:r>
      <w:r w:rsidR="005E377A">
        <w:t>,</w:t>
      </w:r>
      <w:r w:rsidR="00BA7654">
        <w:t xml:space="preserve"> </w:t>
      </w:r>
      <w:r w:rsidR="005E377A">
        <w:t xml:space="preserve">, after line </w:t>
      </w:r>
      <w:r>
        <w:t>3051</w:t>
      </w:r>
      <w:r w:rsidR="005E377A">
        <w:t xml:space="preserve">, on page </w:t>
      </w:r>
      <w:r>
        <w:t>129, add the following</w:t>
      </w:r>
      <w:r w:rsidR="005E377A" w:rsidRPr="008019F2">
        <w:t>:</w:t>
      </w:r>
      <w:commentRangeEnd w:id="2"/>
      <w:r w:rsidR="00DF39D5">
        <w:rPr>
          <w:rStyle w:val="CommentReference"/>
          <w:i w:val="0"/>
          <w:iCs w:val="0"/>
          <w:noProof w:val="0"/>
        </w:rPr>
        <w:commentReference w:id="2"/>
      </w:r>
    </w:p>
    <w:p w14:paraId="74F5D4C5" w14:textId="77777777" w:rsidR="005E377A" w:rsidRDefault="005E377A" w:rsidP="005E377A">
      <w:pPr>
        <w:pStyle w:val="Default"/>
        <w:rPr>
          <w:sz w:val="23"/>
          <w:szCs w:val="23"/>
        </w:rPr>
      </w:pPr>
    </w:p>
    <w:p w14:paraId="15F08367" w14:textId="77777777" w:rsidR="00BA7654" w:rsidRPr="00621E63" w:rsidRDefault="00451336" w:rsidP="00BA7654">
      <w:pPr>
        <w:pStyle w:val="Heading4"/>
        <w:numPr>
          <w:ilvl w:val="0"/>
          <w:numId w:val="0"/>
        </w:numPr>
        <w:rPr>
          <w:noProof w:val="0"/>
        </w:rPr>
      </w:pPr>
      <w:r>
        <w:rPr>
          <w:noProof w:val="0"/>
        </w:rPr>
        <w:t>Use of OBX segment instance to filter PCD-05 transactions sent from AM to AR</w:t>
      </w:r>
    </w:p>
    <w:p w14:paraId="46EDD2C5" w14:textId="77777777" w:rsidR="00BA7654" w:rsidRPr="008019F2" w:rsidRDefault="00451336" w:rsidP="00451336">
      <w:pPr>
        <w:pStyle w:val="HL7FieldIndent2"/>
        <w:ind w:left="0"/>
      </w:pPr>
      <w:commentRangeStart w:id="3"/>
      <w:r>
        <w:rPr>
          <w:sz w:val="23"/>
          <w:szCs w:val="23"/>
        </w:rPr>
        <w:t>In</w:t>
      </w:r>
      <w:commentRangeEnd w:id="3"/>
      <w:r w:rsidR="00594C2A">
        <w:rPr>
          <w:rStyle w:val="CommentReference"/>
          <w:noProof w:val="0"/>
        </w:rPr>
        <w:commentReference w:id="3"/>
      </w:r>
      <w:r>
        <w:rPr>
          <w:sz w:val="23"/>
          <w:szCs w:val="23"/>
        </w:rPr>
        <w:t xml:space="preserve"> an ACM Report Alert [PCD-04] transaction an optional instance of the OBX segment with an OBX-3 Observation Identifier indication of </w:t>
      </w:r>
      <w:r>
        <w:rPr>
          <w:sz w:val="20"/>
        </w:rPr>
        <w:t>MDCX_ALERT_DISSEM_STATUS_FILTER</w:t>
      </w:r>
      <w:r>
        <w:rPr>
          <w:sz w:val="23"/>
          <w:szCs w:val="23"/>
        </w:rPr>
        <w:t xml:space="preserve"> provides for communication of a filter to constrain the types alert dissemination status update Report Alert Status [PCD-05] transactions sent by the Alert Manager (AM) actor to the AR actor in response to the Alert Manager (AM) actor receiving Report Alert Dissemination Status [PCD-07] transactions from the Alert Communicator (AC) actor. The value in OBX-5 Observation Value of the OBX instance is a </w:t>
      </w:r>
      <w:r>
        <w:rPr>
          <w:sz w:val="23"/>
          <w:szCs w:val="23"/>
        </w:rPr>
        <w:lastRenderedPageBreak/>
        <w:t xml:space="preserve">recurrence of string data type values indicating the only alert dissemination status update Report Alert Status [PCD-05] transactions to be sent to the Alert Reporter (AR) actor by the Alert Manager (AM) actor.  The string values used in the filter </w:t>
      </w:r>
      <w:commentRangeStart w:id="4"/>
      <w:r>
        <w:rPr>
          <w:sz w:val="23"/>
          <w:szCs w:val="23"/>
        </w:rPr>
        <w:t xml:space="preserve">are defined the </w:t>
      </w:r>
      <w:commentRangeEnd w:id="4"/>
      <w:r w:rsidR="00DF39D5">
        <w:rPr>
          <w:rStyle w:val="CommentReference"/>
          <w:noProof w:val="0"/>
        </w:rPr>
        <w:commentReference w:id="4"/>
      </w:r>
      <w:r>
        <w:rPr>
          <w:sz w:val="23"/>
          <w:szCs w:val="23"/>
        </w:rPr>
        <w:t xml:space="preserve">Participation (PRT) segment values of the Report Alert Status [PCD-05] transaction.  </w:t>
      </w:r>
      <w:commentRangeStart w:id="5"/>
      <w:r>
        <w:rPr>
          <w:sz w:val="23"/>
          <w:szCs w:val="23"/>
        </w:rPr>
        <w:t xml:space="preserve">If the OBX-5 Observation Value field is empty then no Report Alert Status [PCD-05] transactions will be sent to the Alert Reporter (AR) </w:t>
      </w:r>
      <w:commentRangeEnd w:id="5"/>
      <w:r w:rsidR="00594C2A">
        <w:rPr>
          <w:rStyle w:val="CommentReference"/>
          <w:noProof w:val="0"/>
        </w:rPr>
        <w:commentReference w:id="5"/>
      </w:r>
      <w:r>
        <w:rPr>
          <w:sz w:val="23"/>
          <w:szCs w:val="23"/>
        </w:rPr>
        <w:t xml:space="preserve">by the Alert Manager (AM) actor in association with the carrying Report Alert [PCD-04] transaction.  If there is no such indicating OBX segment instance in the Report Alert [PCD-04] transaction then the Alert Manager (AM) actor is not filtered and may send as many types of alert status </w:t>
      </w:r>
      <w:commentRangeStart w:id="6"/>
      <w:r>
        <w:rPr>
          <w:sz w:val="23"/>
          <w:szCs w:val="23"/>
        </w:rPr>
        <w:t>indcating</w:t>
      </w:r>
      <w:commentRangeEnd w:id="6"/>
      <w:r w:rsidR="00DF39D5">
        <w:rPr>
          <w:rStyle w:val="CommentReference"/>
          <w:noProof w:val="0"/>
        </w:rPr>
        <w:commentReference w:id="6"/>
      </w:r>
      <w:r>
        <w:rPr>
          <w:sz w:val="23"/>
          <w:szCs w:val="23"/>
        </w:rPr>
        <w:t xml:space="preserve"> Report Alert Status [PCD-05] transactions as defined for the deployed Alert Manager (AM) actor.</w:t>
      </w:r>
    </w:p>
    <w:sectPr w:rsidR="00BA7654" w:rsidRPr="008019F2">
      <w:headerReference w:type="default" r:id="rId11"/>
      <w:footerReference w:type="default" r:id="rId12"/>
      <w:pgSz w:w="12240" w:h="15840"/>
      <w:pgMar w:top="1440" w:right="108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spina Perez, Javier" w:date="2021-02-09T16:23:00Z" w:initials="EPJ">
    <w:p w14:paraId="2CBBACEE" w14:textId="77777777" w:rsidR="000B3350" w:rsidRDefault="000B3350">
      <w:pPr>
        <w:pStyle w:val="CommentText"/>
      </w:pPr>
      <w:r>
        <w:rPr>
          <w:rStyle w:val="CommentReference"/>
        </w:rPr>
        <w:annotationRef/>
      </w:r>
      <w:r>
        <w:t>Editorial: i</w:t>
      </w:r>
      <w:r w:rsidRPr="000B3350">
        <w:rPr>
          <w:b/>
        </w:rPr>
        <w:t>n</w:t>
      </w:r>
      <w:r>
        <w:t>dications</w:t>
      </w:r>
    </w:p>
  </w:comment>
  <w:comment w:id="2" w:author="Espina Perez, Javier" w:date="2021-02-05T11:53:00Z" w:initials="EPJ">
    <w:p w14:paraId="36E5E660" w14:textId="77777777" w:rsidR="00DF39D5" w:rsidRDefault="00DF39D5">
      <w:pPr>
        <w:pStyle w:val="CommentText"/>
      </w:pPr>
      <w:r>
        <w:rPr>
          <w:rStyle w:val="CommentReference"/>
        </w:rPr>
        <w:annotationRef/>
      </w:r>
      <w:r>
        <w:t>I can’t find B.7.1.2 in PCD TF rev9. Also the line and page numbers don’t match (they belong to B.8.5).</w:t>
      </w:r>
      <w:r w:rsidR="00C0576A">
        <w:t xml:space="preserve"> </w:t>
      </w:r>
      <w:r w:rsidR="00892C7F">
        <w:t xml:space="preserve">Is the intent to </w:t>
      </w:r>
      <w:r w:rsidR="00C0576A">
        <w:t xml:space="preserve">perhaps </w:t>
      </w:r>
      <w:r w:rsidR="00892C7F">
        <w:t>insert a new section B.7.1.2 after line 2703 on page 114?</w:t>
      </w:r>
    </w:p>
  </w:comment>
  <w:comment w:id="3" w:author="Espina Perez, Javier" w:date="2021-02-09T16:26:00Z" w:initials="EPJ">
    <w:p w14:paraId="2CC3C865" w14:textId="77777777" w:rsidR="00594C2A" w:rsidRDefault="00594C2A" w:rsidP="00594C2A">
      <w:pPr>
        <w:spacing w:before="0"/>
        <w:rPr>
          <w:sz w:val="22"/>
        </w:rPr>
      </w:pPr>
      <w:r>
        <w:rPr>
          <w:rStyle w:val="CommentReference"/>
        </w:rPr>
        <w:annotationRef/>
      </w:r>
      <w:r>
        <w:rPr>
          <w:sz w:val="20"/>
        </w:rPr>
        <w:t xml:space="preserve">[Original commenter: Peter Kranich] - The OBX segments in an ACM message usually have a strict sequence and a certain facet number in the OBX-4 field &lt;MDS&gt;.&lt;VMD&gt;.&lt;Channel&gt;.&lt;Metric&gt;.&lt;Facet&gt;. Will this be part of the detailed definition in the TF later on? </w:t>
      </w:r>
    </w:p>
    <w:p w14:paraId="6DEB8429" w14:textId="77777777" w:rsidR="00594C2A" w:rsidRDefault="00594C2A">
      <w:pPr>
        <w:pStyle w:val="CommentText"/>
      </w:pPr>
    </w:p>
  </w:comment>
  <w:comment w:id="4" w:author="Espina Perez, Javier" w:date="2021-02-05T12:02:00Z" w:initials="EPJ">
    <w:p w14:paraId="7F39FEF1" w14:textId="77777777" w:rsidR="00DF39D5" w:rsidRDefault="00DF39D5">
      <w:pPr>
        <w:pStyle w:val="CommentText"/>
      </w:pPr>
      <w:r>
        <w:rPr>
          <w:rStyle w:val="CommentReference"/>
        </w:rPr>
        <w:annotationRef/>
      </w:r>
      <w:r w:rsidR="00892C7F">
        <w:t xml:space="preserve">Editorial: </w:t>
      </w:r>
      <w:r>
        <w:t xml:space="preserve">…are defined </w:t>
      </w:r>
      <w:r w:rsidRPr="00DF39D5">
        <w:rPr>
          <w:b/>
        </w:rPr>
        <w:t>BY</w:t>
      </w:r>
      <w:r>
        <w:t xml:space="preserve"> the…?</w:t>
      </w:r>
    </w:p>
  </w:comment>
  <w:comment w:id="5" w:author="Espina Perez, Javier" w:date="2021-02-09T16:31:00Z" w:initials="EPJ">
    <w:p w14:paraId="6EF67309" w14:textId="77777777" w:rsidR="00594C2A" w:rsidRDefault="00594C2A" w:rsidP="004F29CC">
      <w:pPr>
        <w:numPr>
          <w:ilvl w:val="0"/>
          <w:numId w:val="19"/>
        </w:numPr>
        <w:spacing w:before="0"/>
      </w:pPr>
      <w:r>
        <w:rPr>
          <w:rStyle w:val="CommentReference"/>
        </w:rPr>
        <w:annotationRef/>
      </w:r>
      <w:r>
        <w:t xml:space="preserve">[Original commenter: Peter Kranich] - </w:t>
      </w:r>
      <w:r>
        <w:rPr>
          <w:sz w:val="20"/>
        </w:rPr>
        <w:t>The statement “</w:t>
      </w:r>
      <w:r w:rsidRPr="00594C2A">
        <w:rPr>
          <w:sz w:val="20"/>
          <w:highlight w:val="yellow"/>
        </w:rPr>
        <w:t>If the OBX-5 Observation Value field is empty then no Report Alert Status [PCD-05] transactions will be sent to the Alert Reporter (AR)</w:t>
      </w:r>
      <w:r>
        <w:rPr>
          <w:sz w:val="20"/>
        </w:rPr>
        <w:t xml:space="preserve"> by the Alert Manager (AM) actor in association with the carrying Report Alert [PCD-04] transaction.” seems to be redundant. I remember another CP where the MSH-16 should be used to indicate to the AM that the AR does or does not want any PCD-05 messages (NE for never or AL for always). So, is there a preferred option? Is the MSH-16 field still required to be set to “AL” only when the OBX filter is not specified, and don’t care when the OBX filter is set?</w:t>
      </w:r>
    </w:p>
  </w:comment>
  <w:comment w:id="6" w:author="Espina Perez, Javier" w:date="2021-02-05T12:01:00Z" w:initials="EPJ">
    <w:p w14:paraId="7FA81A79" w14:textId="77777777" w:rsidR="00DF39D5" w:rsidRDefault="00DF39D5">
      <w:pPr>
        <w:pStyle w:val="CommentText"/>
      </w:pPr>
      <w:r>
        <w:rPr>
          <w:rStyle w:val="CommentReference"/>
        </w:rPr>
        <w:annotationRef/>
      </w:r>
      <w:r w:rsidR="00892C7F">
        <w:t xml:space="preserve">Editorial: </w:t>
      </w:r>
      <w:r>
        <w:t>ind</w:t>
      </w:r>
      <w:r w:rsidRPr="000B3350">
        <w:rPr>
          <w:b/>
        </w:rPr>
        <w:t>i</w:t>
      </w:r>
      <w:r>
        <w:t>cating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BBACEE" w15:done="0"/>
  <w15:commentEx w15:paraId="36E5E660" w15:done="0"/>
  <w15:commentEx w15:paraId="6DEB8429" w15:done="0"/>
  <w15:commentEx w15:paraId="7F39FEF1" w15:done="0"/>
  <w15:commentEx w15:paraId="6EF67309" w15:done="0"/>
  <w15:commentEx w15:paraId="7FA81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CD3589" w16cex:dateUtc="2021-02-09T21:23:00Z"/>
  <w16cex:commentExtensible w16cex:durableId="23C7B053" w16cex:dateUtc="2021-02-05T16:53:00Z"/>
  <w16cex:commentExtensible w16cex:durableId="23CD3637" w16cex:dateUtc="2021-02-09T21:26:00Z"/>
  <w16cex:commentExtensible w16cex:durableId="23C7B26E" w16cex:dateUtc="2021-02-05T17:02:00Z"/>
  <w16cex:commentExtensible w16cex:durableId="23CD3775" w16cex:dateUtc="2021-02-09T21:31:00Z"/>
  <w16cex:commentExtensible w16cex:durableId="23C7B202" w16cex:dateUtc="2021-02-05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BBACEE" w16cid:durableId="23CD3589"/>
  <w16cid:commentId w16cid:paraId="36E5E660" w16cid:durableId="23C7B053"/>
  <w16cid:commentId w16cid:paraId="6DEB8429" w16cid:durableId="23CD3637"/>
  <w16cid:commentId w16cid:paraId="7F39FEF1" w16cid:durableId="23C7B26E"/>
  <w16cid:commentId w16cid:paraId="6EF67309" w16cid:durableId="23CD3775"/>
  <w16cid:commentId w16cid:paraId="7FA81A79" w16cid:durableId="23C7B2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85402" w14:textId="77777777" w:rsidR="00BE2A67" w:rsidRDefault="00BE2A67">
      <w:r>
        <w:separator/>
      </w:r>
    </w:p>
  </w:endnote>
  <w:endnote w:type="continuationSeparator" w:id="0">
    <w:p w14:paraId="61C9980E" w14:textId="77777777" w:rsidR="00BE2A67" w:rsidRDefault="00BE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9B676" w14:textId="77777777" w:rsidR="0006687D" w:rsidRDefault="0006687D" w:rsidP="0006687D">
    <w:pPr>
      <w:pStyle w:val="Footer"/>
      <w:jc w:val="center"/>
    </w:pPr>
    <w:r>
      <w:t xml:space="preserve">Page </w:t>
    </w:r>
    <w:r>
      <w:fldChar w:fldCharType="begin"/>
    </w:r>
    <w:r>
      <w:instrText xml:space="preserve"> PAGE   \* MERGEFORMAT </w:instrText>
    </w:r>
    <w:r>
      <w:fldChar w:fldCharType="separate"/>
    </w:r>
    <w:r w:rsidR="00C0576A">
      <w:rPr>
        <w:noProof/>
      </w:rPr>
      <w:t>3</w:t>
    </w:r>
    <w:r>
      <w:fldChar w:fldCharType="end"/>
    </w:r>
    <w:r>
      <w:t xml:space="preserve"> of </w:t>
    </w:r>
    <w:fldSimple w:instr=" NUMPAGES   \* MERGEFORMAT ">
      <w:r w:rsidR="00C0576A">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E6D8" w14:textId="77777777" w:rsidR="00BE2A67" w:rsidRDefault="00BE2A67">
      <w:r>
        <w:separator/>
      </w:r>
    </w:p>
  </w:footnote>
  <w:footnote w:type="continuationSeparator" w:id="0">
    <w:p w14:paraId="0F065735" w14:textId="77777777" w:rsidR="00BE2A67" w:rsidRDefault="00BE2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55251" w14:textId="77777777" w:rsidR="00415035" w:rsidRPr="00B208CF" w:rsidRDefault="00415035">
    <w:pPr>
      <w:pStyle w:val="Header"/>
      <w:rPr>
        <w:rFonts w:ascii="Arial" w:hAnsi="Arial" w:cs="Arial"/>
        <w:i/>
        <w:iCs/>
        <w:sz w:val="18"/>
      </w:rPr>
    </w:pPr>
    <w:r w:rsidRPr="00B208CF">
      <w:rPr>
        <w:rFonts w:ascii="Arial" w:hAnsi="Arial" w:cs="Arial"/>
        <w:i/>
        <w:iCs/>
        <w:sz w:val="18"/>
      </w:rPr>
      <w:fldChar w:fldCharType="begin"/>
    </w:r>
    <w:r w:rsidRPr="00B208CF">
      <w:rPr>
        <w:rFonts w:ascii="Arial" w:hAnsi="Arial" w:cs="Arial"/>
        <w:i/>
        <w:iCs/>
        <w:sz w:val="18"/>
      </w:rPr>
      <w:instrText xml:space="preserve"> FILENAME </w:instrText>
    </w:r>
    <w:r w:rsidRPr="00B208CF">
      <w:rPr>
        <w:rFonts w:ascii="Arial" w:hAnsi="Arial" w:cs="Arial"/>
        <w:i/>
        <w:iCs/>
        <w:sz w:val="18"/>
      </w:rPr>
      <w:fldChar w:fldCharType="separate"/>
    </w:r>
    <w:r w:rsidR="00451336">
      <w:rPr>
        <w:rFonts w:ascii="Arial" w:hAnsi="Arial" w:cs="Arial"/>
        <w:i/>
        <w:iCs/>
        <w:noProof/>
        <w:sz w:val="18"/>
      </w:rPr>
      <w:t>CP-PCD-nnn-MWP_PCDTF_ACM_AR optional PCD-05 filtering 01.doc</w:t>
    </w:r>
    <w:r w:rsidRPr="00B208CF">
      <w:rPr>
        <w:rFonts w:ascii="Arial" w:hAnsi="Arial" w:cs="Arial"/>
        <w:i/>
        <w:iCs/>
        <w:sz w:val="18"/>
      </w:rPr>
      <w:fldChar w:fldCharType="end"/>
    </w:r>
  </w:p>
  <w:p w14:paraId="4E93BCD9" w14:textId="77777777" w:rsidR="00415035" w:rsidRDefault="00887BB5" w:rsidP="00703BCC">
    <w:pPr>
      <w:pStyle w:val="Header"/>
      <w:rPr>
        <w:rFonts w:ascii="Arial" w:hAnsi="Arial" w:cs="Arial"/>
        <w:i/>
        <w:iCs/>
        <w:sz w:val="20"/>
      </w:rPr>
    </w:pPr>
    <w:r>
      <w:rPr>
        <w:rFonts w:ascii="Arial" w:hAnsi="Arial" w:cs="Arial"/>
        <w:i/>
        <w:iCs/>
        <w:sz w:val="20"/>
      </w:rPr>
      <w:t>ACM AR optional PCD-05 filtering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F568E7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3"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3401F97"/>
    <w:multiLevelType w:val="hybridMultilevel"/>
    <w:tmpl w:val="1D243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821335"/>
    <w:multiLevelType w:val="multilevel"/>
    <w:tmpl w:val="CAC0C834"/>
    <w:lvl w:ilvl="0">
      <w:start w:val="1"/>
      <w:numFmt w:val="upperLetter"/>
      <w:pStyle w:val="AppendixHeading3"/>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2665ED"/>
    <w:multiLevelType w:val="multilevel"/>
    <w:tmpl w:val="079C2AD6"/>
    <w:lvl w:ilvl="0">
      <w:start w:val="1"/>
      <w:numFmt w:val="upperLetter"/>
      <w:pStyle w:val="AppendixHeading3"/>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5828D3"/>
    <w:multiLevelType w:val="multilevel"/>
    <w:tmpl w:val="F1446090"/>
    <w:lvl w:ilvl="0">
      <w:start w:val="1"/>
      <w:numFmt w:val="upperLetter"/>
      <w:pStyle w:val="AppendixHeading1"/>
      <w:lvlText w:val="Appendix %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06556C3"/>
    <w:multiLevelType w:val="multilevel"/>
    <w:tmpl w:val="CD60718C"/>
    <w:lvl w:ilvl="0">
      <w:start w:val="1"/>
      <w:numFmt w:val="upperLetter"/>
      <w:pStyle w:val="AppendixHeading2"/>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2150EC1"/>
    <w:multiLevelType w:val="multilevel"/>
    <w:tmpl w:val="BDB68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Appendix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5C7297E"/>
    <w:multiLevelType w:val="multilevel"/>
    <w:tmpl w:val="F544E75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9CB397A"/>
    <w:multiLevelType w:val="multilevel"/>
    <w:tmpl w:val="9C54C07A"/>
    <w:lvl w:ilvl="0">
      <w:start w:val="1"/>
      <w:numFmt w:val="upperLetter"/>
      <w:pStyle w:val="AppendixHeading2"/>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000619207">
    <w:abstractNumId w:val="2"/>
  </w:num>
  <w:num w:numId="2" w16cid:durableId="1558928673">
    <w:abstractNumId w:val="13"/>
  </w:num>
  <w:num w:numId="3" w16cid:durableId="320501868">
    <w:abstractNumId w:val="3"/>
  </w:num>
  <w:num w:numId="4" w16cid:durableId="687145758">
    <w:abstractNumId w:val="1"/>
  </w:num>
  <w:num w:numId="5" w16cid:durableId="1180583177">
    <w:abstractNumId w:val="0"/>
  </w:num>
  <w:num w:numId="6" w16cid:durableId="670526574">
    <w:abstractNumId w:val="6"/>
  </w:num>
  <w:num w:numId="7" w16cid:durableId="18435483">
    <w:abstractNumId w:val="11"/>
  </w:num>
  <w:num w:numId="8" w16cid:durableId="1996298250">
    <w:abstractNumId w:val="4"/>
  </w:num>
  <w:num w:numId="9" w16cid:durableId="2073967956">
    <w:abstractNumId w:val="8"/>
  </w:num>
  <w:num w:numId="10" w16cid:durableId="2011060142">
    <w:abstractNumId w:val="15"/>
  </w:num>
  <w:num w:numId="11" w16cid:durableId="161742912">
    <w:abstractNumId w:val="2"/>
    <w:lvlOverride w:ilvl="0">
      <w:startOverride w:val="1"/>
    </w:lvlOverride>
  </w:num>
  <w:num w:numId="12" w16cid:durableId="1433473063">
    <w:abstractNumId w:val="2"/>
    <w:lvlOverride w:ilvl="0">
      <w:startOverride w:val="1"/>
    </w:lvlOverride>
  </w:num>
  <w:num w:numId="13" w16cid:durableId="1540893161">
    <w:abstractNumId w:val="2"/>
    <w:lvlOverride w:ilvl="0">
      <w:startOverride w:val="1"/>
    </w:lvlOverride>
  </w:num>
  <w:num w:numId="14" w16cid:durableId="244994318">
    <w:abstractNumId w:val="14"/>
  </w:num>
  <w:num w:numId="15" w16cid:durableId="1181041974">
    <w:abstractNumId w:val="7"/>
  </w:num>
  <w:num w:numId="16" w16cid:durableId="1729645325">
    <w:abstractNumId w:val="12"/>
  </w:num>
  <w:num w:numId="17" w16cid:durableId="2136830971">
    <w:abstractNumId w:val="10"/>
  </w:num>
  <w:num w:numId="18" w16cid:durableId="1011376854">
    <w:abstractNumId w:val="9"/>
  </w:num>
  <w:num w:numId="19" w16cid:durableId="219063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27"/>
    <w:rsid w:val="00042635"/>
    <w:rsid w:val="00052210"/>
    <w:rsid w:val="0006545F"/>
    <w:rsid w:val="0006687D"/>
    <w:rsid w:val="00076925"/>
    <w:rsid w:val="000A16A5"/>
    <w:rsid w:val="000B3350"/>
    <w:rsid w:val="000D1827"/>
    <w:rsid w:val="000E05B1"/>
    <w:rsid w:val="000F4969"/>
    <w:rsid w:val="0010601B"/>
    <w:rsid w:val="00142465"/>
    <w:rsid w:val="00154A1E"/>
    <w:rsid w:val="00161F1F"/>
    <w:rsid w:val="0018592D"/>
    <w:rsid w:val="001A0923"/>
    <w:rsid w:val="001D33EA"/>
    <w:rsid w:val="001E41A6"/>
    <w:rsid w:val="0025586C"/>
    <w:rsid w:val="00277FC7"/>
    <w:rsid w:val="00293018"/>
    <w:rsid w:val="002A5837"/>
    <w:rsid w:val="002D46B1"/>
    <w:rsid w:val="00346B8F"/>
    <w:rsid w:val="00350DD0"/>
    <w:rsid w:val="00352155"/>
    <w:rsid w:val="00353825"/>
    <w:rsid w:val="003A2DD5"/>
    <w:rsid w:val="003B3883"/>
    <w:rsid w:val="003D4635"/>
    <w:rsid w:val="0041108F"/>
    <w:rsid w:val="00415035"/>
    <w:rsid w:val="004319CA"/>
    <w:rsid w:val="00437641"/>
    <w:rsid w:val="00451336"/>
    <w:rsid w:val="00473D82"/>
    <w:rsid w:val="00496B9D"/>
    <w:rsid w:val="004A3986"/>
    <w:rsid w:val="004A7CDC"/>
    <w:rsid w:val="004B55FE"/>
    <w:rsid w:val="004D440C"/>
    <w:rsid w:val="004F29CC"/>
    <w:rsid w:val="005351E2"/>
    <w:rsid w:val="00555123"/>
    <w:rsid w:val="00573622"/>
    <w:rsid w:val="00576C3C"/>
    <w:rsid w:val="00592911"/>
    <w:rsid w:val="00594C2A"/>
    <w:rsid w:val="005D6B46"/>
    <w:rsid w:val="005E377A"/>
    <w:rsid w:val="00616019"/>
    <w:rsid w:val="0065580F"/>
    <w:rsid w:val="00655B0C"/>
    <w:rsid w:val="00671D82"/>
    <w:rsid w:val="00675CAB"/>
    <w:rsid w:val="006A6960"/>
    <w:rsid w:val="006E0130"/>
    <w:rsid w:val="00703BCC"/>
    <w:rsid w:val="00705699"/>
    <w:rsid w:val="00705CED"/>
    <w:rsid w:val="00707427"/>
    <w:rsid w:val="00735BF8"/>
    <w:rsid w:val="00766FFD"/>
    <w:rsid w:val="00776B11"/>
    <w:rsid w:val="007A724B"/>
    <w:rsid w:val="008019F2"/>
    <w:rsid w:val="00801FCA"/>
    <w:rsid w:val="008140AF"/>
    <w:rsid w:val="00843635"/>
    <w:rsid w:val="00882FD1"/>
    <w:rsid w:val="00887BB5"/>
    <w:rsid w:val="00892C7F"/>
    <w:rsid w:val="008A5A3E"/>
    <w:rsid w:val="008C6235"/>
    <w:rsid w:val="008F1355"/>
    <w:rsid w:val="00905A8C"/>
    <w:rsid w:val="00932E1F"/>
    <w:rsid w:val="0096532F"/>
    <w:rsid w:val="0097476E"/>
    <w:rsid w:val="009A2588"/>
    <w:rsid w:val="009E3C1B"/>
    <w:rsid w:val="009E74D8"/>
    <w:rsid w:val="00A43CFF"/>
    <w:rsid w:val="00AC0744"/>
    <w:rsid w:val="00AD3D5D"/>
    <w:rsid w:val="00B044C0"/>
    <w:rsid w:val="00B14786"/>
    <w:rsid w:val="00B1735A"/>
    <w:rsid w:val="00B208CF"/>
    <w:rsid w:val="00B2241B"/>
    <w:rsid w:val="00B815D8"/>
    <w:rsid w:val="00BA2D58"/>
    <w:rsid w:val="00BA3CBE"/>
    <w:rsid w:val="00BA7654"/>
    <w:rsid w:val="00BC3540"/>
    <w:rsid w:val="00BE2A67"/>
    <w:rsid w:val="00C02AAD"/>
    <w:rsid w:val="00C0576A"/>
    <w:rsid w:val="00C36FB6"/>
    <w:rsid w:val="00C55889"/>
    <w:rsid w:val="00C638AB"/>
    <w:rsid w:val="00C76BFC"/>
    <w:rsid w:val="00CC00D3"/>
    <w:rsid w:val="00D019F5"/>
    <w:rsid w:val="00D10B53"/>
    <w:rsid w:val="00D23AA5"/>
    <w:rsid w:val="00D34E08"/>
    <w:rsid w:val="00D4044C"/>
    <w:rsid w:val="00D57CA2"/>
    <w:rsid w:val="00D732B7"/>
    <w:rsid w:val="00D83EF3"/>
    <w:rsid w:val="00D868B8"/>
    <w:rsid w:val="00D97F9B"/>
    <w:rsid w:val="00DA22A5"/>
    <w:rsid w:val="00DA4A9D"/>
    <w:rsid w:val="00DE7025"/>
    <w:rsid w:val="00DF39D5"/>
    <w:rsid w:val="00E360E7"/>
    <w:rsid w:val="00E402A7"/>
    <w:rsid w:val="00E654CF"/>
    <w:rsid w:val="00E70B3E"/>
    <w:rsid w:val="00ED1B4C"/>
    <w:rsid w:val="00EE1268"/>
    <w:rsid w:val="00EE3EC0"/>
    <w:rsid w:val="00F21552"/>
    <w:rsid w:val="00F22A06"/>
    <w:rsid w:val="00F25F75"/>
    <w:rsid w:val="00F4071A"/>
    <w:rsid w:val="00F44252"/>
    <w:rsid w:val="00F5766C"/>
    <w:rsid w:val="00F67923"/>
    <w:rsid w:val="00F85314"/>
    <w:rsid w:val="00FA5AC8"/>
    <w:rsid w:val="00FF0C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8686B"/>
  <w15:chartTrackingRefBased/>
  <w15:docId w15:val="{75ECF863-D100-3745-B0E4-E4D814EC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pPr>
    <w:rPr>
      <w:sz w:val="24"/>
      <w:lang w:bidi="ar-SA"/>
    </w:rPr>
  </w:style>
  <w:style w:type="paragraph" w:styleId="Heading1">
    <w:name w:val="heading 1"/>
    <w:next w:val="BodyText"/>
    <w:qFormat/>
    <w:pPr>
      <w:keepNext/>
      <w:numPr>
        <w:numId w:val="2"/>
      </w:numPr>
      <w:tabs>
        <w:tab w:val="clear" w:pos="432"/>
        <w:tab w:val="num" w:pos="360"/>
      </w:tabs>
      <w:spacing w:before="240" w:after="60"/>
      <w:ind w:left="360" w:hanging="720"/>
      <w:outlineLvl w:val="0"/>
    </w:pPr>
    <w:rPr>
      <w:rFonts w:ascii="Arial" w:hAnsi="Arial"/>
      <w:b/>
      <w:noProof/>
      <w:kern w:val="28"/>
      <w:sz w:val="28"/>
      <w:lang w:bidi="ar-SA"/>
    </w:rPr>
  </w:style>
  <w:style w:type="paragraph" w:styleId="Heading2">
    <w:name w:val="heading 2"/>
    <w:basedOn w:val="Heading1"/>
    <w:next w:val="BodyText"/>
    <w:qFormat/>
    <w:pPr>
      <w:numPr>
        <w:ilvl w:val="1"/>
      </w:numPr>
      <w:tabs>
        <w:tab w:val="clear" w:pos="576"/>
        <w:tab w:val="num" w:pos="540"/>
      </w:tabs>
      <w:ind w:left="547" w:hanging="907"/>
      <w:outlineLvl w:val="1"/>
    </w:pPr>
  </w:style>
  <w:style w:type="paragraph" w:styleId="Heading3">
    <w:name w:val="heading 3"/>
    <w:basedOn w:val="Heading2"/>
    <w:next w:val="BodyText"/>
    <w:qFormat/>
    <w:pPr>
      <w:numPr>
        <w:ilvl w:val="2"/>
      </w:numPr>
      <w:ind w:hanging="1080"/>
      <w:outlineLvl w:val="2"/>
    </w:pPr>
    <w:rPr>
      <w:sz w:val="24"/>
    </w:rPr>
  </w:style>
  <w:style w:type="paragraph" w:styleId="Heading4">
    <w:name w:val="heading 4"/>
    <w:basedOn w:val="Heading3"/>
    <w:next w:val="BodyText"/>
    <w:qFormat/>
    <w:pPr>
      <w:numPr>
        <w:ilvl w:val="3"/>
      </w:numPr>
      <w:tabs>
        <w:tab w:val="clear" w:pos="864"/>
        <w:tab w:val="left" w:pos="900"/>
      </w:tabs>
      <w:ind w:left="900" w:hanging="1260"/>
      <w:outlineLvl w:val="3"/>
    </w:pPr>
  </w:style>
  <w:style w:type="paragraph" w:styleId="Heading5">
    <w:name w:val="heading 5"/>
    <w:basedOn w:val="Heading4"/>
    <w:next w:val="BodyText"/>
    <w:qFormat/>
    <w:pPr>
      <w:numPr>
        <w:ilvl w:val="4"/>
      </w:numPr>
      <w:tabs>
        <w:tab w:val="clear" w:pos="900"/>
        <w:tab w:val="clear" w:pos="1008"/>
        <w:tab w:val="num" w:pos="1080"/>
      </w:tabs>
      <w:ind w:left="1080" w:hanging="1440"/>
      <w:outlineLvl w:val="4"/>
    </w:pPr>
  </w:style>
  <w:style w:type="paragraph" w:styleId="Heading6">
    <w:name w:val="heading 6"/>
    <w:basedOn w:val="Heading5"/>
    <w:next w:val="BodyText"/>
    <w:qFormat/>
    <w:pPr>
      <w:numPr>
        <w:ilvl w:val="5"/>
      </w:numPr>
      <w:tabs>
        <w:tab w:val="clear" w:pos="1152"/>
        <w:tab w:val="num" w:pos="1260"/>
      </w:tabs>
      <w:ind w:left="1260" w:hanging="1620"/>
      <w:outlineLvl w:val="5"/>
    </w:pPr>
  </w:style>
  <w:style w:type="paragraph" w:styleId="Heading7">
    <w:name w:val="heading 7"/>
    <w:basedOn w:val="Heading6"/>
    <w:next w:val="BodyText"/>
    <w:qFormat/>
    <w:pPr>
      <w:numPr>
        <w:ilvl w:val="6"/>
      </w:numPr>
      <w:tabs>
        <w:tab w:val="clear" w:pos="1296"/>
        <w:tab w:val="num" w:pos="1440"/>
      </w:tabs>
      <w:ind w:left="1440" w:hanging="1800"/>
      <w:outlineLvl w:val="6"/>
    </w:pPr>
  </w:style>
  <w:style w:type="paragraph" w:styleId="Heading8">
    <w:name w:val="heading 8"/>
    <w:basedOn w:val="Heading7"/>
    <w:next w:val="BodyText"/>
    <w:qFormat/>
    <w:pPr>
      <w:numPr>
        <w:ilvl w:val="7"/>
      </w:numPr>
      <w:tabs>
        <w:tab w:val="clear" w:pos="1440"/>
        <w:tab w:val="num" w:pos="1620"/>
      </w:tabs>
      <w:ind w:left="1620" w:hanging="1980"/>
      <w:outlineLvl w:val="7"/>
    </w:pPr>
  </w:style>
  <w:style w:type="paragraph" w:styleId="Heading9">
    <w:name w:val="heading 9"/>
    <w:basedOn w:val="Heading8"/>
    <w:next w:val="BodyText"/>
    <w:qFormat/>
    <w:pPr>
      <w:numPr>
        <w:ilvl w:val="8"/>
      </w:numPr>
      <w:tabs>
        <w:tab w:val="clear" w:pos="1584"/>
        <w:tab w:val="num" w:pos="1800"/>
      </w:tabs>
      <w:ind w:left="1800" w:hanging="2160"/>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sz w:val="44"/>
    </w:rPr>
  </w:style>
  <w:style w:type="paragraph" w:styleId="BodyText">
    <w:name w:val="Body Text"/>
    <w:pPr>
      <w:spacing w:before="120"/>
    </w:pPr>
    <w:rPr>
      <w:noProof/>
      <w:sz w:val="24"/>
      <w:lang w:bidi="ar-SA"/>
    </w:rPr>
  </w:style>
  <w:style w:type="paragraph" w:styleId="BodyTextIndent">
    <w:name w:val="Body Text Indent"/>
    <w:basedOn w:val="BodyText"/>
    <w:pPr>
      <w:ind w:left="360"/>
    </w:pPr>
  </w:style>
  <w:style w:type="paragraph" w:styleId="ListNumber">
    <w:name w:val="List Number"/>
    <w:basedOn w:val="BodyText"/>
    <w:pPr>
      <w:numPr>
        <w:numId w:val="1"/>
      </w:numPr>
    </w:pPr>
  </w:style>
  <w:style w:type="paragraph" w:styleId="List">
    <w:name w:val="List"/>
    <w:basedOn w:val="BodyText"/>
    <w:pPr>
      <w:spacing w:before="60"/>
      <w:ind w:left="1080" w:hanging="720"/>
    </w:pPr>
  </w:style>
  <w:style w:type="paragraph" w:styleId="ListBullet">
    <w:name w:val="List Bullet"/>
    <w:basedOn w:val="BodyText"/>
    <w:pPr>
      <w:numPr>
        <w:numId w:val="3"/>
      </w:numPr>
      <w:tabs>
        <w:tab w:val="clear" w:pos="360"/>
        <w:tab w:val="num" w:pos="720"/>
      </w:tabs>
      <w:spacing w:before="60"/>
      <w:ind w:left="720"/>
    </w:pPr>
  </w:style>
  <w:style w:type="paragraph" w:styleId="ListBullet2">
    <w:name w:val="List Bullet 2"/>
    <w:basedOn w:val="ListBullet"/>
    <w:pPr>
      <w:numPr>
        <w:numId w:val="4"/>
      </w:numPr>
      <w:tabs>
        <w:tab w:val="clear" w:pos="720"/>
        <w:tab w:val="num" w:pos="1080"/>
      </w:tabs>
      <w:ind w:left="1080"/>
    </w:pPr>
  </w:style>
  <w:style w:type="paragraph" w:styleId="ListBullet3">
    <w:name w:val="List Bullet 3"/>
    <w:basedOn w:val="ListBullet"/>
    <w:pPr>
      <w:numPr>
        <w:numId w:val="5"/>
      </w:numPr>
      <w:tabs>
        <w:tab w:val="clear" w:pos="1080"/>
        <w:tab w:val="num" w:pos="1440"/>
      </w:tabs>
      <w:ind w:left="1440"/>
    </w:pPr>
  </w:style>
  <w:style w:type="paragraph" w:styleId="List2">
    <w:name w:val="List 2"/>
    <w:basedOn w:val="List"/>
    <w:pPr>
      <w:ind w:left="1440"/>
    </w:pPr>
  </w:style>
  <w:style w:type="paragraph" w:styleId="TOC1">
    <w:name w:val="toc 1"/>
    <w:next w:val="Normal"/>
    <w:semiHidden/>
    <w:rPr>
      <w:noProof/>
      <w:sz w:val="24"/>
      <w:lang w:bidi="ar-SA"/>
    </w:rPr>
  </w:style>
  <w:style w:type="paragraph" w:styleId="TOC2">
    <w:name w:val="toc 2"/>
    <w:basedOn w:val="TOC1"/>
    <w:next w:val="Normal"/>
    <w:semiHidden/>
    <w:pPr>
      <w:ind w:left="240"/>
    </w:pPr>
  </w:style>
  <w:style w:type="paragraph" w:styleId="TOC3">
    <w:name w:val="toc 3"/>
    <w:basedOn w:val="TOC2"/>
    <w:next w:val="Normal"/>
    <w:semiHidden/>
    <w:pPr>
      <w:ind w:left="480"/>
    </w:pPr>
  </w:style>
  <w:style w:type="paragraph" w:styleId="TOC4">
    <w:name w:val="toc 4"/>
    <w:basedOn w:val="TOC3"/>
    <w:next w:val="Normal"/>
    <w:semiHidden/>
    <w:pPr>
      <w:ind w:left="720"/>
    </w:pPr>
  </w:style>
  <w:style w:type="paragraph" w:styleId="TOC5">
    <w:name w:val="toc 5"/>
    <w:basedOn w:val="TOC4"/>
    <w:next w:val="Normal"/>
    <w:semiHidden/>
    <w:pPr>
      <w:ind w:left="960"/>
    </w:pPr>
  </w:style>
  <w:style w:type="paragraph" w:styleId="TOC6">
    <w:name w:val="toc 6"/>
    <w:basedOn w:val="TOC5"/>
    <w:next w:val="Normal"/>
    <w:semiHidden/>
    <w:pPr>
      <w:ind w:left="1200"/>
    </w:pPr>
  </w:style>
  <w:style w:type="paragraph" w:styleId="TOC7">
    <w:name w:val="toc 7"/>
    <w:basedOn w:val="TOC6"/>
    <w:next w:val="Normal"/>
    <w:semiHidden/>
    <w:pPr>
      <w:ind w:left="1440"/>
    </w:pPr>
  </w:style>
  <w:style w:type="paragraph" w:styleId="TOC8">
    <w:name w:val="toc 8"/>
    <w:basedOn w:val="TOC7"/>
    <w:next w:val="Normal"/>
    <w:semiHidden/>
    <w:pPr>
      <w:ind w:left="1680"/>
    </w:pPr>
  </w:style>
  <w:style w:type="paragraph" w:styleId="TOC9">
    <w:name w:val="toc 9"/>
    <w:basedOn w:val="TOC8"/>
    <w:next w:val="Normal"/>
    <w:semiHidden/>
    <w:pPr>
      <w:ind w:left="1920"/>
    </w:p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pPr>
      <w:spacing w:before="60" w:after="60"/>
      <w:jc w:val="center"/>
    </w:pPr>
    <w:rPr>
      <w:rFonts w:ascii="Arial" w:hAnsi="Arial"/>
      <w:b/>
      <w:sz w:val="22"/>
    </w:rPr>
  </w:style>
  <w:style w:type="paragraph" w:customStyle="1" w:styleId="FigureTitle">
    <w:name w:val="Figure Title"/>
    <w:basedOn w:val="Table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BodyText"/>
    <w:next w:val="BodyText"/>
    <w:qFormat/>
    <w:rPr>
      <w:rFonts w:ascii="Arial" w:hAnsi="Arial"/>
      <w:b/>
    </w:rPr>
  </w:style>
  <w:style w:type="paragraph" w:styleId="List3">
    <w:name w:val="List 3"/>
    <w:basedOn w:val="Normal"/>
    <w:pPr>
      <w:ind w:left="1800" w:hanging="720"/>
    </w:pPr>
  </w:style>
  <w:style w:type="paragraph" w:styleId="ListContinue">
    <w:name w:val="List Continue"/>
    <w:basedOn w:val="List"/>
    <w:pPr>
      <w:spacing w:after="120"/>
      <w:ind w:firstLine="0"/>
    </w:pPr>
  </w:style>
  <w:style w:type="paragraph" w:styleId="ListContinue2">
    <w:name w:val="List Continue 2"/>
    <w:basedOn w:val="List2"/>
    <w:pPr>
      <w:ind w:firstLine="0"/>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pPr>
      <w:numPr>
        <w:ilvl w:val="1"/>
        <w:numId w:val="17"/>
      </w:numPr>
      <w:spacing w:before="240" w:after="60"/>
    </w:pPr>
    <w:rPr>
      <w:rFonts w:ascii="Arial" w:hAnsi="Arial"/>
      <w:b/>
      <w:noProof/>
      <w:sz w:val="28"/>
      <w:lang w:bidi="ar-SA"/>
    </w:rPr>
  </w:style>
  <w:style w:type="paragraph" w:customStyle="1" w:styleId="AppendixHeading1">
    <w:name w:val="Appendix Heading 1"/>
    <w:next w:val="BodyText"/>
    <w:pPr>
      <w:numPr>
        <w:numId w:val="17"/>
      </w:numPr>
      <w:spacing w:before="240" w:after="60"/>
    </w:pPr>
    <w:rPr>
      <w:rFonts w:ascii="Arial" w:hAnsi="Arial"/>
      <w:b/>
      <w:noProof/>
      <w:sz w:val="28"/>
      <w:lang w:bidi="ar-SA"/>
    </w:rPr>
  </w:style>
  <w:style w:type="paragraph" w:customStyle="1" w:styleId="AppendixHeading3">
    <w:name w:val="Appendix Heading 3"/>
    <w:basedOn w:val="AppendixHeading2"/>
    <w:next w:val="BodyText"/>
    <w:pPr>
      <w:numPr>
        <w:ilvl w:val="2"/>
      </w:numPr>
    </w:pPr>
    <w:rPr>
      <w:sz w:val="24"/>
    </w:rPr>
  </w:style>
  <w:style w:type="paragraph" w:customStyle="1" w:styleId="EditorInstructions">
    <w:name w:val="Editor Instructions"/>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StyleBodyTextItalicRedBoxSinglesolidlineAuto05">
    <w:name w:val="Style Body Text + Italic Red Box: (Single solid line Auto  0.5 ..."/>
    <w:basedOn w:val="BodyText"/>
    <w:rsid w:val="00707427"/>
    <w:pPr>
      <w:pBdr>
        <w:top w:val="single" w:sz="4" w:space="1" w:color="auto"/>
        <w:left w:val="single" w:sz="4" w:space="4" w:color="auto"/>
        <w:bottom w:val="single" w:sz="4" w:space="1" w:color="auto"/>
        <w:right w:val="single" w:sz="4" w:space="4" w:color="auto"/>
      </w:pBdr>
    </w:pPr>
    <w:rPr>
      <w:i/>
      <w:iCs/>
    </w:rPr>
  </w:style>
  <w:style w:type="paragraph" w:customStyle="1" w:styleId="Note">
    <w:name w:val="Note"/>
    <w:basedOn w:val="FootnoteText"/>
    <w:rsid w:val="00707427"/>
    <w:pPr>
      <w:ind w:left="1152" w:hanging="720"/>
    </w:pPr>
    <w:rPr>
      <w:sz w:val="18"/>
    </w:rPr>
  </w:style>
  <w:style w:type="paragraph" w:styleId="FootnoteText">
    <w:name w:val="footnote text"/>
    <w:basedOn w:val="Normal"/>
    <w:semiHidden/>
    <w:rsid w:val="00707427"/>
    <w:rPr>
      <w:sz w:val="20"/>
    </w:rPr>
  </w:style>
  <w:style w:type="paragraph" w:styleId="BalloonText">
    <w:name w:val="Balloon Text"/>
    <w:basedOn w:val="Normal"/>
    <w:semiHidden/>
    <w:rsid w:val="00801FCA"/>
    <w:rPr>
      <w:rFonts w:ascii="Tahoma" w:hAnsi="Tahoma" w:cs="Tahoma"/>
      <w:sz w:val="16"/>
      <w:szCs w:val="16"/>
    </w:rPr>
  </w:style>
  <w:style w:type="table" w:styleId="TableGrid">
    <w:name w:val="Table Grid"/>
    <w:basedOn w:val="TableNormal"/>
    <w:rsid w:val="00776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4A1E"/>
    <w:pPr>
      <w:autoSpaceDE w:val="0"/>
      <w:autoSpaceDN w:val="0"/>
      <w:adjustRightInd w:val="0"/>
    </w:pPr>
    <w:rPr>
      <w:color w:val="000000"/>
      <w:sz w:val="24"/>
      <w:szCs w:val="24"/>
      <w:lang w:bidi="ar-SA"/>
    </w:rPr>
  </w:style>
  <w:style w:type="paragraph" w:customStyle="1" w:styleId="HL7FieldIndent2">
    <w:name w:val="HL7 Field Indent 2"/>
    <w:basedOn w:val="BodyTextIndent"/>
    <w:link w:val="HL7FieldIndent2Char"/>
    <w:qFormat/>
    <w:rsid w:val="00BA7654"/>
    <w:pPr>
      <w:spacing w:line="240" w:lineRule="atLeast"/>
      <w:ind w:left="720"/>
    </w:pPr>
  </w:style>
  <w:style w:type="character" w:customStyle="1" w:styleId="HL7FieldIndent2Char">
    <w:name w:val="HL7 Field Indent 2 Char"/>
    <w:link w:val="HL7FieldIndent2"/>
    <w:locked/>
    <w:rsid w:val="00BA7654"/>
    <w:rPr>
      <w:noProof/>
      <w:sz w:val="24"/>
    </w:rPr>
  </w:style>
  <w:style w:type="paragraph" w:customStyle="1" w:styleId="HL7Field">
    <w:name w:val="HL7 Field"/>
    <w:basedOn w:val="Normal"/>
    <w:qFormat/>
    <w:rsid w:val="00BA7654"/>
    <w:pPr>
      <w:keepNext/>
      <w:spacing w:after="60" w:line="260" w:lineRule="atLeast"/>
    </w:pPr>
    <w:rPr>
      <w:b/>
      <w:bCs/>
    </w:rPr>
  </w:style>
  <w:style w:type="character" w:customStyle="1" w:styleId="TableEntryChar">
    <w:name w:val="Table Entry Char"/>
    <w:link w:val="TableEntry"/>
    <w:rsid w:val="00BA7654"/>
    <w:rPr>
      <w:noProof/>
      <w:sz w:val="18"/>
    </w:rPr>
  </w:style>
  <w:style w:type="character" w:customStyle="1" w:styleId="TableEntryHeaderChar">
    <w:name w:val="Table Entry Header Char"/>
    <w:link w:val="TableEntryHeader"/>
    <w:rsid w:val="00BA7654"/>
    <w:rPr>
      <w:rFonts w:ascii="Arial" w:hAnsi="Arial"/>
      <w:b/>
      <w:noProof/>
    </w:rPr>
  </w:style>
  <w:style w:type="character" w:styleId="CommentReference">
    <w:name w:val="annotation reference"/>
    <w:rsid w:val="00DF39D5"/>
    <w:rPr>
      <w:sz w:val="16"/>
      <w:szCs w:val="16"/>
    </w:rPr>
  </w:style>
  <w:style w:type="paragraph" w:styleId="CommentText">
    <w:name w:val="annotation text"/>
    <w:basedOn w:val="Normal"/>
    <w:link w:val="CommentTextChar"/>
    <w:rsid w:val="00DF39D5"/>
    <w:rPr>
      <w:sz w:val="20"/>
    </w:rPr>
  </w:style>
  <w:style w:type="character" w:customStyle="1" w:styleId="CommentTextChar">
    <w:name w:val="Comment Text Char"/>
    <w:basedOn w:val="DefaultParagraphFont"/>
    <w:link w:val="CommentText"/>
    <w:rsid w:val="00DF39D5"/>
  </w:style>
  <w:style w:type="paragraph" w:styleId="CommentSubject">
    <w:name w:val="annotation subject"/>
    <w:basedOn w:val="CommentText"/>
    <w:next w:val="CommentText"/>
    <w:link w:val="CommentSubjectChar"/>
    <w:rsid w:val="00DF39D5"/>
    <w:rPr>
      <w:b/>
      <w:bCs/>
    </w:rPr>
  </w:style>
  <w:style w:type="character" w:customStyle="1" w:styleId="CommentSubjectChar">
    <w:name w:val="Comment Subject Char"/>
    <w:link w:val="CommentSubject"/>
    <w:rsid w:val="00DF3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30522">
      <w:bodyDiv w:val="1"/>
      <w:marLeft w:val="0"/>
      <w:marRight w:val="0"/>
      <w:marTop w:val="0"/>
      <w:marBottom w:val="0"/>
      <w:divBdr>
        <w:top w:val="none" w:sz="0" w:space="0" w:color="auto"/>
        <w:left w:val="none" w:sz="0" w:space="0" w:color="auto"/>
        <w:bottom w:val="none" w:sz="0" w:space="0" w:color="auto"/>
        <w:right w:val="none" w:sz="0" w:space="0" w:color="auto"/>
      </w:divBdr>
    </w:div>
    <w:div w:id="95756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Stuff\IHE\Technical%20Framework\IHE%20TF%20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C:\My Stuff\IHE\Technical Framework\IHE TF CP.dot</Template>
  <TotalTime>0</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&lt;Change Proposal Title&gt;</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&lt;Change Proposal Title&gt;</dc:title>
  <dc:subject/>
  <dc:creator>NO ONE ASSIGNED</dc:creator>
  <cp:keywords/>
  <cp:lastModifiedBy>John Rhoads</cp:lastModifiedBy>
  <cp:revision>2</cp:revision>
  <cp:lastPrinted>1601-01-01T00:00:00Z</cp:lastPrinted>
  <dcterms:created xsi:type="dcterms:W3CDTF">2022-04-02T01:31:00Z</dcterms:created>
  <dcterms:modified xsi:type="dcterms:W3CDTF">2022-04-02T01:31:00Z</dcterms:modified>
</cp:coreProperties>
</file>