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58C62" w14:textId="77777777" w:rsidR="00D732B7" w:rsidRDefault="00D732B7">
      <w:pPr>
        <w:pStyle w:val="Title"/>
      </w:pPr>
      <w:r>
        <w:t>IHE Change Proposal</w:t>
      </w:r>
    </w:p>
    <w:p w14:paraId="31176F1C" w14:textId="77777777" w:rsidR="00D732B7" w:rsidRDefault="00D732B7">
      <w:pPr>
        <w:pStyle w:val="BodyText"/>
        <w:tabs>
          <w:tab w:val="left" w:pos="9180"/>
        </w:tabs>
        <w:rPr>
          <w:strike/>
        </w:rPr>
      </w:pPr>
      <w:r>
        <w:rPr>
          <w:strike/>
        </w:rPr>
        <w:tab/>
      </w:r>
    </w:p>
    <w:p w14:paraId="6B0E410A" w14:textId="77777777" w:rsidR="00D732B7" w:rsidRDefault="00D732B7">
      <w:pPr>
        <w:pStyle w:val="TableTitle"/>
      </w:pPr>
      <w:r>
        <w:t>Tracking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4"/>
        <w:gridCol w:w="4676"/>
      </w:tblGrid>
      <w:tr w:rsidR="00D732B7" w14:paraId="73F0DD4A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1CE1FB7F" w14:textId="77777777" w:rsidR="00D732B7" w:rsidRDefault="00D732B7">
            <w:pPr>
              <w:pStyle w:val="TableEntry"/>
            </w:pPr>
            <w:r>
              <w:t>IHE Domain</w:t>
            </w:r>
          </w:p>
        </w:tc>
        <w:tc>
          <w:tcPr>
            <w:tcW w:w="4788" w:type="dxa"/>
          </w:tcPr>
          <w:p w14:paraId="2479E91E" w14:textId="77777777" w:rsidR="00D732B7" w:rsidRPr="004D440C" w:rsidRDefault="004D440C">
            <w:pPr>
              <w:pStyle w:val="TableEntry"/>
            </w:pPr>
            <w:r w:rsidRPr="004D440C">
              <w:t>Patient Care Device (PCD)</w:t>
            </w:r>
          </w:p>
        </w:tc>
      </w:tr>
      <w:tr w:rsidR="00D732B7" w14:paraId="4AD41070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7A666554" w14:textId="77777777" w:rsidR="00D732B7" w:rsidRDefault="00D732B7">
            <w:pPr>
              <w:pStyle w:val="TableEntry"/>
            </w:pPr>
            <w:r>
              <w:t xml:space="preserve">Change Proposal </w:t>
            </w:r>
            <w:r w:rsidR="00766FFD">
              <w:t>ID</w:t>
            </w:r>
            <w:r w:rsidR="00A43CFF">
              <w:t>:</w:t>
            </w:r>
          </w:p>
        </w:tc>
        <w:tc>
          <w:tcPr>
            <w:tcW w:w="4788" w:type="dxa"/>
          </w:tcPr>
          <w:p w14:paraId="454A34B0" w14:textId="77777777" w:rsidR="00D732B7" w:rsidRDefault="00766FFD" w:rsidP="004D440C">
            <w:pPr>
              <w:pStyle w:val="TableEntry"/>
            </w:pPr>
            <w:r>
              <w:t>CP-</w:t>
            </w:r>
            <w:r w:rsidR="004D440C">
              <w:t>PCD</w:t>
            </w:r>
            <w:r>
              <w:t>-</w:t>
            </w:r>
            <w:r w:rsidR="00E83C61">
              <w:t>157</w:t>
            </w:r>
          </w:p>
        </w:tc>
      </w:tr>
      <w:tr w:rsidR="00D732B7" w14:paraId="178A8466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448783FC" w14:textId="77777777" w:rsidR="00D732B7" w:rsidRDefault="00D732B7">
            <w:pPr>
              <w:pStyle w:val="TableEntry"/>
            </w:pPr>
            <w:r>
              <w:t>Change Proposal Status:</w:t>
            </w:r>
          </w:p>
        </w:tc>
        <w:tc>
          <w:tcPr>
            <w:tcW w:w="4788" w:type="dxa"/>
          </w:tcPr>
          <w:p w14:paraId="1DDF3896" w14:textId="77777777" w:rsidR="00D732B7" w:rsidRDefault="00F25F75">
            <w:pPr>
              <w:pStyle w:val="TableEntry"/>
            </w:pPr>
            <w:r>
              <w:t>Submitted</w:t>
            </w:r>
          </w:p>
        </w:tc>
      </w:tr>
      <w:tr w:rsidR="00D732B7" w14:paraId="4AB1052F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3805EF7B" w14:textId="77777777" w:rsidR="00D732B7" w:rsidRDefault="00D732B7">
            <w:pPr>
              <w:pStyle w:val="TableEntry"/>
            </w:pPr>
            <w:r>
              <w:t>Date of last update:</w:t>
            </w:r>
          </w:p>
        </w:tc>
        <w:tc>
          <w:tcPr>
            <w:tcW w:w="4788" w:type="dxa"/>
          </w:tcPr>
          <w:p w14:paraId="56C124E3" w14:textId="77777777" w:rsidR="00D732B7" w:rsidRDefault="00B208CF" w:rsidP="00D10B53">
            <w:pPr>
              <w:pStyle w:val="TableEntry"/>
            </w:pPr>
            <w:r>
              <w:t>2020</w:t>
            </w:r>
            <w:r w:rsidR="00F22A06">
              <w:t>-</w:t>
            </w:r>
            <w:r w:rsidR="0025586C">
              <w:t>1</w:t>
            </w:r>
            <w:r w:rsidR="00015225">
              <w:t>0</w:t>
            </w:r>
            <w:r w:rsidR="004D440C">
              <w:t>-</w:t>
            </w:r>
            <w:r w:rsidR="00015225">
              <w:t>14</w:t>
            </w:r>
          </w:p>
        </w:tc>
      </w:tr>
      <w:tr w:rsidR="00D732B7" w14:paraId="2657DA39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0420CB6C" w14:textId="77777777" w:rsidR="00D732B7" w:rsidRDefault="00D732B7">
            <w:pPr>
              <w:pStyle w:val="TableEntry"/>
            </w:pPr>
            <w:r>
              <w:t>Person assigned:</w:t>
            </w:r>
          </w:p>
        </w:tc>
        <w:tc>
          <w:tcPr>
            <w:tcW w:w="4788" w:type="dxa"/>
          </w:tcPr>
          <w:p w14:paraId="79289E8F" w14:textId="77777777" w:rsidR="00D732B7" w:rsidRPr="004D440C" w:rsidRDefault="004D440C">
            <w:pPr>
              <w:pStyle w:val="TableEntry"/>
            </w:pPr>
            <w:r w:rsidRPr="004D440C">
              <w:rPr>
                <w:szCs w:val="18"/>
              </w:rPr>
              <w:t>Monroe Pattillo</w:t>
            </w:r>
          </w:p>
        </w:tc>
      </w:tr>
    </w:tbl>
    <w:p w14:paraId="135B835E" w14:textId="77777777" w:rsidR="00D732B7" w:rsidRDefault="00D732B7">
      <w:pPr>
        <w:pStyle w:val="TableTitle"/>
      </w:pPr>
    </w:p>
    <w:p w14:paraId="38CB6BA4" w14:textId="77777777" w:rsidR="00D732B7" w:rsidRDefault="00D732B7">
      <w:pPr>
        <w:pStyle w:val="TableTitle"/>
      </w:pPr>
      <w:r>
        <w:t>Change Proposal Summary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3"/>
        <w:gridCol w:w="4697"/>
      </w:tblGrid>
      <w:tr w:rsidR="00D732B7" w14:paraId="1DA858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6" w:type="dxa"/>
            <w:gridSpan w:val="2"/>
          </w:tcPr>
          <w:p w14:paraId="6EED38C9" w14:textId="77777777" w:rsidR="00D732B7" w:rsidRPr="004D440C" w:rsidRDefault="00451336" w:rsidP="003A2DD5">
            <w:pPr>
              <w:pStyle w:val="TableEntryHeader"/>
            </w:pPr>
            <w:r w:rsidRPr="00451336">
              <w:t>ACM A</w:t>
            </w:r>
            <w:r w:rsidR="007779FE">
              <w:t>M</w:t>
            </w:r>
            <w:r w:rsidRPr="00451336">
              <w:t xml:space="preserve"> optional PCD-05 </w:t>
            </w:r>
            <w:r w:rsidR="007779FE">
              <w:t>retransmission</w:t>
            </w:r>
          </w:p>
        </w:tc>
      </w:tr>
      <w:tr w:rsidR="00D732B7" w14:paraId="2C125461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5E552C88" w14:textId="77777777" w:rsidR="00D732B7" w:rsidRDefault="00D732B7">
            <w:pPr>
              <w:pStyle w:val="TableEntry"/>
            </w:pPr>
            <w:r>
              <w:t>Submitter’s Name(s) and e-mail address(es):</w:t>
            </w:r>
          </w:p>
        </w:tc>
        <w:tc>
          <w:tcPr>
            <w:tcW w:w="4788" w:type="dxa"/>
          </w:tcPr>
          <w:p w14:paraId="049A3C92" w14:textId="77777777" w:rsidR="00D732B7" w:rsidRPr="004D440C" w:rsidRDefault="004D440C">
            <w:pPr>
              <w:pStyle w:val="TableEntry"/>
            </w:pPr>
            <w:r w:rsidRPr="004D440C">
              <w:t>Monroe Pattillo, monroe.pattillo@gmail.com</w:t>
            </w:r>
          </w:p>
        </w:tc>
      </w:tr>
      <w:tr w:rsidR="00D732B7" w14:paraId="34717D55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563BCE93" w14:textId="77777777" w:rsidR="00D732B7" w:rsidRDefault="00D732B7">
            <w:pPr>
              <w:pStyle w:val="TableEntry"/>
            </w:pPr>
            <w:r>
              <w:t>Submission Date:</w:t>
            </w:r>
          </w:p>
        </w:tc>
        <w:tc>
          <w:tcPr>
            <w:tcW w:w="4788" w:type="dxa"/>
          </w:tcPr>
          <w:p w14:paraId="4F70C63A" w14:textId="77777777" w:rsidR="00D732B7" w:rsidRPr="004D440C" w:rsidRDefault="00F4071A" w:rsidP="0006687D">
            <w:pPr>
              <w:pStyle w:val="TableEntry"/>
            </w:pPr>
            <w:r>
              <w:t>xxxx-xx-xx</w:t>
            </w:r>
          </w:p>
        </w:tc>
      </w:tr>
      <w:tr w:rsidR="00D732B7" w14:paraId="597C1C1D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00E1ECB1" w14:textId="77777777" w:rsidR="00D732B7" w:rsidRDefault="00D732B7">
            <w:pPr>
              <w:pStyle w:val="TableEntry"/>
            </w:pPr>
            <w:r>
              <w:t>Integration Profile</w:t>
            </w:r>
            <w:r w:rsidR="002D46B1">
              <w:t>(s)</w:t>
            </w:r>
            <w:r>
              <w:t xml:space="preserve"> affected:</w:t>
            </w:r>
          </w:p>
        </w:tc>
        <w:tc>
          <w:tcPr>
            <w:tcW w:w="4788" w:type="dxa"/>
          </w:tcPr>
          <w:p w14:paraId="7641E85D" w14:textId="77777777" w:rsidR="00D732B7" w:rsidRPr="004D440C" w:rsidRDefault="004D440C" w:rsidP="008019F2">
            <w:pPr>
              <w:pStyle w:val="TableEntry"/>
            </w:pPr>
            <w:r w:rsidRPr="004D440C">
              <w:t>Alert Communication Management (ACM)</w:t>
            </w:r>
          </w:p>
        </w:tc>
      </w:tr>
      <w:tr w:rsidR="00766FFD" w14:paraId="1C9C8D2B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094F724F" w14:textId="77777777" w:rsidR="00766FFD" w:rsidRDefault="00766FFD">
            <w:pPr>
              <w:pStyle w:val="TableEntry"/>
            </w:pPr>
            <w:r>
              <w:t>Actor(s) affected:</w:t>
            </w:r>
          </w:p>
        </w:tc>
        <w:tc>
          <w:tcPr>
            <w:tcW w:w="4788" w:type="dxa"/>
          </w:tcPr>
          <w:p w14:paraId="47E0F825" w14:textId="77777777" w:rsidR="004D440C" w:rsidRDefault="004D440C" w:rsidP="008019F2">
            <w:pPr>
              <w:pStyle w:val="TableEntry"/>
              <w:rPr>
                <w:color w:val="FF0000"/>
              </w:rPr>
            </w:pPr>
            <w:r w:rsidRPr="004D440C">
              <w:t>Alert Manager (AM)</w:t>
            </w:r>
          </w:p>
        </w:tc>
      </w:tr>
      <w:tr w:rsidR="00D732B7" w14:paraId="04A658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8" w:type="dxa"/>
          </w:tcPr>
          <w:p w14:paraId="3CE06969" w14:textId="77777777" w:rsidR="00D732B7" w:rsidRDefault="00D732B7">
            <w:pPr>
              <w:pStyle w:val="TableEntry"/>
            </w:pPr>
            <w:r>
              <w:t>IHE Technical Framework</w:t>
            </w:r>
            <w:r w:rsidR="008F1355">
              <w:t xml:space="preserve"> or Supplement</w:t>
            </w:r>
            <w:r w:rsidR="00EE3EC0">
              <w:t xml:space="preserve"> modified</w:t>
            </w:r>
            <w:r>
              <w:t>:</w:t>
            </w:r>
          </w:p>
        </w:tc>
        <w:tc>
          <w:tcPr>
            <w:tcW w:w="4788" w:type="dxa"/>
          </w:tcPr>
          <w:p w14:paraId="0838C33B" w14:textId="77777777" w:rsidR="00D732B7" w:rsidRPr="004D440C" w:rsidRDefault="00B208CF" w:rsidP="00B208CF">
            <w:pPr>
              <w:pStyle w:val="TableEntry"/>
            </w:pPr>
            <w:r>
              <w:t>ACM profile in PCD TF revision 9</w:t>
            </w:r>
            <w:r w:rsidR="004D440C" w:rsidRPr="004D440C">
              <w:t xml:space="preserve">.0, dated </w:t>
            </w:r>
            <w:r>
              <w:t>Dec</w:t>
            </w:r>
            <w:r w:rsidR="004D440C" w:rsidRPr="004D440C">
              <w:t xml:space="preserve"> </w:t>
            </w:r>
            <w:r>
              <w:t>12</w:t>
            </w:r>
            <w:r w:rsidR="004D440C" w:rsidRPr="004D440C">
              <w:t>, 201</w:t>
            </w:r>
            <w:r>
              <w:t>9</w:t>
            </w:r>
          </w:p>
        </w:tc>
      </w:tr>
      <w:tr w:rsidR="00D732B7" w14:paraId="007CE52D" w14:textId="77777777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7CB0E8B4" w14:textId="77777777" w:rsidR="00D732B7" w:rsidRDefault="00D732B7">
            <w:pPr>
              <w:pStyle w:val="TableEntry"/>
            </w:pPr>
            <w:r>
              <w:t>Volume(s) and Section(s) affected:</w:t>
            </w:r>
          </w:p>
        </w:tc>
        <w:tc>
          <w:tcPr>
            <w:tcW w:w="4788" w:type="dxa"/>
          </w:tcPr>
          <w:p w14:paraId="29DC38D4" w14:textId="77777777" w:rsidR="0018592D" w:rsidRPr="004D440C" w:rsidRDefault="008019F2" w:rsidP="00451336">
            <w:pPr>
              <w:pStyle w:val="TableEntry"/>
            </w:pPr>
            <w:r>
              <w:t>IHE PCD TF Vol 2</w:t>
            </w:r>
            <w:r w:rsidR="0006687D">
              <w:t>,</w:t>
            </w:r>
            <w:r w:rsidR="00905A8C" w:rsidRPr="00905A8C">
              <w:t xml:space="preserve"> </w:t>
            </w:r>
            <w:r w:rsidR="003E61D5">
              <w:t>changes and additions to section B.8.5</w:t>
            </w:r>
          </w:p>
        </w:tc>
      </w:tr>
      <w:tr w:rsidR="00D732B7" w14:paraId="05DADE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6" w:type="dxa"/>
            <w:gridSpan w:val="2"/>
          </w:tcPr>
          <w:p w14:paraId="52709FC0" w14:textId="77777777" w:rsidR="00D732B7" w:rsidRPr="005E377A" w:rsidRDefault="00D732B7">
            <w:pPr>
              <w:pStyle w:val="TableEntry"/>
              <w:rPr>
                <w:sz w:val="20"/>
              </w:rPr>
            </w:pPr>
            <w:r w:rsidRPr="005E377A">
              <w:rPr>
                <w:sz w:val="20"/>
              </w:rPr>
              <w:t>Rationale for Change:</w:t>
            </w:r>
          </w:p>
          <w:p w14:paraId="45AD6FA1" w14:textId="77777777" w:rsidR="00427A31" w:rsidRDefault="00451336" w:rsidP="00451336">
            <w:pPr>
              <w:pStyle w:val="TableEntry"/>
              <w:rPr>
                <w:sz w:val="20"/>
              </w:rPr>
            </w:pPr>
            <w:r>
              <w:rPr>
                <w:sz w:val="20"/>
              </w:rPr>
              <w:t>Currently in the</w:t>
            </w:r>
            <w:r w:rsidR="009E74D8" w:rsidRPr="005E377A">
              <w:rPr>
                <w:sz w:val="20"/>
              </w:rPr>
              <w:t xml:space="preserve"> ACM </w:t>
            </w:r>
            <w:r>
              <w:rPr>
                <w:sz w:val="20"/>
              </w:rPr>
              <w:t xml:space="preserve">profile the Alert Reporter (AR) actor, </w:t>
            </w:r>
            <w:r w:rsidR="003E61D5">
              <w:rPr>
                <w:sz w:val="20"/>
              </w:rPr>
              <w:t xml:space="preserve">by site agreement, may optionally retransmit active alerts (Report Alert </w:t>
            </w:r>
            <w:r w:rsidR="00DE7E64">
              <w:rPr>
                <w:sz w:val="20"/>
              </w:rPr>
              <w:t xml:space="preserve">[PCD-04] </w:t>
            </w:r>
            <w:r w:rsidR="003E61D5">
              <w:rPr>
                <w:sz w:val="20"/>
              </w:rPr>
              <w:t xml:space="preserve">transactions) from the AR actor to the Alert Manager (AM) actor </w:t>
            </w:r>
            <w:r w:rsidR="00427A31">
              <w:rPr>
                <w:sz w:val="20"/>
              </w:rPr>
              <w:t xml:space="preserve">periodically, or </w:t>
            </w:r>
            <w:r w:rsidR="003E61D5">
              <w:rPr>
                <w:sz w:val="20"/>
              </w:rPr>
              <w:t xml:space="preserve">in the event of a system restart or reconnection </w:t>
            </w:r>
            <w:r w:rsidR="00DE7E64">
              <w:rPr>
                <w:sz w:val="20"/>
              </w:rPr>
              <w:t xml:space="preserve">after loss </w:t>
            </w:r>
            <w:r w:rsidR="003E61D5">
              <w:rPr>
                <w:sz w:val="20"/>
              </w:rPr>
              <w:t xml:space="preserve">of communication between the actors.  This </w:t>
            </w:r>
            <w:r w:rsidR="00DE7E64">
              <w:rPr>
                <w:sz w:val="20"/>
              </w:rPr>
              <w:t xml:space="preserve">recovery </w:t>
            </w:r>
            <w:r w:rsidR="00427A31">
              <w:rPr>
                <w:sz w:val="20"/>
              </w:rPr>
              <w:t xml:space="preserve">retransmission </w:t>
            </w:r>
            <w:r w:rsidR="00DE7E64">
              <w:rPr>
                <w:sz w:val="20"/>
              </w:rPr>
              <w:t xml:space="preserve">capability </w:t>
            </w:r>
            <w:r w:rsidR="003E61D5">
              <w:rPr>
                <w:sz w:val="20"/>
              </w:rPr>
              <w:t xml:space="preserve">keeps the actors in sync with </w:t>
            </w:r>
            <w:r w:rsidR="00C52080">
              <w:rPr>
                <w:sz w:val="20"/>
              </w:rPr>
              <w:t xml:space="preserve">the active alerts.  </w:t>
            </w:r>
            <w:r w:rsidR="00DE7E64">
              <w:rPr>
                <w:sz w:val="20"/>
              </w:rPr>
              <w:t xml:space="preserve">As ACM profile transactions are unsolicited (no subscribe/publish) connection state awareness is through </w:t>
            </w:r>
            <w:r w:rsidR="00427A31">
              <w:rPr>
                <w:sz w:val="20"/>
              </w:rPr>
              <w:t xml:space="preserve">absence of </w:t>
            </w:r>
            <w:r w:rsidR="00DE7E64">
              <w:rPr>
                <w:sz w:val="20"/>
              </w:rPr>
              <w:t xml:space="preserve">receipt of acknowledgements, either in response to profile required transactions or optional keep-alive requests.  </w:t>
            </w:r>
          </w:p>
          <w:p w14:paraId="29A0417E" w14:textId="77777777" w:rsidR="00427A31" w:rsidRDefault="00DE7E64" w:rsidP="00451336">
            <w:pPr>
              <w:pStyle w:val="TableEntry"/>
              <w:rPr>
                <w:sz w:val="20"/>
              </w:rPr>
            </w:pPr>
            <w:r>
              <w:rPr>
                <w:sz w:val="20"/>
              </w:rPr>
              <w:t>There is currently no such recovery capability defined for communication between the AM and AR actors for unacknowledged alert status updates (Report Alert Status [PCD-05]</w:t>
            </w:r>
            <w:r w:rsidR="00427A31">
              <w:rPr>
                <w:sz w:val="20"/>
              </w:rPr>
              <w:t>)</w:t>
            </w:r>
            <w:r>
              <w:rPr>
                <w:sz w:val="20"/>
              </w:rPr>
              <w:t xml:space="preserve"> transactions from the AM actor to the AR actor.  </w:t>
            </w:r>
            <w:r w:rsidR="00C52080">
              <w:rPr>
                <w:sz w:val="20"/>
              </w:rPr>
              <w:t xml:space="preserve">To avoid ad-hoc implementations </w:t>
            </w:r>
            <w:r w:rsidR="00427A31">
              <w:rPr>
                <w:sz w:val="20"/>
              </w:rPr>
              <w:t>a similar</w:t>
            </w:r>
            <w:r w:rsidR="00C52080">
              <w:rPr>
                <w:sz w:val="20"/>
              </w:rPr>
              <w:t xml:space="preserve"> capability should be</w:t>
            </w:r>
            <w:r>
              <w:rPr>
                <w:sz w:val="20"/>
              </w:rPr>
              <w:t xml:space="preserve"> documented in the profile</w:t>
            </w:r>
            <w:r w:rsidR="00C52080">
              <w:rPr>
                <w:sz w:val="20"/>
              </w:rPr>
              <w:t>.</w:t>
            </w:r>
            <w:r>
              <w:rPr>
                <w:sz w:val="20"/>
              </w:rPr>
              <w:t xml:space="preserve">  </w:t>
            </w:r>
          </w:p>
          <w:p w14:paraId="03FD35A0" w14:textId="77777777" w:rsidR="00451336" w:rsidRDefault="00DE7E64" w:rsidP="00451336">
            <w:pPr>
              <w:pStyle w:val="TableEntry"/>
              <w:rPr>
                <w:sz w:val="20"/>
              </w:rPr>
            </w:pPr>
            <w:r>
              <w:rPr>
                <w:sz w:val="20"/>
              </w:rPr>
              <w:t xml:space="preserve">Additionally, the existing text for </w:t>
            </w:r>
            <w:r w:rsidR="00BC0176">
              <w:rPr>
                <w:sz w:val="20"/>
              </w:rPr>
              <w:t>recovery of PCD-04 transactions provides no specific indication as to message content</w:t>
            </w:r>
            <w:r w:rsidR="00427A31">
              <w:rPr>
                <w:sz w:val="20"/>
              </w:rPr>
              <w:t xml:space="preserve"> for the retransmission message</w:t>
            </w:r>
            <w:r w:rsidR="00BC0176">
              <w:rPr>
                <w:sz w:val="20"/>
              </w:rPr>
              <w:t>, what should be the same from the original transmission, and what should be transmission instance specific.</w:t>
            </w:r>
          </w:p>
          <w:p w14:paraId="23FEED1B" w14:textId="77777777" w:rsidR="00451336" w:rsidRPr="005E377A" w:rsidRDefault="00451336" w:rsidP="00C52080">
            <w:pPr>
              <w:pStyle w:val="TableEntry"/>
              <w:rPr>
                <w:sz w:val="20"/>
              </w:rPr>
            </w:pPr>
            <w:r>
              <w:rPr>
                <w:sz w:val="20"/>
              </w:rPr>
              <w:t xml:space="preserve">This Change Proposal (CP) proposes </w:t>
            </w:r>
            <w:r w:rsidR="00C52080">
              <w:rPr>
                <w:sz w:val="20"/>
              </w:rPr>
              <w:t>changes to the existing PCD-04 specific text</w:t>
            </w:r>
            <w:r w:rsidR="00200314">
              <w:rPr>
                <w:sz w:val="20"/>
              </w:rPr>
              <w:t xml:space="preserve">, </w:t>
            </w:r>
            <w:r w:rsidR="00C52080">
              <w:rPr>
                <w:sz w:val="20"/>
              </w:rPr>
              <w:t>the addition of PCD-05 specific text</w:t>
            </w:r>
            <w:r w:rsidR="00200314">
              <w:rPr>
                <w:sz w:val="20"/>
              </w:rPr>
              <w:t>, and a new paragraph to indicate message content for the retransmissions</w:t>
            </w:r>
            <w:r w:rsidR="00C52080">
              <w:rPr>
                <w:sz w:val="20"/>
              </w:rPr>
              <w:t>.</w:t>
            </w:r>
          </w:p>
        </w:tc>
      </w:tr>
    </w:tbl>
    <w:p w14:paraId="388B4FFA" w14:textId="77777777" w:rsidR="005E377A" w:rsidRPr="008019F2" w:rsidRDefault="005E377A" w:rsidP="005E377A">
      <w:pPr>
        <w:pStyle w:val="EditorInstructions"/>
        <w:keepNext/>
        <w:keepLines/>
      </w:pPr>
      <w:r>
        <w:t xml:space="preserve">Section </w:t>
      </w:r>
      <w:r w:rsidR="00BC0176">
        <w:t>B.8.5</w:t>
      </w:r>
      <w:r w:rsidR="00451336" w:rsidRPr="00451336">
        <w:t xml:space="preserve"> </w:t>
      </w:r>
      <w:bookmarkStart w:id="0" w:name="_Hlk85116909"/>
      <w:r w:rsidR="00BC0176" w:rsidRPr="00BC0176">
        <w:rPr>
          <w:b/>
        </w:rPr>
        <w:t>B.8.5 OBX-4 Sub-id in Alert Communication Management transactions ([PCD-04], [PCD-06], [PCD-07])</w:t>
      </w:r>
      <w:r w:rsidR="00BC0176">
        <w:rPr>
          <w:b/>
        </w:rPr>
        <w:t>, State Transitions</w:t>
      </w:r>
      <w:bookmarkEnd w:id="0"/>
      <w:r>
        <w:t xml:space="preserve">, </w:t>
      </w:r>
      <w:r w:rsidR="00BC0176">
        <w:t xml:space="preserve">change section title, replace existing paragraph and add additionl paragraph after near line 3025 </w:t>
      </w:r>
      <w:r w:rsidR="00451336">
        <w:t xml:space="preserve">on page </w:t>
      </w:r>
      <w:r w:rsidR="00BC0176">
        <w:t>128</w:t>
      </w:r>
      <w:r w:rsidRPr="008019F2">
        <w:t>:</w:t>
      </w:r>
    </w:p>
    <w:p w14:paraId="5387F08D" w14:textId="77777777" w:rsidR="005E377A" w:rsidRDefault="005E377A" w:rsidP="005E377A">
      <w:pPr>
        <w:pStyle w:val="Default"/>
        <w:rPr>
          <w:sz w:val="23"/>
          <w:szCs w:val="23"/>
        </w:rPr>
      </w:pPr>
    </w:p>
    <w:p w14:paraId="21243D0C" w14:textId="77777777" w:rsidR="00BC0176" w:rsidRDefault="00BC0176" w:rsidP="005E377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Change existing section title from</w:t>
      </w:r>
    </w:p>
    <w:p w14:paraId="0646B773" w14:textId="77777777" w:rsidR="00BC0176" w:rsidRDefault="00BC0176" w:rsidP="005E377A">
      <w:pPr>
        <w:pStyle w:val="Default"/>
        <w:rPr>
          <w:sz w:val="23"/>
          <w:szCs w:val="23"/>
        </w:rPr>
      </w:pPr>
    </w:p>
    <w:p w14:paraId="61F87232" w14:textId="77777777" w:rsidR="00BC0176" w:rsidRPr="00BC0176" w:rsidRDefault="00BC0176" w:rsidP="005E377A">
      <w:pPr>
        <w:pStyle w:val="Default"/>
        <w:rPr>
          <w:b/>
          <w:bCs/>
          <w:sz w:val="23"/>
          <w:szCs w:val="23"/>
        </w:rPr>
      </w:pPr>
      <w:r w:rsidRPr="00BC0176">
        <w:rPr>
          <w:b/>
          <w:bCs/>
          <w:sz w:val="23"/>
          <w:szCs w:val="23"/>
        </w:rPr>
        <w:t>B.8.5 OBX-4 Sub-id in Alert Communication Management transactions ([PCD-04], [PCD-06], [PCD-07]), State Transitions</w:t>
      </w:r>
    </w:p>
    <w:p w14:paraId="1341C394" w14:textId="77777777" w:rsidR="00BC0176" w:rsidRDefault="00BC0176" w:rsidP="005E377A">
      <w:pPr>
        <w:pStyle w:val="Default"/>
        <w:rPr>
          <w:sz w:val="23"/>
          <w:szCs w:val="23"/>
        </w:rPr>
      </w:pPr>
    </w:p>
    <w:p w14:paraId="5CF8CF51" w14:textId="77777777" w:rsidR="00BC0176" w:rsidRDefault="00BC0176" w:rsidP="00427A31">
      <w:pPr>
        <w:pStyle w:val="Default"/>
        <w:keepNext/>
        <w:keepLines/>
        <w:rPr>
          <w:sz w:val="23"/>
          <w:szCs w:val="23"/>
        </w:rPr>
      </w:pPr>
      <w:r>
        <w:rPr>
          <w:sz w:val="23"/>
          <w:szCs w:val="23"/>
        </w:rPr>
        <w:lastRenderedPageBreak/>
        <w:t>To add [PCD-05]</w:t>
      </w:r>
    </w:p>
    <w:p w14:paraId="50364C5D" w14:textId="77777777" w:rsidR="00BC0176" w:rsidRDefault="00BC0176" w:rsidP="00427A31">
      <w:pPr>
        <w:pStyle w:val="Default"/>
        <w:keepNext/>
        <w:keepLines/>
        <w:rPr>
          <w:sz w:val="23"/>
          <w:szCs w:val="23"/>
        </w:rPr>
      </w:pPr>
    </w:p>
    <w:p w14:paraId="4E1C61E1" w14:textId="77777777" w:rsidR="00BC0176" w:rsidRPr="00BC0176" w:rsidRDefault="00BC0176" w:rsidP="00427A31">
      <w:pPr>
        <w:pStyle w:val="Default"/>
        <w:keepNext/>
        <w:keepLines/>
        <w:rPr>
          <w:b/>
          <w:bCs/>
          <w:sz w:val="23"/>
          <w:szCs w:val="23"/>
        </w:rPr>
      </w:pPr>
      <w:r w:rsidRPr="00BC0176">
        <w:rPr>
          <w:b/>
          <w:bCs/>
          <w:sz w:val="23"/>
          <w:szCs w:val="23"/>
        </w:rPr>
        <w:t>B.8.5 OBX-4 Sub-id in Alert Communication Management transactions ([PCD-04], [PCD-05], [PCD-06], [PCD-07]), State Transitions</w:t>
      </w:r>
    </w:p>
    <w:p w14:paraId="31E3C344" w14:textId="77777777" w:rsidR="00BC0176" w:rsidRDefault="00BC0176" w:rsidP="005E377A">
      <w:pPr>
        <w:pStyle w:val="Default"/>
        <w:rPr>
          <w:sz w:val="23"/>
          <w:szCs w:val="23"/>
        </w:rPr>
      </w:pPr>
    </w:p>
    <w:p w14:paraId="09C6C8F8" w14:textId="77777777" w:rsidR="00BC0176" w:rsidRDefault="00BC0176" w:rsidP="00BC0176">
      <w:pPr>
        <w:pStyle w:val="Default"/>
        <w:keepNext/>
        <w:keepLines/>
        <w:rPr>
          <w:sz w:val="23"/>
          <w:szCs w:val="23"/>
        </w:rPr>
      </w:pPr>
      <w:r>
        <w:rPr>
          <w:sz w:val="23"/>
          <w:szCs w:val="23"/>
        </w:rPr>
        <w:t>Replace existing paragraph</w:t>
      </w:r>
    </w:p>
    <w:p w14:paraId="2A188D97" w14:textId="77777777" w:rsidR="00BC0176" w:rsidRDefault="00BC0176" w:rsidP="00BC0176">
      <w:pPr>
        <w:pStyle w:val="Default"/>
        <w:keepNext/>
        <w:keepLines/>
        <w:rPr>
          <w:sz w:val="23"/>
          <w:szCs w:val="23"/>
        </w:rPr>
      </w:pPr>
    </w:p>
    <w:p w14:paraId="0AFC95E0" w14:textId="77777777" w:rsidR="00BC0176" w:rsidRDefault="00BC0176" w:rsidP="00BC0176">
      <w:pPr>
        <w:pStyle w:val="Default"/>
        <w:keepNext/>
        <w:keepLines/>
        <w:rPr>
          <w:sz w:val="23"/>
          <w:szCs w:val="23"/>
        </w:rPr>
      </w:pPr>
      <w:bookmarkStart w:id="1" w:name="_Hlk85117074"/>
      <w:r w:rsidRPr="00BC0176">
        <w:rPr>
          <w:sz w:val="23"/>
          <w:szCs w:val="23"/>
        </w:rPr>
        <w:t>By site agreement, messages representing current state of alerts may optionally also be sent at other times, as for example on a periodic timed basis, or when systems are restarted and a list of currently active alerts is sent out by the Alert Reporter to refresh the Alert Manager.</w:t>
      </w:r>
      <w:bookmarkEnd w:id="1"/>
      <w:r w:rsidRPr="00BC0176">
        <w:rPr>
          <w:sz w:val="23"/>
          <w:szCs w:val="23"/>
        </w:rPr>
        <w:t xml:space="preserve"> </w:t>
      </w:r>
    </w:p>
    <w:p w14:paraId="170E78CF" w14:textId="77777777" w:rsidR="00BC0176" w:rsidRDefault="00BC0176" w:rsidP="005E377A">
      <w:pPr>
        <w:pStyle w:val="Default"/>
        <w:rPr>
          <w:sz w:val="23"/>
          <w:szCs w:val="23"/>
        </w:rPr>
      </w:pPr>
    </w:p>
    <w:p w14:paraId="213D6D26" w14:textId="77777777" w:rsidR="00BC0176" w:rsidRDefault="00BC0176" w:rsidP="005E377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With</w:t>
      </w:r>
    </w:p>
    <w:p w14:paraId="4C911D60" w14:textId="77777777" w:rsidR="00BC0176" w:rsidRDefault="00BC0176" w:rsidP="005E377A">
      <w:pPr>
        <w:pStyle w:val="Default"/>
        <w:rPr>
          <w:sz w:val="23"/>
          <w:szCs w:val="23"/>
        </w:rPr>
      </w:pPr>
    </w:p>
    <w:p w14:paraId="7620CC28" w14:textId="77777777" w:rsidR="00BC0176" w:rsidRDefault="00BC0176" w:rsidP="005E377A">
      <w:pPr>
        <w:pStyle w:val="Default"/>
        <w:rPr>
          <w:sz w:val="23"/>
          <w:szCs w:val="23"/>
        </w:rPr>
      </w:pPr>
      <w:r w:rsidRPr="00BC0176">
        <w:rPr>
          <w:sz w:val="23"/>
          <w:szCs w:val="23"/>
        </w:rPr>
        <w:t xml:space="preserve">By site agreement, messages representing current state of alerts may optionally also be sent </w:t>
      </w:r>
      <w:r w:rsidR="00DE4788">
        <w:rPr>
          <w:sz w:val="23"/>
          <w:szCs w:val="23"/>
        </w:rPr>
        <w:t xml:space="preserve">as alerts (Report Alert [PCD-04] transactions) </w:t>
      </w:r>
      <w:r w:rsidRPr="00BC0176">
        <w:rPr>
          <w:sz w:val="23"/>
          <w:szCs w:val="23"/>
        </w:rPr>
        <w:t>at other times, as for example on a periodic timed basis, or when systems are restarted</w:t>
      </w:r>
      <w:r w:rsidR="007779FE">
        <w:rPr>
          <w:sz w:val="23"/>
          <w:szCs w:val="23"/>
        </w:rPr>
        <w:t>,</w:t>
      </w:r>
      <w:r w:rsidRPr="00BC0176">
        <w:rPr>
          <w:sz w:val="23"/>
          <w:szCs w:val="23"/>
        </w:rPr>
        <w:t xml:space="preserve"> </w:t>
      </w:r>
      <w:r w:rsidR="00DE4788">
        <w:rPr>
          <w:sz w:val="23"/>
          <w:szCs w:val="23"/>
        </w:rPr>
        <w:t xml:space="preserve">or after a loss of communication is restored </w:t>
      </w:r>
      <w:r w:rsidRPr="00BC0176">
        <w:rPr>
          <w:sz w:val="23"/>
          <w:szCs w:val="23"/>
        </w:rPr>
        <w:t xml:space="preserve">and a list of currently active alerts is sent out by the Alert Reporter </w:t>
      </w:r>
      <w:r w:rsidR="000B5702">
        <w:rPr>
          <w:sz w:val="23"/>
          <w:szCs w:val="23"/>
        </w:rPr>
        <w:t xml:space="preserve">(AR) actor </w:t>
      </w:r>
      <w:r w:rsidRPr="00BC0176">
        <w:rPr>
          <w:sz w:val="23"/>
          <w:szCs w:val="23"/>
        </w:rPr>
        <w:t>to refresh the Alert Manager</w:t>
      </w:r>
      <w:r w:rsidR="000B5702">
        <w:rPr>
          <w:sz w:val="23"/>
          <w:szCs w:val="23"/>
        </w:rPr>
        <w:t xml:space="preserve"> (AM) actor</w:t>
      </w:r>
      <w:r w:rsidRPr="00BC0176">
        <w:rPr>
          <w:sz w:val="23"/>
          <w:szCs w:val="23"/>
        </w:rPr>
        <w:t>.</w:t>
      </w:r>
      <w:r w:rsidR="00DE4788">
        <w:rPr>
          <w:sz w:val="23"/>
          <w:szCs w:val="23"/>
        </w:rPr>
        <w:t xml:space="preserve">  </w:t>
      </w:r>
    </w:p>
    <w:p w14:paraId="63450407" w14:textId="77777777" w:rsidR="00BC0176" w:rsidRDefault="00BC0176" w:rsidP="005E377A">
      <w:pPr>
        <w:pStyle w:val="Default"/>
        <w:rPr>
          <w:sz w:val="23"/>
          <w:szCs w:val="23"/>
        </w:rPr>
      </w:pPr>
    </w:p>
    <w:p w14:paraId="69B87727" w14:textId="77777777" w:rsidR="00BC0176" w:rsidRDefault="00BC0176" w:rsidP="005E377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Add new paragraph</w:t>
      </w:r>
      <w:r w:rsidR="00DE4788">
        <w:rPr>
          <w:sz w:val="23"/>
          <w:szCs w:val="23"/>
        </w:rPr>
        <w:t>s</w:t>
      </w:r>
      <w:r>
        <w:rPr>
          <w:sz w:val="23"/>
          <w:szCs w:val="23"/>
        </w:rPr>
        <w:t xml:space="preserve"> after existing paragraph</w:t>
      </w:r>
    </w:p>
    <w:p w14:paraId="64C0019C" w14:textId="77777777" w:rsidR="00BC0176" w:rsidRDefault="00BC0176" w:rsidP="005E377A">
      <w:pPr>
        <w:pStyle w:val="Default"/>
        <w:rPr>
          <w:sz w:val="23"/>
          <w:szCs w:val="23"/>
        </w:rPr>
      </w:pPr>
    </w:p>
    <w:p w14:paraId="350AB3D6" w14:textId="77777777" w:rsidR="007779FE" w:rsidRDefault="007779FE" w:rsidP="00DE4788">
      <w:pPr>
        <w:pStyle w:val="HL7FieldIndent2"/>
        <w:ind w:left="0"/>
        <w:rPr>
          <w:sz w:val="23"/>
          <w:szCs w:val="23"/>
        </w:rPr>
      </w:pPr>
      <w:r>
        <w:rPr>
          <w:sz w:val="23"/>
          <w:szCs w:val="23"/>
        </w:rPr>
        <w:t>Additionally b</w:t>
      </w:r>
      <w:r w:rsidRPr="00BC0176">
        <w:rPr>
          <w:sz w:val="23"/>
          <w:szCs w:val="23"/>
        </w:rPr>
        <w:t xml:space="preserve">y site agreement, messages representing </w:t>
      </w:r>
      <w:r>
        <w:rPr>
          <w:sz w:val="23"/>
          <w:szCs w:val="23"/>
        </w:rPr>
        <w:t xml:space="preserve">the last unacknowledged alert status updates </w:t>
      </w:r>
      <w:r w:rsidR="000B5702">
        <w:rPr>
          <w:sz w:val="23"/>
          <w:szCs w:val="23"/>
        </w:rPr>
        <w:t xml:space="preserve">from the Alert Manager (AM) actor to the Alert Reporter (AR) actor </w:t>
      </w:r>
      <w:r w:rsidRPr="00BC0176">
        <w:rPr>
          <w:sz w:val="23"/>
          <w:szCs w:val="23"/>
        </w:rPr>
        <w:t xml:space="preserve">may optionally be sent </w:t>
      </w:r>
      <w:r>
        <w:rPr>
          <w:sz w:val="23"/>
          <w:szCs w:val="23"/>
        </w:rPr>
        <w:t>as report alert status (Report Alert Status [PCD-05]</w:t>
      </w:r>
      <w:r w:rsidR="000B5702">
        <w:rPr>
          <w:sz w:val="23"/>
          <w:szCs w:val="23"/>
        </w:rPr>
        <w:t>)</w:t>
      </w:r>
      <w:r>
        <w:rPr>
          <w:sz w:val="23"/>
          <w:szCs w:val="23"/>
        </w:rPr>
        <w:t xml:space="preserve"> transactions </w:t>
      </w:r>
      <w:r w:rsidRPr="00BC0176">
        <w:rPr>
          <w:sz w:val="23"/>
          <w:szCs w:val="23"/>
        </w:rPr>
        <w:t>at other times, as for example when systems are restarted</w:t>
      </w:r>
      <w:r>
        <w:rPr>
          <w:sz w:val="23"/>
          <w:szCs w:val="23"/>
        </w:rPr>
        <w:t>,</w:t>
      </w:r>
      <w:r w:rsidRPr="00BC0176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or after a loss of communication is restored </w:t>
      </w:r>
      <w:r w:rsidRPr="00BC0176">
        <w:rPr>
          <w:sz w:val="23"/>
          <w:szCs w:val="23"/>
        </w:rPr>
        <w:t xml:space="preserve">and a list of </w:t>
      </w:r>
      <w:r>
        <w:rPr>
          <w:sz w:val="23"/>
          <w:szCs w:val="23"/>
        </w:rPr>
        <w:t xml:space="preserve">unacknowledged report alert status transaction </w:t>
      </w:r>
      <w:r w:rsidRPr="00BC0176">
        <w:rPr>
          <w:sz w:val="23"/>
          <w:szCs w:val="23"/>
        </w:rPr>
        <w:t xml:space="preserve">is sent out by the Alert </w:t>
      </w:r>
      <w:r>
        <w:rPr>
          <w:sz w:val="23"/>
          <w:szCs w:val="23"/>
        </w:rPr>
        <w:t>Manager</w:t>
      </w:r>
      <w:r w:rsidRPr="00BC0176">
        <w:rPr>
          <w:sz w:val="23"/>
          <w:szCs w:val="23"/>
        </w:rPr>
        <w:t xml:space="preserve"> </w:t>
      </w:r>
      <w:r w:rsidR="000B5702">
        <w:rPr>
          <w:sz w:val="23"/>
          <w:szCs w:val="23"/>
        </w:rPr>
        <w:t xml:space="preserve">(AM) actor </w:t>
      </w:r>
      <w:r w:rsidRPr="00BC0176">
        <w:rPr>
          <w:sz w:val="23"/>
          <w:szCs w:val="23"/>
        </w:rPr>
        <w:t xml:space="preserve">to </w:t>
      </w:r>
      <w:r>
        <w:rPr>
          <w:sz w:val="23"/>
          <w:szCs w:val="23"/>
        </w:rPr>
        <w:t>update</w:t>
      </w:r>
      <w:r w:rsidRPr="00BC0176">
        <w:rPr>
          <w:sz w:val="23"/>
          <w:szCs w:val="23"/>
        </w:rPr>
        <w:t xml:space="preserve"> the Alert </w:t>
      </w:r>
      <w:r>
        <w:rPr>
          <w:sz w:val="23"/>
          <w:szCs w:val="23"/>
        </w:rPr>
        <w:t>Reporter</w:t>
      </w:r>
      <w:r w:rsidR="000B5702">
        <w:rPr>
          <w:sz w:val="23"/>
          <w:szCs w:val="23"/>
        </w:rPr>
        <w:t xml:space="preserve"> (AR) actor</w:t>
      </w:r>
      <w:r w:rsidRPr="00BC0176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14:paraId="76A1DD60" w14:textId="77777777" w:rsidR="00BA7654" w:rsidRDefault="00DE4788" w:rsidP="00DE4788">
      <w:pPr>
        <w:pStyle w:val="HL7FieldIndent2"/>
        <w:ind w:left="0"/>
        <w:rPr>
          <w:sz w:val="23"/>
          <w:szCs w:val="23"/>
        </w:rPr>
      </w:pPr>
      <w:r>
        <w:rPr>
          <w:sz w:val="23"/>
          <w:szCs w:val="23"/>
        </w:rPr>
        <w:t>For these synchronization, recovery, or retransmission transactions the message content should be the same as the original transmission</w:t>
      </w:r>
      <w:r w:rsidR="00427A31">
        <w:rPr>
          <w:sz w:val="23"/>
          <w:szCs w:val="23"/>
        </w:rPr>
        <w:t>, including no indications of phase or state change from the original transmission,</w:t>
      </w:r>
      <w:r>
        <w:rPr>
          <w:sz w:val="23"/>
          <w:szCs w:val="23"/>
        </w:rPr>
        <w:t xml:space="preserve"> with the exception that the message transmission timestamp (MSH-7 Date/time of Mess</w:t>
      </w:r>
      <w:r w:rsidR="0003043F">
        <w:rPr>
          <w:sz w:val="23"/>
          <w:szCs w:val="23"/>
        </w:rPr>
        <w:t>a</w:t>
      </w:r>
      <w:r>
        <w:rPr>
          <w:sz w:val="23"/>
          <w:szCs w:val="23"/>
        </w:rPr>
        <w:t>ge), the message control identifier (MSH-10 Message Control ID), and the message sequence number (MSH-13 Sequence Number), sh</w:t>
      </w:r>
      <w:r w:rsidR="00427A31">
        <w:rPr>
          <w:sz w:val="23"/>
          <w:szCs w:val="23"/>
        </w:rPr>
        <w:t>all</w:t>
      </w:r>
      <w:r>
        <w:rPr>
          <w:sz w:val="23"/>
          <w:szCs w:val="23"/>
        </w:rPr>
        <w:t xml:space="preserve"> be instance unique to the retransmission and not the original transmission.  This permits traceability and independent acknowledgement of the retransmission.</w:t>
      </w:r>
    </w:p>
    <w:p w14:paraId="3AB69467" w14:textId="77777777" w:rsidR="00DE4788" w:rsidRPr="008019F2" w:rsidRDefault="00DE4788" w:rsidP="00DE4788">
      <w:pPr>
        <w:pStyle w:val="HL7FieldIndent2"/>
        <w:ind w:left="0"/>
      </w:pPr>
    </w:p>
    <w:sectPr w:rsidR="00DE4788" w:rsidRPr="008019F2">
      <w:headerReference w:type="default" r:id="rId7"/>
      <w:footerReference w:type="default" r:id="rId8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8FA7F" w14:textId="77777777" w:rsidR="00AF6B1A" w:rsidRDefault="00AF6B1A">
      <w:r>
        <w:separator/>
      </w:r>
    </w:p>
  </w:endnote>
  <w:endnote w:type="continuationSeparator" w:id="0">
    <w:p w14:paraId="3630D952" w14:textId="77777777" w:rsidR="00AF6B1A" w:rsidRDefault="00AF6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2D138" w14:textId="77777777" w:rsidR="0006687D" w:rsidRDefault="0006687D" w:rsidP="0006687D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51336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451336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BA2D5" w14:textId="77777777" w:rsidR="00AF6B1A" w:rsidRDefault="00AF6B1A">
      <w:r>
        <w:separator/>
      </w:r>
    </w:p>
  </w:footnote>
  <w:footnote w:type="continuationSeparator" w:id="0">
    <w:p w14:paraId="2DF50BA4" w14:textId="77777777" w:rsidR="00AF6B1A" w:rsidRDefault="00AF6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0BCA8" w14:textId="77777777" w:rsidR="00415035" w:rsidRPr="00B208CF" w:rsidRDefault="00415035">
    <w:pPr>
      <w:pStyle w:val="Header"/>
      <w:rPr>
        <w:rFonts w:ascii="Arial" w:hAnsi="Arial" w:cs="Arial"/>
        <w:i/>
        <w:iCs/>
        <w:sz w:val="18"/>
      </w:rPr>
    </w:pPr>
    <w:r w:rsidRPr="00B208CF">
      <w:rPr>
        <w:rFonts w:ascii="Arial" w:hAnsi="Arial" w:cs="Arial"/>
        <w:i/>
        <w:iCs/>
        <w:sz w:val="18"/>
      </w:rPr>
      <w:fldChar w:fldCharType="begin"/>
    </w:r>
    <w:r w:rsidRPr="00B208CF">
      <w:rPr>
        <w:rFonts w:ascii="Arial" w:hAnsi="Arial" w:cs="Arial"/>
        <w:i/>
        <w:iCs/>
        <w:sz w:val="18"/>
      </w:rPr>
      <w:instrText xml:space="preserve"> FILENAME </w:instrText>
    </w:r>
    <w:r w:rsidRPr="00B208CF">
      <w:rPr>
        <w:rFonts w:ascii="Arial" w:hAnsi="Arial" w:cs="Arial"/>
        <w:i/>
        <w:iCs/>
        <w:sz w:val="18"/>
      </w:rPr>
      <w:fldChar w:fldCharType="separate"/>
    </w:r>
    <w:r w:rsidR="00015225">
      <w:rPr>
        <w:rFonts w:ascii="Arial" w:hAnsi="Arial" w:cs="Arial"/>
        <w:i/>
        <w:iCs/>
        <w:noProof/>
        <w:sz w:val="18"/>
      </w:rPr>
      <w:t>CP-PCD-nnn-MWP_PCDTF_ACM_AM optional PCD-05 retransmission 01.doc</w:t>
    </w:r>
    <w:r w:rsidRPr="00B208CF">
      <w:rPr>
        <w:rFonts w:ascii="Arial" w:hAnsi="Arial" w:cs="Arial"/>
        <w:i/>
        <w:iCs/>
        <w:sz w:val="18"/>
      </w:rPr>
      <w:fldChar w:fldCharType="end"/>
    </w:r>
  </w:p>
  <w:p w14:paraId="66E25DA8" w14:textId="77777777" w:rsidR="00415035" w:rsidRDefault="00887BB5" w:rsidP="00703BCC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ACM A</w:t>
    </w:r>
    <w:r w:rsidR="00015225">
      <w:rPr>
        <w:rFonts w:ascii="Arial" w:hAnsi="Arial" w:cs="Arial"/>
        <w:i/>
        <w:iCs/>
        <w:sz w:val="20"/>
      </w:rPr>
      <w:t>M</w:t>
    </w:r>
    <w:r>
      <w:rPr>
        <w:rFonts w:ascii="Arial" w:hAnsi="Arial" w:cs="Arial"/>
        <w:i/>
        <w:iCs/>
        <w:sz w:val="20"/>
      </w:rPr>
      <w:t xml:space="preserve"> optional PCD-05 </w:t>
    </w:r>
    <w:r w:rsidR="00015225">
      <w:rPr>
        <w:rFonts w:ascii="Arial" w:hAnsi="Arial" w:cs="Arial"/>
        <w:i/>
        <w:iCs/>
        <w:sz w:val="20"/>
      </w:rPr>
      <w:t>retransmission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3176DB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F568E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D502382"/>
    <w:lvl w:ilvl="0">
      <w:start w:val="1"/>
      <w:numFmt w:val="decimal"/>
      <w:pStyle w:val="ListNumber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3" w15:restartNumberingAfterBreak="0">
    <w:nsid w:val="FFFFFF89"/>
    <w:multiLevelType w:val="singleLevel"/>
    <w:tmpl w:val="49EC66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30A1F67"/>
    <w:multiLevelType w:val="multilevel"/>
    <w:tmpl w:val="23DAB5A8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3821335"/>
    <w:multiLevelType w:val="multilevel"/>
    <w:tmpl w:val="CAC0C834"/>
    <w:lvl w:ilvl="0">
      <w:start w:val="1"/>
      <w:numFmt w:val="upperLetter"/>
      <w:pStyle w:val="AppendixHeading3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B9D6087"/>
    <w:multiLevelType w:val="multilevel"/>
    <w:tmpl w:val="DC1C9DE2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32665ED"/>
    <w:multiLevelType w:val="multilevel"/>
    <w:tmpl w:val="079C2AD6"/>
    <w:lvl w:ilvl="0">
      <w:start w:val="1"/>
      <w:numFmt w:val="upperLetter"/>
      <w:pStyle w:val="AppendixHeading3"/>
      <w:suff w:val="nothing"/>
      <w:lvlText w:val="Appendix %1:  "/>
      <w:lvlJc w:val="left"/>
      <w:pPr>
        <w:ind w:left="432" w:hanging="432"/>
      </w:pPr>
    </w:lvl>
    <w:lvl w:ilvl="1">
      <w:start w:val="1"/>
      <w:numFmt w:val="decimal"/>
      <w:suff w:val="nothing"/>
      <w:lvlText w:val="%1.%2:  "/>
      <w:lvlJc w:val="left"/>
      <w:pPr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9995F40"/>
    <w:multiLevelType w:val="hybridMultilevel"/>
    <w:tmpl w:val="B5F04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828D3"/>
    <w:multiLevelType w:val="multilevel"/>
    <w:tmpl w:val="F1446090"/>
    <w:lvl w:ilvl="0">
      <w:start w:val="1"/>
      <w:numFmt w:val="upperLetter"/>
      <w:pStyle w:val="AppendixHeading1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pStyle w:val="AppendixHeading2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pStyle w:val="AppendixHeading3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9E61463"/>
    <w:multiLevelType w:val="multilevel"/>
    <w:tmpl w:val="3FE226EE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06556C3"/>
    <w:multiLevelType w:val="multilevel"/>
    <w:tmpl w:val="CD60718C"/>
    <w:lvl w:ilvl="0">
      <w:start w:val="1"/>
      <w:numFmt w:val="upperLetter"/>
      <w:pStyle w:val="AppendixHeading2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2150EC1"/>
    <w:multiLevelType w:val="multilevel"/>
    <w:tmpl w:val="BDB68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Appendix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5C7297E"/>
    <w:multiLevelType w:val="multilevel"/>
    <w:tmpl w:val="F544E75A"/>
    <w:lvl w:ilvl="0">
      <w:start w:val="1"/>
      <w:numFmt w:val="upperLetter"/>
      <w:pStyle w:val="AppendixHeading2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9CB397A"/>
    <w:multiLevelType w:val="multilevel"/>
    <w:tmpl w:val="9C54C07A"/>
    <w:lvl w:ilvl="0">
      <w:start w:val="1"/>
      <w:numFmt w:val="upperLetter"/>
      <w:pStyle w:val="AppendixHeading2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304962247">
    <w:abstractNumId w:val="2"/>
  </w:num>
  <w:num w:numId="2" w16cid:durableId="475294124">
    <w:abstractNumId w:val="12"/>
  </w:num>
  <w:num w:numId="3" w16cid:durableId="764426294">
    <w:abstractNumId w:val="3"/>
  </w:num>
  <w:num w:numId="4" w16cid:durableId="768358560">
    <w:abstractNumId w:val="1"/>
  </w:num>
  <w:num w:numId="5" w16cid:durableId="386607438">
    <w:abstractNumId w:val="0"/>
  </w:num>
  <w:num w:numId="6" w16cid:durableId="1566987711">
    <w:abstractNumId w:val="5"/>
  </w:num>
  <w:num w:numId="7" w16cid:durableId="1274559172">
    <w:abstractNumId w:val="10"/>
  </w:num>
  <w:num w:numId="8" w16cid:durableId="1019353516">
    <w:abstractNumId w:val="4"/>
  </w:num>
  <w:num w:numId="9" w16cid:durableId="554053025">
    <w:abstractNumId w:val="7"/>
  </w:num>
  <w:num w:numId="10" w16cid:durableId="1119566324">
    <w:abstractNumId w:val="14"/>
  </w:num>
  <w:num w:numId="11" w16cid:durableId="407772437">
    <w:abstractNumId w:val="2"/>
    <w:lvlOverride w:ilvl="0">
      <w:startOverride w:val="1"/>
    </w:lvlOverride>
  </w:num>
  <w:num w:numId="12" w16cid:durableId="1452631098">
    <w:abstractNumId w:val="2"/>
    <w:lvlOverride w:ilvl="0">
      <w:startOverride w:val="1"/>
    </w:lvlOverride>
  </w:num>
  <w:num w:numId="13" w16cid:durableId="1052851569">
    <w:abstractNumId w:val="2"/>
    <w:lvlOverride w:ilvl="0">
      <w:startOverride w:val="1"/>
    </w:lvlOverride>
  </w:num>
  <w:num w:numId="14" w16cid:durableId="1218079958">
    <w:abstractNumId w:val="13"/>
  </w:num>
  <w:num w:numId="15" w16cid:durableId="175074110">
    <w:abstractNumId w:val="6"/>
  </w:num>
  <w:num w:numId="16" w16cid:durableId="85612213">
    <w:abstractNumId w:val="11"/>
  </w:num>
  <w:num w:numId="17" w16cid:durableId="707753979">
    <w:abstractNumId w:val="9"/>
  </w:num>
  <w:num w:numId="18" w16cid:durableId="8911596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7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27"/>
    <w:rsid w:val="00015225"/>
    <w:rsid w:val="0003043F"/>
    <w:rsid w:val="00042635"/>
    <w:rsid w:val="00052210"/>
    <w:rsid w:val="00053BF3"/>
    <w:rsid w:val="0006545F"/>
    <w:rsid w:val="0006687D"/>
    <w:rsid w:val="00076925"/>
    <w:rsid w:val="000A16A5"/>
    <w:rsid w:val="000B5702"/>
    <w:rsid w:val="000D1827"/>
    <w:rsid w:val="000E05B1"/>
    <w:rsid w:val="000F4969"/>
    <w:rsid w:val="0010601B"/>
    <w:rsid w:val="00142465"/>
    <w:rsid w:val="00154A1E"/>
    <w:rsid w:val="00161F1F"/>
    <w:rsid w:val="0018592D"/>
    <w:rsid w:val="001A0923"/>
    <w:rsid w:val="001D33EA"/>
    <w:rsid w:val="001E41A6"/>
    <w:rsid w:val="00200314"/>
    <w:rsid w:val="0025586C"/>
    <w:rsid w:val="00277FC7"/>
    <w:rsid w:val="00293018"/>
    <w:rsid w:val="002A5837"/>
    <w:rsid w:val="002D46B1"/>
    <w:rsid w:val="00346B8F"/>
    <w:rsid w:val="00350DD0"/>
    <w:rsid w:val="00352155"/>
    <w:rsid w:val="00353825"/>
    <w:rsid w:val="003A2DD5"/>
    <w:rsid w:val="003B3883"/>
    <w:rsid w:val="003D4635"/>
    <w:rsid w:val="003E61D5"/>
    <w:rsid w:val="0041108F"/>
    <w:rsid w:val="00415035"/>
    <w:rsid w:val="00427A31"/>
    <w:rsid w:val="004319CA"/>
    <w:rsid w:val="00437641"/>
    <w:rsid w:val="00451336"/>
    <w:rsid w:val="00496B9D"/>
    <w:rsid w:val="004A3986"/>
    <w:rsid w:val="004A7CDC"/>
    <w:rsid w:val="004B55FE"/>
    <w:rsid w:val="004D440C"/>
    <w:rsid w:val="005351E2"/>
    <w:rsid w:val="00555123"/>
    <w:rsid w:val="00573622"/>
    <w:rsid w:val="00576C3C"/>
    <w:rsid w:val="00592911"/>
    <w:rsid w:val="005D6B46"/>
    <w:rsid w:val="005E377A"/>
    <w:rsid w:val="00616019"/>
    <w:rsid w:val="0065580F"/>
    <w:rsid w:val="00675CAB"/>
    <w:rsid w:val="006A6960"/>
    <w:rsid w:val="006E0130"/>
    <w:rsid w:val="00703BCC"/>
    <w:rsid w:val="00705699"/>
    <w:rsid w:val="00705CED"/>
    <w:rsid w:val="00707427"/>
    <w:rsid w:val="00735BF8"/>
    <w:rsid w:val="00766FFD"/>
    <w:rsid w:val="00776B11"/>
    <w:rsid w:val="007779FE"/>
    <w:rsid w:val="007A724B"/>
    <w:rsid w:val="007F5E56"/>
    <w:rsid w:val="008019F2"/>
    <w:rsid w:val="00801FCA"/>
    <w:rsid w:val="008140AF"/>
    <w:rsid w:val="00843635"/>
    <w:rsid w:val="00882FD1"/>
    <w:rsid w:val="00887BB5"/>
    <w:rsid w:val="008A5A3E"/>
    <w:rsid w:val="008C6235"/>
    <w:rsid w:val="008F1355"/>
    <w:rsid w:val="00905A8C"/>
    <w:rsid w:val="00932E1F"/>
    <w:rsid w:val="0096532F"/>
    <w:rsid w:val="00972805"/>
    <w:rsid w:val="0097476E"/>
    <w:rsid w:val="009A2588"/>
    <w:rsid w:val="009E11FD"/>
    <w:rsid w:val="009E3C1B"/>
    <w:rsid w:val="009E74D8"/>
    <w:rsid w:val="00A43CFF"/>
    <w:rsid w:val="00AC0744"/>
    <w:rsid w:val="00AD3D5D"/>
    <w:rsid w:val="00AF6B1A"/>
    <w:rsid w:val="00B044C0"/>
    <w:rsid w:val="00B14786"/>
    <w:rsid w:val="00B1735A"/>
    <w:rsid w:val="00B208CF"/>
    <w:rsid w:val="00B2241B"/>
    <w:rsid w:val="00B815D8"/>
    <w:rsid w:val="00B979BC"/>
    <w:rsid w:val="00BA2D58"/>
    <w:rsid w:val="00BA3CBE"/>
    <w:rsid w:val="00BA7654"/>
    <w:rsid w:val="00BC0176"/>
    <w:rsid w:val="00BC3540"/>
    <w:rsid w:val="00C02AAD"/>
    <w:rsid w:val="00C36FB6"/>
    <w:rsid w:val="00C52080"/>
    <w:rsid w:val="00C55889"/>
    <w:rsid w:val="00C638AB"/>
    <w:rsid w:val="00C76BFC"/>
    <w:rsid w:val="00CC00D3"/>
    <w:rsid w:val="00D019F5"/>
    <w:rsid w:val="00D10B53"/>
    <w:rsid w:val="00D23AA5"/>
    <w:rsid w:val="00D4044C"/>
    <w:rsid w:val="00D57CA2"/>
    <w:rsid w:val="00D732B7"/>
    <w:rsid w:val="00D83EF3"/>
    <w:rsid w:val="00D868B8"/>
    <w:rsid w:val="00D97F9B"/>
    <w:rsid w:val="00DA22A5"/>
    <w:rsid w:val="00DA4A9D"/>
    <w:rsid w:val="00DE4788"/>
    <w:rsid w:val="00DE7025"/>
    <w:rsid w:val="00DE7E64"/>
    <w:rsid w:val="00E402A7"/>
    <w:rsid w:val="00E654CF"/>
    <w:rsid w:val="00E70B3E"/>
    <w:rsid w:val="00E83C61"/>
    <w:rsid w:val="00EA40A0"/>
    <w:rsid w:val="00ED1B4C"/>
    <w:rsid w:val="00EE3EC0"/>
    <w:rsid w:val="00F21552"/>
    <w:rsid w:val="00F22A06"/>
    <w:rsid w:val="00F25F75"/>
    <w:rsid w:val="00F4071A"/>
    <w:rsid w:val="00F44252"/>
    <w:rsid w:val="00F5766C"/>
    <w:rsid w:val="00F67923"/>
    <w:rsid w:val="00FA5AC8"/>
    <w:rsid w:val="00FF0C6E"/>
    <w:rsid w:val="00FF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96644"/>
  <w15:chartTrackingRefBased/>
  <w15:docId w15:val="{2339F62A-A03C-0E4F-9AD2-3A8FB818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sz w:val="24"/>
      <w:lang w:bidi="ar-SA"/>
    </w:rPr>
  </w:style>
  <w:style w:type="paragraph" w:styleId="Heading1">
    <w:name w:val="heading 1"/>
    <w:next w:val="BodyText"/>
    <w:qFormat/>
    <w:pPr>
      <w:keepNext/>
      <w:numPr>
        <w:numId w:val="2"/>
      </w:numPr>
      <w:tabs>
        <w:tab w:val="clear" w:pos="432"/>
        <w:tab w:val="num" w:pos="360"/>
      </w:tabs>
      <w:spacing w:before="240" w:after="60"/>
      <w:ind w:left="360" w:hanging="720"/>
      <w:outlineLvl w:val="0"/>
    </w:pPr>
    <w:rPr>
      <w:rFonts w:ascii="Arial" w:hAnsi="Arial"/>
      <w:b/>
      <w:noProof/>
      <w:kern w:val="28"/>
      <w:sz w:val="28"/>
      <w:lang w:bidi="ar-SA"/>
    </w:rPr>
  </w:style>
  <w:style w:type="paragraph" w:styleId="Heading2">
    <w:name w:val="heading 2"/>
    <w:basedOn w:val="Heading1"/>
    <w:next w:val="BodyText"/>
    <w:qFormat/>
    <w:pPr>
      <w:numPr>
        <w:ilvl w:val="1"/>
      </w:numPr>
      <w:tabs>
        <w:tab w:val="clear" w:pos="576"/>
        <w:tab w:val="num" w:pos="540"/>
      </w:tabs>
      <w:ind w:left="547" w:hanging="907"/>
      <w:outlineLvl w:val="1"/>
    </w:pPr>
  </w:style>
  <w:style w:type="paragraph" w:styleId="Heading3">
    <w:name w:val="heading 3"/>
    <w:basedOn w:val="Heading2"/>
    <w:next w:val="BodyText"/>
    <w:qFormat/>
    <w:pPr>
      <w:numPr>
        <w:ilvl w:val="2"/>
      </w:numPr>
      <w:ind w:hanging="1080"/>
      <w:outlineLvl w:val="2"/>
    </w:pPr>
    <w:rPr>
      <w:sz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tabs>
        <w:tab w:val="clear" w:pos="864"/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tabs>
        <w:tab w:val="clear" w:pos="900"/>
        <w:tab w:val="clear" w:pos="1008"/>
        <w:tab w:val="num" w:pos="1080"/>
      </w:tabs>
      <w:ind w:left="1080" w:hanging="1440"/>
      <w:outlineLvl w:val="4"/>
    </w:pPr>
  </w:style>
  <w:style w:type="paragraph" w:styleId="Heading6">
    <w:name w:val="heading 6"/>
    <w:basedOn w:val="Heading5"/>
    <w:next w:val="BodyText"/>
    <w:qFormat/>
    <w:pPr>
      <w:numPr>
        <w:ilvl w:val="5"/>
      </w:numPr>
      <w:tabs>
        <w:tab w:val="clear" w:pos="1152"/>
        <w:tab w:val="num" w:pos="1260"/>
      </w:tabs>
      <w:ind w:left="1260" w:hanging="1620"/>
      <w:outlineLvl w:val="5"/>
    </w:pPr>
  </w:style>
  <w:style w:type="paragraph" w:styleId="Heading7">
    <w:name w:val="heading 7"/>
    <w:basedOn w:val="Heading6"/>
    <w:next w:val="BodyText"/>
    <w:qFormat/>
    <w:pPr>
      <w:numPr>
        <w:ilvl w:val="6"/>
      </w:numPr>
      <w:tabs>
        <w:tab w:val="clear" w:pos="1296"/>
        <w:tab w:val="num" w:pos="1440"/>
      </w:tabs>
      <w:ind w:left="1440" w:hanging="1800"/>
      <w:outlineLvl w:val="6"/>
    </w:p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clear" w:pos="1440"/>
        <w:tab w:val="num" w:pos="1620"/>
      </w:tabs>
      <w:ind w:left="1620" w:hanging="1980"/>
      <w:outlineLvl w:val="7"/>
    </w:pPr>
  </w:style>
  <w:style w:type="paragraph" w:styleId="Heading9">
    <w:name w:val="heading 9"/>
    <w:basedOn w:val="Heading8"/>
    <w:next w:val="BodyText"/>
    <w:qFormat/>
    <w:pPr>
      <w:numPr>
        <w:ilvl w:val="8"/>
      </w:numPr>
      <w:tabs>
        <w:tab w:val="clear" w:pos="1584"/>
        <w:tab w:val="num" w:pos="1800"/>
      </w:tabs>
      <w:ind w:left="1800" w:hanging="2160"/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44"/>
    </w:rPr>
  </w:style>
  <w:style w:type="paragraph" w:styleId="BodyText">
    <w:name w:val="Body Text"/>
    <w:pPr>
      <w:spacing w:before="120"/>
    </w:pPr>
    <w:rPr>
      <w:noProof/>
      <w:sz w:val="24"/>
      <w:lang w:bidi="ar-SA"/>
    </w:rPr>
  </w:style>
  <w:style w:type="paragraph" w:styleId="BodyTextIndent">
    <w:name w:val="Body Text Indent"/>
    <w:basedOn w:val="BodyText"/>
    <w:pPr>
      <w:ind w:left="360"/>
    </w:pPr>
  </w:style>
  <w:style w:type="paragraph" w:styleId="ListNumber">
    <w:name w:val="List Number"/>
    <w:basedOn w:val="BodyText"/>
    <w:pPr>
      <w:numPr>
        <w:numId w:val="1"/>
      </w:numPr>
    </w:pPr>
  </w:style>
  <w:style w:type="paragraph" w:styleId="List">
    <w:name w:val="List"/>
    <w:basedOn w:val="BodyText"/>
    <w:pPr>
      <w:spacing w:before="60"/>
      <w:ind w:left="1080" w:hanging="720"/>
    </w:pPr>
  </w:style>
  <w:style w:type="paragraph" w:styleId="ListBullet">
    <w:name w:val="List Bullet"/>
    <w:basedOn w:val="BodyText"/>
    <w:pPr>
      <w:numPr>
        <w:numId w:val="3"/>
      </w:numPr>
      <w:tabs>
        <w:tab w:val="clear" w:pos="360"/>
        <w:tab w:val="num" w:pos="720"/>
      </w:tabs>
      <w:spacing w:before="60"/>
      <w:ind w:left="720"/>
    </w:pPr>
  </w:style>
  <w:style w:type="paragraph" w:styleId="ListBullet2">
    <w:name w:val="List Bullet 2"/>
    <w:basedOn w:val="ListBullet"/>
    <w:pPr>
      <w:numPr>
        <w:numId w:val="4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ListBullet"/>
    <w:pPr>
      <w:numPr>
        <w:numId w:val="5"/>
      </w:numPr>
      <w:tabs>
        <w:tab w:val="clear" w:pos="1080"/>
        <w:tab w:val="num" w:pos="1440"/>
      </w:tabs>
      <w:ind w:left="1440"/>
    </w:pPr>
  </w:style>
  <w:style w:type="paragraph" w:styleId="List2">
    <w:name w:val="List 2"/>
    <w:basedOn w:val="List"/>
    <w:pPr>
      <w:ind w:left="1440"/>
    </w:pPr>
  </w:style>
  <w:style w:type="paragraph" w:styleId="TOC1">
    <w:name w:val="toc 1"/>
    <w:next w:val="Normal"/>
    <w:semiHidden/>
    <w:rPr>
      <w:noProof/>
      <w:sz w:val="24"/>
      <w:lang w:bidi="ar-SA"/>
    </w:rPr>
  </w:style>
  <w:style w:type="paragraph" w:styleId="TOC2">
    <w:name w:val="toc 2"/>
    <w:basedOn w:val="TOC1"/>
    <w:next w:val="Normal"/>
    <w:semiHidden/>
    <w:pPr>
      <w:ind w:left="240"/>
    </w:pPr>
  </w:style>
  <w:style w:type="paragraph" w:styleId="TOC3">
    <w:name w:val="toc 3"/>
    <w:basedOn w:val="TOC2"/>
    <w:next w:val="Normal"/>
    <w:semiHidden/>
    <w:pPr>
      <w:ind w:left="480"/>
    </w:pPr>
  </w:style>
  <w:style w:type="paragraph" w:styleId="TOC4">
    <w:name w:val="toc 4"/>
    <w:basedOn w:val="TOC3"/>
    <w:next w:val="Normal"/>
    <w:semiHidden/>
    <w:pPr>
      <w:ind w:left="720"/>
    </w:pPr>
  </w:style>
  <w:style w:type="paragraph" w:styleId="TOC5">
    <w:name w:val="toc 5"/>
    <w:basedOn w:val="TOC4"/>
    <w:next w:val="Normal"/>
    <w:semiHidden/>
    <w:pPr>
      <w:ind w:left="960"/>
    </w:pPr>
  </w:style>
  <w:style w:type="paragraph" w:styleId="TOC6">
    <w:name w:val="toc 6"/>
    <w:basedOn w:val="TOC5"/>
    <w:next w:val="Normal"/>
    <w:semiHidden/>
    <w:pPr>
      <w:ind w:left="1200"/>
    </w:pPr>
  </w:style>
  <w:style w:type="paragraph" w:styleId="TOC7">
    <w:name w:val="toc 7"/>
    <w:basedOn w:val="TOC6"/>
    <w:next w:val="Normal"/>
    <w:semiHidden/>
    <w:pPr>
      <w:ind w:left="1440"/>
    </w:pPr>
  </w:style>
  <w:style w:type="paragraph" w:styleId="TOC8">
    <w:name w:val="toc 8"/>
    <w:basedOn w:val="TOC7"/>
    <w:next w:val="Normal"/>
    <w:semiHidden/>
    <w:pPr>
      <w:ind w:left="1680"/>
    </w:pPr>
  </w:style>
  <w:style w:type="paragraph" w:styleId="TOC9">
    <w:name w:val="toc 9"/>
    <w:basedOn w:val="TOC8"/>
    <w:next w:val="Normal"/>
    <w:semiHidden/>
    <w:pPr>
      <w:ind w:left="1920"/>
    </w:pPr>
  </w:style>
  <w:style w:type="paragraph" w:customStyle="1" w:styleId="TableEntry">
    <w:name w:val="Table Entry"/>
    <w:basedOn w:val="BodyText"/>
    <w:link w:val="TableEntryChar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link w:val="TableEntryHeaderChar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BodyText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BodyText"/>
    <w:next w:val="BodyText"/>
    <w:qFormat/>
    <w:rPr>
      <w:rFonts w:ascii="Arial" w:hAnsi="Arial"/>
      <w:b/>
    </w:rPr>
  </w:style>
  <w:style w:type="paragraph" w:styleId="List3">
    <w:name w:val="List 3"/>
    <w:basedOn w:val="Normal"/>
    <w:pPr>
      <w:ind w:left="1800" w:hanging="720"/>
    </w:pPr>
  </w:style>
  <w:style w:type="paragraph" w:styleId="ListContinue">
    <w:name w:val="List Continue"/>
    <w:basedOn w:val="List"/>
    <w:pPr>
      <w:spacing w:after="120"/>
      <w:ind w:firstLine="0"/>
    </w:pPr>
  </w:style>
  <w:style w:type="paragraph" w:styleId="ListContinue2">
    <w:name w:val="List Continue 2"/>
    <w:basedOn w:val="List2"/>
    <w:pPr>
      <w:ind w:firstLine="0"/>
    </w:pPr>
  </w:style>
  <w:style w:type="paragraph" w:customStyle="1" w:styleId="ParagraphHeading">
    <w:name w:val="Paragraph Heading"/>
    <w:basedOn w:val="Caption"/>
    <w:next w:val="BodyText"/>
    <w:pPr>
      <w:spacing w:before="180"/>
    </w:pPr>
  </w:style>
  <w:style w:type="paragraph" w:customStyle="1" w:styleId="ListNumberContinue">
    <w:name w:val="List Number Continue"/>
    <w:basedOn w:val="ListNumber"/>
    <w:pPr>
      <w:numPr>
        <w:numId w:val="0"/>
      </w:numPr>
      <w:spacing w:before="60"/>
      <w:ind w:left="900"/>
    </w:pPr>
  </w:style>
  <w:style w:type="paragraph" w:customStyle="1" w:styleId="ListBulletContinue">
    <w:name w:val="List Bullet Continue"/>
    <w:basedOn w:val="ListBullet"/>
    <w:pPr>
      <w:numPr>
        <w:numId w:val="0"/>
      </w:numPr>
      <w:ind w:left="720"/>
    </w:pPr>
  </w:style>
  <w:style w:type="paragraph" w:customStyle="1" w:styleId="ListBullet2Continue">
    <w:name w:val="List Bullet 2 Continue"/>
    <w:basedOn w:val="ListBullet2"/>
    <w:pPr>
      <w:numPr>
        <w:numId w:val="0"/>
      </w:numPr>
      <w:ind w:left="1080"/>
    </w:pPr>
  </w:style>
  <w:style w:type="paragraph" w:customStyle="1" w:styleId="ListBullet3Continue">
    <w:name w:val="List Bullet 3 Continue"/>
    <w:basedOn w:val="ListBullet3"/>
    <w:pPr>
      <w:numPr>
        <w:numId w:val="0"/>
      </w:numPr>
      <w:ind w:left="1440"/>
    </w:pPr>
  </w:style>
  <w:style w:type="paragraph" w:customStyle="1" w:styleId="List3Continue">
    <w:name w:val="List 3 Continue"/>
    <w:basedOn w:val="List3"/>
    <w:pPr>
      <w:ind w:firstLine="0"/>
    </w:pPr>
  </w:style>
  <w:style w:type="paragraph" w:customStyle="1" w:styleId="AppendixHeading2">
    <w:name w:val="Appendix Heading 2"/>
    <w:next w:val="BodyText"/>
    <w:pPr>
      <w:numPr>
        <w:ilvl w:val="1"/>
        <w:numId w:val="17"/>
      </w:numPr>
      <w:spacing w:before="240" w:after="60"/>
    </w:pPr>
    <w:rPr>
      <w:rFonts w:ascii="Arial" w:hAnsi="Arial"/>
      <w:b/>
      <w:noProof/>
      <w:sz w:val="28"/>
      <w:lang w:bidi="ar-SA"/>
    </w:rPr>
  </w:style>
  <w:style w:type="paragraph" w:customStyle="1" w:styleId="AppendixHeading1">
    <w:name w:val="Appendix Heading 1"/>
    <w:next w:val="BodyText"/>
    <w:pPr>
      <w:numPr>
        <w:numId w:val="17"/>
      </w:numPr>
      <w:spacing w:before="240" w:after="60"/>
    </w:pPr>
    <w:rPr>
      <w:rFonts w:ascii="Arial" w:hAnsi="Arial"/>
      <w:b/>
      <w:noProof/>
      <w:sz w:val="28"/>
      <w:lang w:bidi="ar-SA"/>
    </w:rPr>
  </w:style>
  <w:style w:type="paragraph" w:customStyle="1" w:styleId="AppendixHeading3">
    <w:name w:val="Appendix Heading 3"/>
    <w:basedOn w:val="AppendixHeading2"/>
    <w:next w:val="BodyText"/>
    <w:pPr>
      <w:numPr>
        <w:ilvl w:val="2"/>
      </w:numPr>
    </w:pPr>
    <w:rPr>
      <w:sz w:val="24"/>
    </w:rPr>
  </w:style>
  <w:style w:type="paragraph" w:customStyle="1" w:styleId="EditorInstructions">
    <w:name w:val="Editor Instructions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Note">
    <w:name w:val="Note"/>
    <w:basedOn w:val="FootnoteText"/>
    <w:rsid w:val="00707427"/>
    <w:pPr>
      <w:ind w:left="1152" w:hanging="720"/>
    </w:pPr>
    <w:rPr>
      <w:sz w:val="18"/>
    </w:rPr>
  </w:style>
  <w:style w:type="paragraph" w:styleId="FootnoteText">
    <w:name w:val="footnote text"/>
    <w:basedOn w:val="Normal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76B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54A1E"/>
    <w:pPr>
      <w:autoSpaceDE w:val="0"/>
      <w:autoSpaceDN w:val="0"/>
      <w:adjustRightInd w:val="0"/>
    </w:pPr>
    <w:rPr>
      <w:color w:val="000000"/>
      <w:sz w:val="24"/>
      <w:szCs w:val="24"/>
      <w:lang w:bidi="ar-SA"/>
    </w:rPr>
  </w:style>
  <w:style w:type="paragraph" w:customStyle="1" w:styleId="HL7FieldIndent2">
    <w:name w:val="HL7 Field Indent 2"/>
    <w:basedOn w:val="BodyTextIndent"/>
    <w:link w:val="HL7FieldIndent2Char"/>
    <w:qFormat/>
    <w:rsid w:val="00BA7654"/>
    <w:pPr>
      <w:spacing w:line="240" w:lineRule="atLeast"/>
      <w:ind w:left="720"/>
    </w:pPr>
  </w:style>
  <w:style w:type="character" w:customStyle="1" w:styleId="HL7FieldIndent2Char">
    <w:name w:val="HL7 Field Indent 2 Char"/>
    <w:link w:val="HL7FieldIndent2"/>
    <w:locked/>
    <w:rsid w:val="00BA7654"/>
    <w:rPr>
      <w:noProof/>
      <w:sz w:val="24"/>
    </w:rPr>
  </w:style>
  <w:style w:type="paragraph" w:customStyle="1" w:styleId="HL7Field">
    <w:name w:val="HL7 Field"/>
    <w:basedOn w:val="Normal"/>
    <w:qFormat/>
    <w:rsid w:val="00BA7654"/>
    <w:pPr>
      <w:keepNext/>
      <w:spacing w:after="60" w:line="260" w:lineRule="atLeast"/>
    </w:pPr>
    <w:rPr>
      <w:b/>
      <w:bCs/>
    </w:rPr>
  </w:style>
  <w:style w:type="character" w:customStyle="1" w:styleId="TableEntryChar">
    <w:name w:val="Table Entry Char"/>
    <w:link w:val="TableEntry"/>
    <w:rsid w:val="00BA7654"/>
    <w:rPr>
      <w:noProof/>
      <w:sz w:val="18"/>
    </w:rPr>
  </w:style>
  <w:style w:type="character" w:customStyle="1" w:styleId="TableEntryHeaderChar">
    <w:name w:val="Table Entry Header Char"/>
    <w:link w:val="TableEntryHeader"/>
    <w:rsid w:val="00BA7654"/>
    <w:rPr>
      <w:rFonts w:ascii="Arial" w:hAnsi="Arial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Stuff\IHE\Technical%20Framework\IHE%20TF%20C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C:\My Stuff\IHE\Technical Framework\IHE TF CP.dot</Template>
  <TotalTime>1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&lt;Change Proposal Title&gt;</vt:lpstr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subject/>
  <dc:creator>NO ONE ASSIGNED</dc:creator>
  <cp:keywords/>
  <cp:lastModifiedBy>John Rhoads</cp:lastModifiedBy>
  <cp:revision>2</cp:revision>
  <cp:lastPrinted>1601-01-01T00:00:00Z</cp:lastPrinted>
  <dcterms:created xsi:type="dcterms:W3CDTF">2022-04-02T15:33:00Z</dcterms:created>
  <dcterms:modified xsi:type="dcterms:W3CDTF">2022-04-02T15:33:00Z</dcterms:modified>
</cp:coreProperties>
</file>