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24F0C706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7A3B35">
        <w:rPr>
          <w:sz w:val="24"/>
          <w:lang w:val="en-US"/>
        </w:rPr>
        <w:t xml:space="preserve">Part 9 </w:t>
      </w:r>
      <w:r w:rsidR="00151BC2">
        <w:rPr>
          <w:sz w:val="24"/>
          <w:lang w:val="en-US"/>
        </w:rPr>
        <w:t>input XML</w:t>
      </w:r>
      <w:r w:rsidR="007A3B35">
        <w:rPr>
          <w:sz w:val="24"/>
          <w:lang w:val="en-US"/>
        </w:rPr>
        <w:t xml:space="preserve"> hints</w:t>
      </w:r>
      <w:r w:rsidR="00CD7E32">
        <w:rPr>
          <w:sz w:val="24"/>
          <w:lang w:val="en-US"/>
        </w:rPr>
        <w:t xml:space="preserve"> (draft)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02-2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46B369ED" w:rsidR="008B6083" w:rsidRPr="001616EB" w:rsidRDefault="00162570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2/22/2021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059233BC" w:rsidR="008B6083" w:rsidRPr="001616EB" w:rsidRDefault="00151BC2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</w:t>
            </w:r>
            <w:r w:rsidR="002253B4">
              <w:rPr>
                <w:sz w:val="20"/>
                <w:szCs w:val="20"/>
                <w:lang w:val="en-US"/>
              </w:rPr>
              <w:t>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48F6CB70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2BB0D24F" w:rsidR="00CA221F" w:rsidRPr="00CA221F" w:rsidRDefault="00640ADD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244C8E5F">
                <wp:simplePos x="0" y="0"/>
                <wp:positionH relativeFrom="margin">
                  <wp:posOffset>-68580</wp:posOffset>
                </wp:positionH>
                <wp:positionV relativeFrom="paragraph">
                  <wp:posOffset>275590</wp:posOffset>
                </wp:positionV>
                <wp:extent cx="5681345" cy="868045"/>
                <wp:effectExtent l="7620" t="8890" r="6985" b="889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22F18F0C" w:rsidR="008B6083" w:rsidRPr="001616EB" w:rsidRDefault="00151B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Draft 5.0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51894C2" w14:textId="28210E74" w:rsidR="008B6083" w:rsidRPr="001616EB" w:rsidRDefault="00151B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D65FB55" w14:textId="77777777" w:rsidR="00C40408" w:rsidRDefault="000B748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9-7</w:t>
                                  </w:r>
                                </w:p>
                                <w:p w14:paraId="3B0FA560" w14:textId="3EBA9AF8" w:rsidR="000B7486" w:rsidRPr="001616EB" w:rsidRDefault="000B748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Appendix 9-A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24837FA" w14:textId="17885F02" w:rsidR="008B6083" w:rsidRPr="001616EB" w:rsidRDefault="00151B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See attached redlines</w:t>
                                  </w:r>
                                  <w:r w:rsidR="000B7486">
                                    <w:t xml:space="preserve"> (TODO)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4pt;margin-top:21.7pt;width:447.35pt;height:68.3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22F18F0C" w:rsidR="008B6083" w:rsidRPr="001616EB" w:rsidRDefault="00151BC2">
                            <w:pPr>
                              <w:pStyle w:val="Tabletext"/>
                              <w:snapToGrid w:val="0"/>
                            </w:pPr>
                            <w:r>
                              <w:t>Draft 5.0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51894C2" w14:textId="28210E74" w:rsidR="008B6083" w:rsidRPr="001616EB" w:rsidRDefault="00151BC2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D65FB55" w14:textId="77777777" w:rsidR="00C40408" w:rsidRDefault="000B7486">
                            <w:pPr>
                              <w:pStyle w:val="Tabletext"/>
                              <w:snapToGrid w:val="0"/>
                            </w:pPr>
                            <w:r>
                              <w:t>9-7</w:t>
                            </w:r>
                          </w:p>
                          <w:p w14:paraId="3B0FA560" w14:textId="3EBA9AF8" w:rsidR="000B7486" w:rsidRPr="001616EB" w:rsidRDefault="000B7486">
                            <w:pPr>
                              <w:pStyle w:val="Tabletext"/>
                              <w:snapToGrid w:val="0"/>
                            </w:pPr>
                            <w:r>
                              <w:t>Appendix 9-A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24837FA" w14:textId="17885F02" w:rsidR="008B6083" w:rsidRPr="001616EB" w:rsidRDefault="00151BC2">
                            <w:pPr>
                              <w:pStyle w:val="Tabletext"/>
                              <w:snapToGrid w:val="0"/>
                            </w:pPr>
                            <w:r>
                              <w:t>See attached redlines</w:t>
                            </w:r>
                            <w:r w:rsidR="000B7486">
                              <w:t xml:space="preserve"> (TODO)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01FF5DA4" w14:textId="34342857" w:rsidR="000B7486" w:rsidRDefault="000B7486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Updates the portrayal catalogue schema (attached) to provide hints for optimized generation of XSLT portrayal input. Updates Part 9-7 and Appendix 9-A to describe use of the input hints.</w:t>
      </w:r>
      <w:bookmarkStart w:id="0" w:name="_GoBack"/>
      <w:bookmarkEnd w:id="0"/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3FB2FF43" w14:textId="63ACD5C1" w:rsidR="00593D90" w:rsidRDefault="00151BC2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TSM7-5.9 </w:t>
      </w:r>
      <w:r w:rsidR="00F47236">
        <w:rPr>
          <w:rFonts w:cs="Arial"/>
          <w:lang w:val="en-US"/>
        </w:rPr>
        <w:t>“</w:t>
      </w:r>
      <w:r>
        <w:rPr>
          <w:rFonts w:cs="Arial"/>
          <w:lang w:val="en-US"/>
        </w:rPr>
        <w:t>Issues with the Part 9-7 Data Input Schema</w:t>
      </w:r>
      <w:r w:rsidR="00F47236">
        <w:rPr>
          <w:rFonts w:cs="Arial"/>
          <w:lang w:val="en-US"/>
        </w:rPr>
        <w:t>”</w:t>
      </w:r>
      <w:r>
        <w:rPr>
          <w:rFonts w:cs="Arial"/>
          <w:lang w:val="en-US"/>
        </w:rPr>
        <w:t xml:space="preserve"> </w:t>
      </w:r>
      <w:r w:rsidR="00A74D4B">
        <w:rPr>
          <w:rFonts w:cs="Arial"/>
          <w:lang w:val="en-US"/>
        </w:rPr>
        <w:t xml:space="preserve">presented the justification for this change </w:t>
      </w:r>
      <w:r>
        <w:rPr>
          <w:rFonts w:cs="Arial"/>
          <w:lang w:val="en-US"/>
        </w:rPr>
        <w:t xml:space="preserve">as recommendation </w:t>
      </w:r>
      <w:r w:rsidR="009E72D5">
        <w:rPr>
          <w:rFonts w:cs="Arial"/>
          <w:lang w:val="en-US"/>
        </w:rPr>
        <w:t>4</w:t>
      </w:r>
      <w:r>
        <w:rPr>
          <w:rFonts w:cs="Arial"/>
          <w:lang w:val="en-US"/>
        </w:rPr>
        <w:t>.</w:t>
      </w:r>
    </w:p>
    <w:p w14:paraId="7A1E03BC" w14:textId="77777777" w:rsidR="00593D90" w:rsidRDefault="00593D90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49FB1FF4" w14:textId="00B4E448" w:rsidR="00F47236" w:rsidRDefault="009E72D5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The current XSLT portrayal processing is inefficient because the input XML must encode the entire dataset, including the geometries of </w:t>
      </w:r>
      <w:r w:rsidR="00A74D4B">
        <w:rPr>
          <w:rFonts w:cs="Arial"/>
          <w:lang w:val="en-US"/>
        </w:rPr>
        <w:t>all spatial objects</w:t>
      </w:r>
      <w:r w:rsidR="00F9718C">
        <w:rPr>
          <w:rFonts w:cs="Arial"/>
          <w:lang w:val="en-US"/>
        </w:rPr>
        <w:t>.</w:t>
      </w:r>
      <w:r w:rsidR="00593D90">
        <w:rPr>
          <w:rFonts w:cs="Arial"/>
          <w:lang w:val="en-US"/>
        </w:rPr>
        <w:t xml:space="preserve"> </w:t>
      </w:r>
      <w:r w:rsidR="00F9718C">
        <w:rPr>
          <w:rFonts w:cs="Arial"/>
          <w:lang w:val="en-US"/>
        </w:rPr>
        <w:t xml:space="preserve">Most </w:t>
      </w:r>
      <w:r w:rsidR="00593D90">
        <w:rPr>
          <w:rFonts w:cs="Arial"/>
          <w:lang w:val="en-US"/>
        </w:rPr>
        <w:t xml:space="preserve">of these </w:t>
      </w:r>
      <w:r w:rsidR="00F9718C">
        <w:rPr>
          <w:rFonts w:cs="Arial"/>
          <w:lang w:val="en-US"/>
        </w:rPr>
        <w:t xml:space="preserve">geometries are not evaluated by the portrayal rules, and if excluded would significantly </w:t>
      </w:r>
      <w:r w:rsidR="00593D90">
        <w:rPr>
          <w:rFonts w:cs="Arial"/>
          <w:lang w:val="en-US"/>
        </w:rPr>
        <w:t xml:space="preserve">reduce </w:t>
      </w:r>
      <w:r w:rsidR="00F9718C">
        <w:rPr>
          <w:rFonts w:cs="Arial"/>
          <w:lang w:val="en-US"/>
        </w:rPr>
        <w:t xml:space="preserve">the size, </w:t>
      </w:r>
      <w:r w:rsidR="00593D90">
        <w:rPr>
          <w:rFonts w:cs="Arial"/>
          <w:lang w:val="en-US"/>
        </w:rPr>
        <w:t>encoding time, and processing time</w:t>
      </w:r>
      <w:r w:rsidR="00F9718C">
        <w:rPr>
          <w:rFonts w:cs="Arial"/>
          <w:lang w:val="en-US"/>
        </w:rPr>
        <w:t xml:space="preserve"> </w:t>
      </w:r>
      <w:r w:rsidR="00593D90">
        <w:rPr>
          <w:rFonts w:cs="Arial"/>
          <w:lang w:val="en-US"/>
        </w:rPr>
        <w:t>of</w:t>
      </w:r>
      <w:r w:rsidR="00F9718C">
        <w:rPr>
          <w:rFonts w:cs="Arial"/>
          <w:lang w:val="en-US"/>
        </w:rPr>
        <w:t xml:space="preserve"> the input XML.</w:t>
      </w:r>
    </w:p>
    <w:p w14:paraId="1116C496" w14:textId="653C851C" w:rsidR="00F9718C" w:rsidRDefault="00F9718C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40557980" w14:textId="49B764B0" w:rsidR="00593D90" w:rsidRDefault="00F9718C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The proposal is an </w:t>
      </w:r>
      <w:r w:rsidR="00593D90">
        <w:rPr>
          <w:rFonts w:cs="Arial"/>
          <w:lang w:val="en-US"/>
        </w:rPr>
        <w:t>extension</w:t>
      </w:r>
      <w:r>
        <w:rPr>
          <w:rFonts w:cs="Arial"/>
          <w:lang w:val="en-US"/>
        </w:rPr>
        <w:t xml:space="preserve"> </w:t>
      </w:r>
      <w:r w:rsidR="00593D90">
        <w:rPr>
          <w:rFonts w:cs="Arial"/>
          <w:lang w:val="en-US"/>
        </w:rPr>
        <w:t xml:space="preserve">to the portrayal catalogue </w:t>
      </w:r>
      <w:r w:rsidR="00A74D4B">
        <w:rPr>
          <w:rFonts w:cs="Arial"/>
          <w:lang w:val="en-US"/>
        </w:rPr>
        <w:t>schema;</w:t>
      </w:r>
      <w:r w:rsidR="00143165">
        <w:rPr>
          <w:rFonts w:cs="Arial"/>
          <w:lang w:val="en-US"/>
        </w:rPr>
        <w:t xml:space="preserve"> it </w:t>
      </w:r>
      <w:r>
        <w:rPr>
          <w:rFonts w:cs="Arial"/>
          <w:lang w:val="en-US"/>
        </w:rPr>
        <w:t xml:space="preserve">allows portrayal catalogue developers to </w:t>
      </w:r>
      <w:r w:rsidR="00A74D4B">
        <w:rPr>
          <w:rFonts w:cs="Arial"/>
          <w:lang w:val="en-US"/>
        </w:rPr>
        <w:t>(</w:t>
      </w:r>
      <w:r>
        <w:rPr>
          <w:rFonts w:cs="Arial"/>
          <w:lang w:val="en-US"/>
        </w:rPr>
        <w:t>optionally</w:t>
      </w:r>
      <w:r w:rsidR="00A74D4B">
        <w:rPr>
          <w:rFonts w:cs="Arial"/>
          <w:lang w:val="en-US"/>
        </w:rPr>
        <w:t>)</w:t>
      </w:r>
      <w:r>
        <w:rPr>
          <w:rFonts w:cs="Arial"/>
          <w:lang w:val="en-US"/>
        </w:rPr>
        <w:t xml:space="preserve"> </w:t>
      </w:r>
      <w:r w:rsidR="0088223E">
        <w:rPr>
          <w:rFonts w:cs="Arial"/>
          <w:lang w:val="en-US"/>
        </w:rPr>
        <w:t>provide hints to optimize generation of t</w:t>
      </w:r>
      <w:r>
        <w:rPr>
          <w:rFonts w:cs="Arial"/>
          <w:lang w:val="en-US"/>
        </w:rPr>
        <w:t>he input XML</w:t>
      </w:r>
      <w:r w:rsidR="00593D90">
        <w:rPr>
          <w:rFonts w:cs="Arial"/>
          <w:lang w:val="en-US"/>
        </w:rPr>
        <w:t xml:space="preserve">. OEMs </w:t>
      </w:r>
      <w:r w:rsidR="00143165">
        <w:rPr>
          <w:rFonts w:cs="Arial"/>
          <w:lang w:val="en-US"/>
        </w:rPr>
        <w:t xml:space="preserve">may use </w:t>
      </w:r>
      <w:r w:rsidR="00593D90">
        <w:rPr>
          <w:rFonts w:cs="Arial"/>
          <w:lang w:val="en-US"/>
        </w:rPr>
        <w:t>th</w:t>
      </w:r>
      <w:r w:rsidR="0088223E">
        <w:rPr>
          <w:rFonts w:cs="Arial"/>
          <w:lang w:val="en-US"/>
        </w:rPr>
        <w:t>ese</w:t>
      </w:r>
      <w:r w:rsidR="00593D90">
        <w:rPr>
          <w:rFonts w:cs="Arial"/>
          <w:lang w:val="en-US"/>
        </w:rPr>
        <w:t xml:space="preserve"> </w:t>
      </w:r>
      <w:r w:rsidR="0088223E">
        <w:rPr>
          <w:rFonts w:cs="Arial"/>
          <w:lang w:val="en-US"/>
        </w:rPr>
        <w:t>hints</w:t>
      </w:r>
      <w:r w:rsidR="00593D90">
        <w:rPr>
          <w:rFonts w:cs="Arial"/>
          <w:lang w:val="en-US"/>
        </w:rPr>
        <w:t xml:space="preserve"> (when provided) to speed up portrayal </w:t>
      </w:r>
      <w:r w:rsidR="00A74D4B">
        <w:rPr>
          <w:rFonts w:cs="Arial"/>
          <w:lang w:val="en-US"/>
        </w:rPr>
        <w:t>processing, but are not required to do so.</w:t>
      </w:r>
      <w:r w:rsidR="0088223E">
        <w:rPr>
          <w:rFonts w:cs="Arial"/>
          <w:lang w:val="en-US"/>
        </w:rPr>
        <w:t xml:space="preserve"> </w:t>
      </w:r>
      <w:r w:rsidR="00593D90">
        <w:rPr>
          <w:rFonts w:cs="Arial"/>
          <w:lang w:val="en-US"/>
        </w:rPr>
        <w:t xml:space="preserve">It is </w:t>
      </w:r>
      <w:r w:rsidR="00143165">
        <w:rPr>
          <w:rFonts w:cs="Arial"/>
          <w:lang w:val="en-US"/>
        </w:rPr>
        <w:t xml:space="preserve">expected that these </w:t>
      </w:r>
      <w:r w:rsidR="0088223E">
        <w:rPr>
          <w:rFonts w:cs="Arial"/>
          <w:lang w:val="en-US"/>
        </w:rPr>
        <w:t>entries</w:t>
      </w:r>
      <w:r w:rsidR="00143165">
        <w:rPr>
          <w:rFonts w:cs="Arial"/>
          <w:lang w:val="en-US"/>
        </w:rPr>
        <w:t xml:space="preserve"> will be populated over time based on feedback from OEMs.</w:t>
      </w:r>
    </w:p>
    <w:p w14:paraId="61E7C8F8" w14:textId="1E02A716" w:rsidR="0088223E" w:rsidRDefault="0088223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1C3EB63A" w14:textId="6FB910EE" w:rsidR="0088223E" w:rsidRDefault="0088223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Summary:</w:t>
      </w:r>
    </w:p>
    <w:p w14:paraId="29CB5ECB" w14:textId="0CAADFEE" w:rsidR="0088223E" w:rsidRDefault="0088223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- Provides hints which can be used to reduce the size, encoding time, and processing time of the input XML</w:t>
      </w:r>
    </w:p>
    <w:p w14:paraId="125D6642" w14:textId="5C26C13D" w:rsidR="0088223E" w:rsidRDefault="0088223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- Allows hints to be set globally and overridden for individual feature or spatial types</w:t>
      </w:r>
    </w:p>
    <w:p w14:paraId="55D03320" w14:textId="065C2E71" w:rsidR="0088223E" w:rsidRDefault="0088223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- Attributes can be filtered per-feature type</w:t>
      </w:r>
    </w:p>
    <w:p w14:paraId="196E51DC" w14:textId="42E25A09" w:rsidR="0088223E" w:rsidRDefault="0088223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- hints can be associated with TopLevelTemplates</w:t>
      </w:r>
    </w:p>
    <w:p w14:paraId="00A4F034" w14:textId="51284DE5" w:rsidR="0088223E" w:rsidRDefault="0088223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124137F7" w14:textId="79DCD38F" w:rsidR="0088223E" w:rsidRDefault="0088223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Limitations:</w:t>
      </w:r>
    </w:p>
    <w:p w14:paraId="21559DFA" w14:textId="662F3E29" w:rsidR="0088223E" w:rsidRDefault="0088223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- Does not allow overrides for specific feature type / attribute value / association combinations (e.g. buoys with radar reflectors, or buoys associated with lights)</w:t>
      </w:r>
    </w:p>
    <w:p w14:paraId="27120720" w14:textId="7C9A4184" w:rsidR="00A93070" w:rsidRDefault="00A93070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7DA08552" w14:textId="3A38D279" w:rsidR="00A93070" w:rsidRDefault="007A3B35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 xml:space="preserve">The </w:t>
      </w:r>
      <w:r w:rsidR="0088223E">
        <w:rPr>
          <w:rFonts w:cs="Arial"/>
          <w:lang w:val="en-US"/>
        </w:rPr>
        <w:t>sample hint shown below</w:t>
      </w:r>
      <w:r>
        <w:rPr>
          <w:rFonts w:cs="Arial"/>
          <w:lang w:val="en-US"/>
        </w:rPr>
        <w:t xml:space="preserve"> indicates all spatial coordinates may be omitted other than those associated with MultiPoints; this is the entry which is expected to be provided by the portrayal catalogue for most product types.</w:t>
      </w:r>
    </w:p>
    <w:p w14:paraId="3CB6C1E4" w14:textId="7FCE1518" w:rsidR="00A93070" w:rsidRDefault="007A3B35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 w:rsidRPr="007A3B35">
        <w:rPr>
          <w:rFonts w:cs="Arial"/>
          <w:noProof/>
          <w:lang w:val="en-US" w:eastAsia="en-US"/>
        </w:rPr>
        <w:drawing>
          <wp:inline distT="0" distB="0" distL="0" distR="0" wp14:anchorId="534872ED" wp14:editId="7E0D36C9">
            <wp:extent cx="5278755" cy="205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2A0A" w14:textId="4CA2C6B3" w:rsidR="00CD7E32" w:rsidRDefault="00CD7E32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1BADAE6D" w14:textId="00162F91" w:rsidR="00CD7E32" w:rsidRDefault="00CD7E32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A more c</w:t>
      </w:r>
      <w:r w:rsidR="0088223E">
        <w:rPr>
          <w:rFonts w:cs="Arial"/>
          <w:lang w:val="en-US"/>
        </w:rPr>
        <w:t>omplex example. Only four feature types are used by the portrayal.</w:t>
      </w:r>
    </w:p>
    <w:p w14:paraId="428117B9" w14:textId="02EDA052" w:rsidR="00CD7E32" w:rsidRDefault="00CD7E32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 w:rsidRPr="00CD7E32">
        <w:rPr>
          <w:rFonts w:cs="Arial"/>
          <w:noProof/>
          <w:lang w:val="en-US" w:eastAsia="en-US"/>
        </w:rPr>
        <w:drawing>
          <wp:inline distT="0" distB="0" distL="0" distR="0" wp14:anchorId="712C1206" wp14:editId="3A17C430">
            <wp:extent cx="5278755" cy="3557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48CF" w14:textId="2E67F40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9545B5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9545B5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9545B5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56D4E8CE" w:rsidR="009C3C5E" w:rsidRDefault="009545B5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43165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1ED66C26" w:rsidR="009C3C5E" w:rsidRPr="009C3C5E" w:rsidRDefault="009545B5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4DBA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3CC076AD" w:rsidR="00BB0AA8" w:rsidRPr="009C3C5E" w:rsidRDefault="009545B5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4DBA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7AB6E9D" w14:textId="77777777"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91C80" w14:textId="77777777" w:rsidR="009545B5" w:rsidRDefault="009545B5">
      <w:r>
        <w:separator/>
      </w:r>
    </w:p>
  </w:endnote>
  <w:endnote w:type="continuationSeparator" w:id="0">
    <w:p w14:paraId="07D3EEEE" w14:textId="77777777" w:rsidR="009545B5" w:rsidRDefault="0095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1A95951D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0B7486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0AB62" w14:textId="77777777" w:rsidR="009545B5" w:rsidRDefault="009545B5">
      <w:r>
        <w:separator/>
      </w:r>
    </w:p>
  </w:footnote>
  <w:footnote w:type="continuationSeparator" w:id="0">
    <w:p w14:paraId="3D282C54" w14:textId="77777777" w:rsidR="009545B5" w:rsidRDefault="00954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486"/>
    <w:rsid w:val="000B7C27"/>
    <w:rsid w:val="00124A16"/>
    <w:rsid w:val="0013722A"/>
    <w:rsid w:val="00143165"/>
    <w:rsid w:val="00145625"/>
    <w:rsid w:val="00151BC2"/>
    <w:rsid w:val="00156FF1"/>
    <w:rsid w:val="001616EB"/>
    <w:rsid w:val="00162570"/>
    <w:rsid w:val="00187BEA"/>
    <w:rsid w:val="001902F8"/>
    <w:rsid w:val="001D12C2"/>
    <w:rsid w:val="001F5142"/>
    <w:rsid w:val="0020239F"/>
    <w:rsid w:val="002027F8"/>
    <w:rsid w:val="002253B4"/>
    <w:rsid w:val="00231D3A"/>
    <w:rsid w:val="002C6462"/>
    <w:rsid w:val="002D315F"/>
    <w:rsid w:val="002E2D97"/>
    <w:rsid w:val="00337937"/>
    <w:rsid w:val="003E386E"/>
    <w:rsid w:val="00496818"/>
    <w:rsid w:val="00581DAB"/>
    <w:rsid w:val="00593D90"/>
    <w:rsid w:val="006065FE"/>
    <w:rsid w:val="006330B6"/>
    <w:rsid w:val="00640ADD"/>
    <w:rsid w:val="00641CDB"/>
    <w:rsid w:val="0068258B"/>
    <w:rsid w:val="00686C2E"/>
    <w:rsid w:val="006A7A60"/>
    <w:rsid w:val="006C64B5"/>
    <w:rsid w:val="007002EA"/>
    <w:rsid w:val="00714973"/>
    <w:rsid w:val="00723C18"/>
    <w:rsid w:val="00795510"/>
    <w:rsid w:val="007A3B35"/>
    <w:rsid w:val="007B44D7"/>
    <w:rsid w:val="007E0EB6"/>
    <w:rsid w:val="007E7095"/>
    <w:rsid w:val="007F5947"/>
    <w:rsid w:val="00804E76"/>
    <w:rsid w:val="00843966"/>
    <w:rsid w:val="008505A7"/>
    <w:rsid w:val="00873526"/>
    <w:rsid w:val="00874EC2"/>
    <w:rsid w:val="0088223E"/>
    <w:rsid w:val="008A46BB"/>
    <w:rsid w:val="008B6083"/>
    <w:rsid w:val="008F1292"/>
    <w:rsid w:val="00942EC0"/>
    <w:rsid w:val="009545B5"/>
    <w:rsid w:val="00987996"/>
    <w:rsid w:val="009C3C5E"/>
    <w:rsid w:val="009D52BD"/>
    <w:rsid w:val="009E4479"/>
    <w:rsid w:val="009E72D5"/>
    <w:rsid w:val="00A02F1F"/>
    <w:rsid w:val="00A148AE"/>
    <w:rsid w:val="00A350D5"/>
    <w:rsid w:val="00A36C79"/>
    <w:rsid w:val="00A51345"/>
    <w:rsid w:val="00A71CFD"/>
    <w:rsid w:val="00A73208"/>
    <w:rsid w:val="00A74D4B"/>
    <w:rsid w:val="00A762EC"/>
    <w:rsid w:val="00A82E52"/>
    <w:rsid w:val="00A93070"/>
    <w:rsid w:val="00AF2503"/>
    <w:rsid w:val="00B17F78"/>
    <w:rsid w:val="00B3168B"/>
    <w:rsid w:val="00BB0AA8"/>
    <w:rsid w:val="00BB77E1"/>
    <w:rsid w:val="00BF4DBA"/>
    <w:rsid w:val="00C0478D"/>
    <w:rsid w:val="00C40408"/>
    <w:rsid w:val="00C863A6"/>
    <w:rsid w:val="00CA221F"/>
    <w:rsid w:val="00CD77EF"/>
    <w:rsid w:val="00CD7E32"/>
    <w:rsid w:val="00D365B9"/>
    <w:rsid w:val="00D558DB"/>
    <w:rsid w:val="00D647B1"/>
    <w:rsid w:val="00DA3A0D"/>
    <w:rsid w:val="00E2062D"/>
    <w:rsid w:val="00E31E28"/>
    <w:rsid w:val="00E72C8C"/>
    <w:rsid w:val="00EB45A2"/>
    <w:rsid w:val="00F33722"/>
    <w:rsid w:val="00F47236"/>
    <w:rsid w:val="00F56048"/>
    <w:rsid w:val="00F9718C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ListParagraph">
    <w:name w:val="List Paragraph"/>
    <w:basedOn w:val="Normal"/>
    <w:uiPriority w:val="34"/>
    <w:qFormat/>
    <w:rsid w:val="00BF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510D50"/>
    <w:rsid w:val="00851954"/>
    <w:rsid w:val="0097095F"/>
    <w:rsid w:val="00A338E2"/>
    <w:rsid w:val="00B42646"/>
    <w:rsid w:val="00CB7214"/>
    <w:rsid w:val="00DB2A1B"/>
    <w:rsid w:val="00E7114E"/>
    <w:rsid w:val="00E91C67"/>
    <w:rsid w:val="00EB3141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FB7ED-C138-4E7C-AAB5-9A8BBAE1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16</cp:revision>
  <cp:lastPrinted>2009-12-14T13:49:00Z</cp:lastPrinted>
  <dcterms:created xsi:type="dcterms:W3CDTF">2016-04-20T18:10:00Z</dcterms:created>
  <dcterms:modified xsi:type="dcterms:W3CDTF">2021-02-22T22:08:00Z</dcterms:modified>
</cp:coreProperties>
</file>