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12C60" w14:textId="77777777" w:rsidR="004F5A06" w:rsidRPr="00F543C9" w:rsidRDefault="004F5A06" w:rsidP="004F5A06">
      <w:pPr>
        <w:jc w:val="right"/>
        <w:rPr>
          <w:rFonts w:ascii="Arial Narrow" w:hAnsi="Arial Narrow"/>
          <w:b/>
          <w:sz w:val="22"/>
          <w:szCs w:val="22"/>
          <w:lang w:val="fr-FR"/>
        </w:rPr>
      </w:pPr>
    </w:p>
    <w:p w14:paraId="230036C5" w14:textId="0A3F926E" w:rsidR="004F5A06" w:rsidRPr="00892E93" w:rsidRDefault="00C04966" w:rsidP="004F5A06">
      <w:pPr>
        <w:jc w:val="right"/>
        <w:rPr>
          <w:rFonts w:ascii="Arial Narrow" w:hAnsi="Arial Narrow"/>
          <w:b/>
          <w:sz w:val="22"/>
          <w:szCs w:val="22"/>
        </w:rPr>
      </w:pPr>
      <w:r>
        <w:rPr>
          <w:rFonts w:ascii="Arial Narrow" w:hAnsi="Arial Narrow"/>
          <w:b/>
          <w:sz w:val="22"/>
          <w:szCs w:val="22"/>
          <w:bdr w:val="single" w:sz="4" w:space="0" w:color="auto"/>
        </w:rPr>
        <w:t>S100WGXX</w:t>
      </w:r>
      <w:r w:rsidR="00CE20F2">
        <w:rPr>
          <w:rFonts w:ascii="Arial Narrow" w:hAnsi="Arial Narrow"/>
          <w:b/>
          <w:sz w:val="22"/>
          <w:szCs w:val="22"/>
          <w:bdr w:val="single" w:sz="4" w:space="0" w:color="auto"/>
        </w:rPr>
        <w:t xml:space="preserve"> </w:t>
      </w:r>
      <w:r w:rsidR="004F5A06" w:rsidRPr="00892E93">
        <w:rPr>
          <w:rFonts w:ascii="Arial Narrow" w:hAnsi="Arial Narrow"/>
          <w:b/>
          <w:sz w:val="22"/>
          <w:szCs w:val="22"/>
          <w:bdr w:val="single" w:sz="4" w:space="0" w:color="auto"/>
        </w:rPr>
        <w:t xml:space="preserve"> xx-xx</w:t>
      </w:r>
    </w:p>
    <w:p w14:paraId="5A41D983" w14:textId="0CB677CB" w:rsidR="004F5A06" w:rsidRPr="00F543C9" w:rsidRDefault="004F5A06" w:rsidP="004F5A06">
      <w:pPr>
        <w:pStyle w:val="Heading2"/>
        <w:jc w:val="center"/>
        <w:rPr>
          <w:szCs w:val="22"/>
        </w:rPr>
      </w:pPr>
      <w:r w:rsidRPr="00F543C9">
        <w:rPr>
          <w:szCs w:val="22"/>
        </w:rPr>
        <w:t xml:space="preserve">Paper for Consideration by </w:t>
      </w:r>
      <w:r w:rsidR="005646C2">
        <w:rPr>
          <w:szCs w:val="22"/>
        </w:rPr>
        <w:t>S-100WG</w:t>
      </w:r>
    </w:p>
    <w:p w14:paraId="2B426E67" w14:textId="60E20E3A" w:rsidR="004F5A06" w:rsidRPr="00F543C9" w:rsidRDefault="005646C2" w:rsidP="004F5A06">
      <w:pPr>
        <w:pStyle w:val="Heading2"/>
        <w:jc w:val="center"/>
        <w:rPr>
          <w:szCs w:val="22"/>
        </w:rPr>
      </w:pPr>
      <w:r>
        <w:rPr>
          <w:szCs w:val="22"/>
        </w:rPr>
        <w:t>Revision of</w:t>
      </w:r>
      <w:r w:rsidR="002B6973">
        <w:rPr>
          <w:szCs w:val="22"/>
        </w:rPr>
        <w:t xml:space="preserve"> Part 15</w:t>
      </w:r>
    </w:p>
    <w:p w14:paraId="2E9229E7" w14:textId="77777777" w:rsidR="004F5A06" w:rsidRPr="00F543C9" w:rsidRDefault="004F5A06" w:rsidP="004F5A06">
      <w:pPr>
        <w:rPr>
          <w:rFonts w:ascii="Arial Narrow" w:hAnsi="Arial Narrow"/>
          <w:sz w:val="22"/>
          <w:szCs w:val="22"/>
          <w:lang w:val="en-A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634"/>
        <w:gridCol w:w="6271"/>
      </w:tblGrid>
      <w:tr w:rsidR="004F5A06" w:rsidRPr="00F543C9" w14:paraId="0FE4BE1B" w14:textId="77777777">
        <w:trPr>
          <w:jc w:val="center"/>
        </w:trPr>
        <w:tc>
          <w:tcPr>
            <w:tcW w:w="2634" w:type="dxa"/>
          </w:tcPr>
          <w:p w14:paraId="385E5D82" w14:textId="77777777" w:rsidR="004F5A06" w:rsidRPr="00F543C9" w:rsidRDefault="004F5A06" w:rsidP="004F5A06">
            <w:pPr>
              <w:rPr>
                <w:rFonts w:ascii="Arial Narrow" w:hAnsi="Arial Narrow"/>
                <w:b/>
                <w:i/>
                <w:sz w:val="22"/>
                <w:szCs w:val="22"/>
                <w:lang w:val="en-AU"/>
              </w:rPr>
            </w:pPr>
            <w:r w:rsidRPr="00F543C9">
              <w:rPr>
                <w:rFonts w:ascii="Arial Narrow" w:hAnsi="Arial Narrow"/>
                <w:sz w:val="22"/>
                <w:szCs w:val="22"/>
                <w:lang w:val="en-AU"/>
              </w:rPr>
              <w:br w:type="page"/>
            </w:r>
            <w:r w:rsidRPr="00F543C9">
              <w:rPr>
                <w:rFonts w:ascii="Arial Narrow" w:hAnsi="Arial Narrow"/>
                <w:b/>
                <w:i/>
                <w:sz w:val="22"/>
                <w:szCs w:val="22"/>
                <w:lang w:val="en-AU"/>
              </w:rPr>
              <w:t>Submitted by:</w:t>
            </w:r>
          </w:p>
        </w:tc>
        <w:tc>
          <w:tcPr>
            <w:tcW w:w="6271" w:type="dxa"/>
          </w:tcPr>
          <w:p w14:paraId="17360EDC" w14:textId="1AFB1029" w:rsidR="004F5A06" w:rsidRPr="00F543C9" w:rsidRDefault="002B6973" w:rsidP="004F5A06">
            <w:pPr>
              <w:rPr>
                <w:rFonts w:ascii="Arial Narrow" w:hAnsi="Arial Narrow"/>
                <w:sz w:val="22"/>
                <w:szCs w:val="22"/>
                <w:lang w:val="en-AU"/>
              </w:rPr>
            </w:pPr>
            <w:r>
              <w:rPr>
                <w:rFonts w:ascii="Arial Narrow" w:hAnsi="Arial Narrow"/>
                <w:sz w:val="22"/>
                <w:szCs w:val="22"/>
                <w:lang w:val="en-AU"/>
              </w:rPr>
              <w:t>UKHO, IIC</w:t>
            </w:r>
          </w:p>
        </w:tc>
      </w:tr>
      <w:tr w:rsidR="004F5A06" w:rsidRPr="00F543C9" w14:paraId="7AB0E9AB" w14:textId="77777777">
        <w:trPr>
          <w:jc w:val="center"/>
        </w:trPr>
        <w:tc>
          <w:tcPr>
            <w:tcW w:w="2634" w:type="dxa"/>
          </w:tcPr>
          <w:p w14:paraId="555DBD6A" w14:textId="77777777" w:rsidR="004F5A06" w:rsidRPr="00F543C9" w:rsidRDefault="004F5A06" w:rsidP="004F5A06">
            <w:pPr>
              <w:rPr>
                <w:rFonts w:ascii="Arial Narrow" w:hAnsi="Arial Narrow"/>
                <w:b/>
                <w:i/>
                <w:sz w:val="22"/>
                <w:szCs w:val="22"/>
                <w:lang w:val="en-AU"/>
              </w:rPr>
            </w:pPr>
            <w:r w:rsidRPr="00F543C9">
              <w:rPr>
                <w:rFonts w:ascii="Arial Narrow" w:hAnsi="Arial Narrow"/>
                <w:b/>
                <w:i/>
                <w:sz w:val="22"/>
                <w:szCs w:val="22"/>
                <w:lang w:val="en-AU"/>
              </w:rPr>
              <w:t>Executive Summary:</w:t>
            </w:r>
          </w:p>
        </w:tc>
        <w:tc>
          <w:tcPr>
            <w:tcW w:w="6271" w:type="dxa"/>
          </w:tcPr>
          <w:p w14:paraId="083880C6" w14:textId="7328E1F3" w:rsidR="004F5A06" w:rsidRPr="00F543C9" w:rsidRDefault="00333198" w:rsidP="004F5A06">
            <w:pPr>
              <w:rPr>
                <w:rFonts w:ascii="Arial Narrow" w:hAnsi="Arial Narrow"/>
                <w:sz w:val="22"/>
                <w:szCs w:val="22"/>
                <w:lang w:val="en-AU"/>
              </w:rPr>
            </w:pPr>
            <w:r>
              <w:rPr>
                <w:rFonts w:ascii="Arial Narrow" w:hAnsi="Arial Narrow"/>
                <w:sz w:val="22"/>
                <w:szCs w:val="22"/>
                <w:lang w:val="en-AU"/>
              </w:rPr>
              <w:t>Revision of S-100 Part 1</w:t>
            </w:r>
            <w:r w:rsidR="002B6973">
              <w:rPr>
                <w:rFonts w:ascii="Arial Narrow" w:hAnsi="Arial Narrow"/>
                <w:sz w:val="22"/>
                <w:szCs w:val="22"/>
                <w:lang w:val="en-AU"/>
              </w:rPr>
              <w:t>5</w:t>
            </w:r>
          </w:p>
        </w:tc>
      </w:tr>
      <w:tr w:rsidR="004F5A06" w:rsidRPr="00F543C9" w14:paraId="30BCA45B" w14:textId="77777777">
        <w:trPr>
          <w:jc w:val="center"/>
        </w:trPr>
        <w:tc>
          <w:tcPr>
            <w:tcW w:w="2634" w:type="dxa"/>
          </w:tcPr>
          <w:p w14:paraId="700138BC" w14:textId="77777777" w:rsidR="004F5A06" w:rsidRPr="00F543C9" w:rsidRDefault="004F5A06" w:rsidP="004F5A06">
            <w:pPr>
              <w:rPr>
                <w:rFonts w:ascii="Arial Narrow" w:hAnsi="Arial Narrow"/>
                <w:b/>
                <w:i/>
                <w:sz w:val="22"/>
                <w:szCs w:val="22"/>
                <w:lang w:val="en-AU"/>
              </w:rPr>
            </w:pPr>
            <w:r w:rsidRPr="00F543C9">
              <w:rPr>
                <w:rFonts w:ascii="Arial Narrow" w:hAnsi="Arial Narrow"/>
                <w:b/>
                <w:i/>
                <w:sz w:val="22"/>
                <w:szCs w:val="22"/>
                <w:lang w:val="en-AU"/>
              </w:rPr>
              <w:t>Related Documents:</w:t>
            </w:r>
          </w:p>
        </w:tc>
        <w:tc>
          <w:tcPr>
            <w:tcW w:w="6271" w:type="dxa"/>
          </w:tcPr>
          <w:p w14:paraId="79EA689F" w14:textId="004063EE" w:rsidR="004F5A06" w:rsidRPr="00F543C9" w:rsidRDefault="002B6973" w:rsidP="004F5A06">
            <w:pPr>
              <w:rPr>
                <w:rFonts w:ascii="Arial Narrow" w:hAnsi="Arial Narrow"/>
                <w:sz w:val="22"/>
                <w:szCs w:val="22"/>
                <w:lang w:val="en-AU"/>
              </w:rPr>
            </w:pPr>
            <w:r>
              <w:rPr>
                <w:rFonts w:ascii="Arial Narrow" w:hAnsi="Arial Narrow"/>
                <w:sz w:val="22"/>
                <w:szCs w:val="22"/>
                <w:lang w:val="en-AU"/>
              </w:rPr>
              <w:t>S-100 Edition 5.0.0</w:t>
            </w:r>
          </w:p>
        </w:tc>
      </w:tr>
      <w:tr w:rsidR="004F5A06" w:rsidRPr="00F543C9" w14:paraId="23F3C007" w14:textId="77777777">
        <w:trPr>
          <w:jc w:val="center"/>
        </w:trPr>
        <w:tc>
          <w:tcPr>
            <w:tcW w:w="2634" w:type="dxa"/>
          </w:tcPr>
          <w:p w14:paraId="4FFA15FE" w14:textId="77777777" w:rsidR="004F5A06" w:rsidRPr="00F543C9" w:rsidRDefault="004F5A06" w:rsidP="004F5A06">
            <w:pPr>
              <w:rPr>
                <w:rFonts w:ascii="Arial Narrow" w:hAnsi="Arial Narrow"/>
                <w:b/>
                <w:i/>
                <w:sz w:val="22"/>
                <w:szCs w:val="22"/>
                <w:lang w:val="en-AU"/>
              </w:rPr>
            </w:pPr>
            <w:r w:rsidRPr="00F543C9">
              <w:rPr>
                <w:rFonts w:ascii="Arial Narrow" w:hAnsi="Arial Narrow"/>
                <w:b/>
                <w:i/>
                <w:sz w:val="22"/>
                <w:szCs w:val="22"/>
                <w:lang w:val="en-AU"/>
              </w:rPr>
              <w:t>Related Projects:</w:t>
            </w:r>
          </w:p>
        </w:tc>
        <w:tc>
          <w:tcPr>
            <w:tcW w:w="6271" w:type="dxa"/>
          </w:tcPr>
          <w:p w14:paraId="482A906F" w14:textId="425CA5A3" w:rsidR="004F5A06" w:rsidRPr="00F543C9" w:rsidRDefault="004F5A06" w:rsidP="004F5A06">
            <w:pPr>
              <w:rPr>
                <w:rFonts w:ascii="Arial Narrow" w:hAnsi="Arial Narrow"/>
                <w:sz w:val="22"/>
                <w:szCs w:val="22"/>
                <w:lang w:val="en-AU"/>
              </w:rPr>
            </w:pPr>
          </w:p>
        </w:tc>
      </w:tr>
    </w:tbl>
    <w:p w14:paraId="591A8DE1" w14:textId="77777777" w:rsidR="004F5A06" w:rsidRPr="00F543C9" w:rsidRDefault="004F5A06" w:rsidP="004F5A06">
      <w:pPr>
        <w:pStyle w:val="Heading2"/>
        <w:rPr>
          <w:szCs w:val="22"/>
        </w:rPr>
      </w:pPr>
      <w:r w:rsidRPr="00F543C9">
        <w:rPr>
          <w:szCs w:val="22"/>
        </w:rPr>
        <w:t>Introduction / Background</w:t>
      </w:r>
    </w:p>
    <w:p w14:paraId="6AC1D990" w14:textId="7A7438CB" w:rsidR="004F5A06" w:rsidRPr="00F543C9" w:rsidRDefault="00C04966" w:rsidP="004F5A06">
      <w:pPr>
        <w:rPr>
          <w:rFonts w:ascii="Arial Narrow" w:hAnsi="Arial Narrow"/>
          <w:sz w:val="22"/>
          <w:szCs w:val="22"/>
          <w:lang w:val="en-AU"/>
        </w:rPr>
      </w:pPr>
      <w:r>
        <w:rPr>
          <w:rFonts w:ascii="Arial Narrow" w:hAnsi="Arial Narrow"/>
          <w:sz w:val="22"/>
          <w:szCs w:val="22"/>
          <w:lang w:val="en-AU"/>
        </w:rPr>
        <w:t>A revision to IHO S-100 Part 15, the data protection scheme has been drafted. The revision clarifies certain aspects of Part 15 and its implementation, corrects factual and typographical errors and expands key sections which were under-described in edition 4.0.0</w:t>
      </w:r>
    </w:p>
    <w:p w14:paraId="05CDD231" w14:textId="3C715FA5" w:rsidR="00F60077" w:rsidRPr="00F60077" w:rsidRDefault="004F5A06" w:rsidP="00C04966">
      <w:pPr>
        <w:pStyle w:val="Heading2"/>
        <w:rPr>
          <w:szCs w:val="22"/>
        </w:rPr>
      </w:pPr>
      <w:r w:rsidRPr="00F543C9">
        <w:rPr>
          <w:szCs w:val="22"/>
        </w:rPr>
        <w:t>Analysis/Discussion</w:t>
      </w:r>
    </w:p>
    <w:p w14:paraId="4405640A" w14:textId="72D7E590" w:rsidR="00F60077" w:rsidRPr="00F60077" w:rsidRDefault="00F60077" w:rsidP="00F60077">
      <w:pPr>
        <w:pStyle w:val="subpara"/>
        <w:ind w:left="0" w:firstLine="0"/>
        <w:rPr>
          <w:bCs/>
          <w:szCs w:val="22"/>
          <w:lang w:val="en-GB"/>
        </w:rPr>
      </w:pPr>
      <w:r w:rsidRPr="00F60077">
        <w:rPr>
          <w:bCs/>
          <w:szCs w:val="22"/>
          <w:lang w:val="en-GB"/>
        </w:rPr>
        <w:t>Part 15 of S-100 has been revised to take into account comments received during the lifetime of edition 4.0.0 and to clarify several sections where the standard is ambiguous</w:t>
      </w:r>
      <w:r w:rsidR="00347D3E">
        <w:rPr>
          <w:bCs/>
          <w:szCs w:val="22"/>
          <w:lang w:val="en-GB"/>
        </w:rPr>
        <w:t xml:space="preserve"> and/or incorrect</w:t>
      </w:r>
      <w:r w:rsidRPr="00F60077">
        <w:rPr>
          <w:bCs/>
          <w:szCs w:val="22"/>
          <w:lang w:val="en-GB"/>
        </w:rPr>
        <w:t>. </w:t>
      </w:r>
    </w:p>
    <w:p w14:paraId="1DDB9CFD" w14:textId="77777777" w:rsidR="00F60077" w:rsidRPr="00F60077" w:rsidRDefault="00F60077" w:rsidP="00F60077">
      <w:pPr>
        <w:pStyle w:val="subpara"/>
        <w:ind w:left="0"/>
        <w:rPr>
          <w:bCs/>
          <w:szCs w:val="22"/>
          <w:lang w:val="en-GB"/>
        </w:rPr>
      </w:pPr>
    </w:p>
    <w:p w14:paraId="7C2615EE" w14:textId="26B497D0" w:rsidR="00F60077" w:rsidRPr="00F60077" w:rsidRDefault="00F924CD" w:rsidP="00F60077">
      <w:pPr>
        <w:pStyle w:val="subpara"/>
        <w:ind w:left="0" w:firstLine="0"/>
        <w:rPr>
          <w:bCs/>
          <w:szCs w:val="22"/>
          <w:lang w:val="en-GB"/>
        </w:rPr>
      </w:pPr>
      <w:r>
        <w:rPr>
          <w:bCs/>
          <w:szCs w:val="22"/>
          <w:lang w:val="en-GB"/>
        </w:rPr>
        <w:t>Summarised, t</w:t>
      </w:r>
      <w:r w:rsidR="00F60077" w:rsidRPr="00F60077">
        <w:rPr>
          <w:bCs/>
          <w:szCs w:val="22"/>
          <w:lang w:val="en-GB"/>
        </w:rPr>
        <w:t xml:space="preserve">hese clarifications </w:t>
      </w:r>
      <w:r w:rsidR="00BB5BC8">
        <w:rPr>
          <w:bCs/>
          <w:szCs w:val="22"/>
          <w:lang w:val="en-GB"/>
        </w:rPr>
        <w:t>consist of</w:t>
      </w:r>
      <w:r w:rsidR="00F60077" w:rsidRPr="00F60077">
        <w:rPr>
          <w:bCs/>
          <w:szCs w:val="22"/>
          <w:lang w:val="en-GB"/>
        </w:rPr>
        <w:t>:</w:t>
      </w:r>
    </w:p>
    <w:p w14:paraId="5C243A5A" w14:textId="3D5D5C3D" w:rsidR="00F60077" w:rsidRPr="00F60077" w:rsidRDefault="00F60077" w:rsidP="00F60077">
      <w:pPr>
        <w:pStyle w:val="subpara"/>
        <w:numPr>
          <w:ilvl w:val="0"/>
          <w:numId w:val="4"/>
        </w:numPr>
        <w:rPr>
          <w:bCs/>
          <w:szCs w:val="22"/>
          <w:lang w:val="en-GB"/>
        </w:rPr>
      </w:pPr>
      <w:r w:rsidRPr="00F60077">
        <w:rPr>
          <w:bCs/>
          <w:szCs w:val="22"/>
          <w:lang w:val="en-GB"/>
        </w:rPr>
        <w:t xml:space="preserve">Updated, complete list of referenced standards, including X.509, </w:t>
      </w:r>
      <w:r w:rsidR="00982B50">
        <w:rPr>
          <w:bCs/>
          <w:szCs w:val="22"/>
          <w:lang w:val="en-GB"/>
        </w:rPr>
        <w:t xml:space="preserve">Base 64, </w:t>
      </w:r>
      <w:r w:rsidRPr="00F60077">
        <w:rPr>
          <w:bCs/>
          <w:szCs w:val="22"/>
          <w:lang w:val="en-GB"/>
        </w:rPr>
        <w:t>ASN.1 and AES.</w:t>
      </w:r>
    </w:p>
    <w:p w14:paraId="74DF884D" w14:textId="25C09B0B" w:rsidR="00F60077" w:rsidRPr="00F60077" w:rsidRDefault="00F60077" w:rsidP="00F60077">
      <w:pPr>
        <w:pStyle w:val="subpara"/>
        <w:numPr>
          <w:ilvl w:val="0"/>
          <w:numId w:val="4"/>
        </w:numPr>
        <w:rPr>
          <w:bCs/>
          <w:szCs w:val="22"/>
          <w:lang w:val="en-GB"/>
        </w:rPr>
      </w:pPr>
      <w:r w:rsidRPr="00F60077">
        <w:rPr>
          <w:bCs/>
          <w:szCs w:val="22"/>
          <w:lang w:val="en-GB"/>
        </w:rPr>
        <w:t xml:space="preserve">Better specifications of </w:t>
      </w:r>
      <w:r w:rsidR="00F924CD">
        <w:rPr>
          <w:bCs/>
          <w:szCs w:val="22"/>
          <w:lang w:val="en-GB"/>
        </w:rPr>
        <w:t xml:space="preserve">scheme participants, especially </w:t>
      </w:r>
      <w:r w:rsidRPr="00F60077">
        <w:rPr>
          <w:bCs/>
          <w:szCs w:val="22"/>
          <w:lang w:val="en-GB"/>
        </w:rPr>
        <w:t>domain coordinators, their roles and responsibilities</w:t>
      </w:r>
    </w:p>
    <w:p w14:paraId="3E7CEA9C" w14:textId="0E1309A5" w:rsidR="00F60077" w:rsidRPr="00F60077" w:rsidRDefault="00F60077" w:rsidP="00F60077">
      <w:pPr>
        <w:pStyle w:val="subpara"/>
        <w:numPr>
          <w:ilvl w:val="0"/>
          <w:numId w:val="4"/>
        </w:numPr>
        <w:rPr>
          <w:bCs/>
          <w:szCs w:val="22"/>
          <w:lang w:val="en-GB"/>
        </w:rPr>
      </w:pPr>
      <w:r w:rsidRPr="00F60077">
        <w:rPr>
          <w:bCs/>
          <w:szCs w:val="22"/>
          <w:lang w:val="en-GB"/>
        </w:rPr>
        <w:t>Clearer diagrams showing interaction of scheme participants</w:t>
      </w:r>
      <w:r w:rsidR="00F924CD">
        <w:rPr>
          <w:bCs/>
          <w:szCs w:val="22"/>
          <w:lang w:val="en-GB"/>
        </w:rPr>
        <w:t xml:space="preserve"> and the information exchanged between them.</w:t>
      </w:r>
    </w:p>
    <w:p w14:paraId="39A0C307" w14:textId="3ACCEFA9" w:rsidR="00347D3E" w:rsidRDefault="00347D3E" w:rsidP="00F60077">
      <w:pPr>
        <w:pStyle w:val="subpara"/>
        <w:numPr>
          <w:ilvl w:val="0"/>
          <w:numId w:val="4"/>
        </w:numPr>
        <w:rPr>
          <w:bCs/>
          <w:szCs w:val="22"/>
          <w:lang w:val="en-GB"/>
        </w:rPr>
      </w:pPr>
      <w:r>
        <w:rPr>
          <w:bCs/>
          <w:szCs w:val="22"/>
          <w:lang w:val="en-GB"/>
        </w:rPr>
        <w:t>Corrections to examples and several contradictory areas of specification</w:t>
      </w:r>
    </w:p>
    <w:p w14:paraId="5941273B" w14:textId="7FBABAE4" w:rsidR="00F60077" w:rsidRPr="00F60077" w:rsidRDefault="003216B3" w:rsidP="00F60077">
      <w:pPr>
        <w:pStyle w:val="subpara"/>
        <w:numPr>
          <w:ilvl w:val="0"/>
          <w:numId w:val="4"/>
        </w:numPr>
        <w:rPr>
          <w:bCs/>
          <w:szCs w:val="22"/>
          <w:lang w:val="en-GB"/>
        </w:rPr>
      </w:pPr>
      <w:r>
        <w:rPr>
          <w:bCs/>
          <w:szCs w:val="22"/>
          <w:lang w:val="en-GB"/>
        </w:rPr>
        <w:t>Enhanced</w:t>
      </w:r>
      <w:r w:rsidR="00F60077" w:rsidRPr="00F60077">
        <w:rPr>
          <w:bCs/>
          <w:szCs w:val="22"/>
          <w:lang w:val="en-GB"/>
        </w:rPr>
        <w:t xml:space="preserve"> XML </w:t>
      </w:r>
      <w:r>
        <w:rPr>
          <w:bCs/>
          <w:szCs w:val="22"/>
          <w:lang w:val="en-GB"/>
        </w:rPr>
        <w:t xml:space="preserve">schemas </w:t>
      </w:r>
      <w:r w:rsidR="00F924CD">
        <w:rPr>
          <w:bCs/>
          <w:szCs w:val="22"/>
          <w:lang w:val="en-GB"/>
        </w:rPr>
        <w:t xml:space="preserve">content </w:t>
      </w:r>
      <w:r w:rsidR="00F60077" w:rsidRPr="00F60077">
        <w:rPr>
          <w:bCs/>
          <w:szCs w:val="22"/>
          <w:lang w:val="en-GB"/>
        </w:rPr>
        <w:t xml:space="preserve">covering </w:t>
      </w:r>
      <w:r>
        <w:rPr>
          <w:bCs/>
          <w:szCs w:val="22"/>
          <w:lang w:val="en-GB"/>
        </w:rPr>
        <w:t xml:space="preserve">standalone and embedded </w:t>
      </w:r>
      <w:r w:rsidR="00F60077" w:rsidRPr="00F60077">
        <w:rPr>
          <w:bCs/>
          <w:szCs w:val="22"/>
          <w:lang w:val="en-GB"/>
        </w:rPr>
        <w:t>digital signatures and permits</w:t>
      </w:r>
      <w:r>
        <w:rPr>
          <w:bCs/>
          <w:szCs w:val="22"/>
          <w:lang w:val="en-GB"/>
        </w:rPr>
        <w:t xml:space="preserve">. This includes </w:t>
      </w:r>
      <w:r w:rsidR="00F60077" w:rsidRPr="00F60077">
        <w:rPr>
          <w:bCs/>
          <w:szCs w:val="22"/>
          <w:lang w:val="en-GB"/>
        </w:rPr>
        <w:t xml:space="preserve">descriptions of </w:t>
      </w:r>
      <w:r w:rsidR="00F924CD">
        <w:rPr>
          <w:bCs/>
          <w:szCs w:val="22"/>
          <w:lang w:val="en-GB"/>
        </w:rPr>
        <w:t xml:space="preserve">the </w:t>
      </w:r>
      <w:r w:rsidR="00F60077" w:rsidRPr="00F60077">
        <w:rPr>
          <w:bCs/>
          <w:szCs w:val="22"/>
          <w:lang w:val="en-GB"/>
        </w:rPr>
        <w:t>defined fields</w:t>
      </w:r>
      <w:r w:rsidR="00C407B8">
        <w:rPr>
          <w:bCs/>
          <w:szCs w:val="22"/>
          <w:lang w:val="en-GB"/>
        </w:rPr>
        <w:t xml:space="preserve"> for all implementations in the catalogue metadata, permit files and their digital signature files.</w:t>
      </w:r>
    </w:p>
    <w:p w14:paraId="00A148B5" w14:textId="5584FA6C" w:rsidR="00347D3E" w:rsidRPr="00B24AA3" w:rsidRDefault="00F924CD" w:rsidP="00B24AA3">
      <w:pPr>
        <w:pStyle w:val="subpara"/>
        <w:numPr>
          <w:ilvl w:val="0"/>
          <w:numId w:val="4"/>
        </w:numPr>
        <w:rPr>
          <w:bCs/>
          <w:szCs w:val="22"/>
          <w:lang w:val="en-GB"/>
        </w:rPr>
      </w:pPr>
      <w:r>
        <w:rPr>
          <w:bCs/>
          <w:szCs w:val="22"/>
          <w:lang w:val="en-GB"/>
        </w:rPr>
        <w:t>I</w:t>
      </w:r>
      <w:r w:rsidR="00F60077" w:rsidRPr="00F60077">
        <w:rPr>
          <w:bCs/>
          <w:szCs w:val="22"/>
          <w:lang w:val="en-GB"/>
        </w:rPr>
        <w:t>ntegration of digital signature content with proposals put forward for exchange set creation and metadata.</w:t>
      </w:r>
      <w:r w:rsidR="00B24AA3">
        <w:rPr>
          <w:bCs/>
          <w:szCs w:val="22"/>
          <w:lang w:val="en-GB"/>
        </w:rPr>
        <w:t xml:space="preserve"> This includes s</w:t>
      </w:r>
      <w:r w:rsidR="00B24AA3">
        <w:rPr>
          <w:bCs/>
          <w:szCs w:val="22"/>
          <w:lang w:val="en-GB"/>
        </w:rPr>
        <w:t>pecification of MRN namespaces for digital signature and hash values</w:t>
      </w:r>
      <w:r w:rsidR="00B24AA3">
        <w:rPr>
          <w:bCs/>
          <w:szCs w:val="22"/>
          <w:lang w:val="en-GB"/>
        </w:rPr>
        <w:t>.</w:t>
      </w:r>
    </w:p>
    <w:p w14:paraId="779A9E8A" w14:textId="673E1016" w:rsidR="00F54EE0" w:rsidRDefault="00F54EE0" w:rsidP="00F60077">
      <w:pPr>
        <w:pStyle w:val="subpara"/>
        <w:numPr>
          <w:ilvl w:val="0"/>
          <w:numId w:val="4"/>
        </w:numPr>
        <w:rPr>
          <w:bCs/>
          <w:szCs w:val="22"/>
          <w:lang w:val="en-GB"/>
        </w:rPr>
      </w:pPr>
      <w:r>
        <w:rPr>
          <w:bCs/>
          <w:szCs w:val="22"/>
          <w:lang w:val="en-GB"/>
        </w:rPr>
        <w:t>An increase of the SA key length to 2048 bits</w:t>
      </w:r>
      <w:r w:rsidR="00857832">
        <w:rPr>
          <w:bCs/>
          <w:szCs w:val="22"/>
          <w:lang w:val="en-GB"/>
        </w:rPr>
        <w:t>.</w:t>
      </w:r>
    </w:p>
    <w:p w14:paraId="749169EE" w14:textId="2869FE7E" w:rsidR="00F60077" w:rsidRPr="00F60077" w:rsidRDefault="00F60077" w:rsidP="00F60077">
      <w:pPr>
        <w:pStyle w:val="subpara"/>
        <w:ind w:left="0" w:firstLine="0"/>
        <w:rPr>
          <w:bCs/>
          <w:szCs w:val="22"/>
          <w:lang w:val="en-GB"/>
        </w:rPr>
      </w:pPr>
    </w:p>
    <w:p w14:paraId="274E8B2D" w14:textId="77777777" w:rsidR="00F60077" w:rsidRPr="00F60077" w:rsidRDefault="00F60077" w:rsidP="00F60077">
      <w:pPr>
        <w:pStyle w:val="subpara"/>
        <w:ind w:left="0" w:firstLine="0"/>
        <w:rPr>
          <w:b/>
          <w:szCs w:val="22"/>
          <w:lang w:val="en-GB"/>
        </w:rPr>
      </w:pPr>
      <w:r w:rsidRPr="00F60077">
        <w:rPr>
          <w:b/>
          <w:szCs w:val="22"/>
          <w:lang w:val="en-GB"/>
        </w:rPr>
        <w:t>Procedural documentation.</w:t>
      </w:r>
    </w:p>
    <w:p w14:paraId="6703EA01" w14:textId="3A8BCF07" w:rsidR="00F60077" w:rsidRDefault="00F60077" w:rsidP="00F60077">
      <w:pPr>
        <w:pStyle w:val="subpara"/>
        <w:ind w:left="0" w:firstLine="0"/>
        <w:rPr>
          <w:bCs/>
          <w:szCs w:val="22"/>
          <w:lang w:val="en-GB"/>
        </w:rPr>
      </w:pPr>
      <w:r w:rsidRPr="00F60077">
        <w:rPr>
          <w:bCs/>
          <w:szCs w:val="22"/>
          <w:lang w:val="en-GB"/>
        </w:rPr>
        <w:t xml:space="preserve">The current IHO data protection scheme under S-63 has been in operation for nearly twenty years. In that time the number of participants has grown dramatically and the IHO secretariat has gained </w:t>
      </w:r>
      <w:r w:rsidR="00A861B4">
        <w:rPr>
          <w:bCs/>
          <w:szCs w:val="22"/>
          <w:lang w:val="en-GB"/>
        </w:rPr>
        <w:t>a lot of</w:t>
      </w:r>
      <w:r w:rsidRPr="00F60077">
        <w:rPr>
          <w:bCs/>
          <w:szCs w:val="22"/>
          <w:lang w:val="en-GB"/>
        </w:rPr>
        <w:t xml:space="preserve"> experience in various aspects of its operation</w:t>
      </w:r>
      <w:r w:rsidR="00A861B4">
        <w:rPr>
          <w:bCs/>
          <w:szCs w:val="22"/>
          <w:lang w:val="en-GB"/>
        </w:rPr>
        <w:t xml:space="preserve"> and how the various elements should be organised.</w:t>
      </w:r>
    </w:p>
    <w:p w14:paraId="209216FD" w14:textId="77777777" w:rsidR="00A861B4" w:rsidRPr="00F60077" w:rsidRDefault="00A861B4" w:rsidP="00F60077">
      <w:pPr>
        <w:pStyle w:val="subpara"/>
        <w:ind w:left="0" w:firstLine="0"/>
        <w:rPr>
          <w:bCs/>
          <w:szCs w:val="22"/>
          <w:lang w:val="en-GB"/>
        </w:rPr>
      </w:pPr>
    </w:p>
    <w:p w14:paraId="3328D718" w14:textId="630FF1B6" w:rsidR="00A861B4" w:rsidRDefault="00F60077" w:rsidP="00F60077">
      <w:pPr>
        <w:pStyle w:val="subpara"/>
        <w:ind w:left="0" w:firstLine="0"/>
        <w:rPr>
          <w:bCs/>
          <w:szCs w:val="22"/>
          <w:lang w:val="en-GB"/>
        </w:rPr>
      </w:pPr>
      <w:r w:rsidRPr="00F60077">
        <w:rPr>
          <w:bCs/>
          <w:szCs w:val="22"/>
          <w:lang w:val="en-GB"/>
        </w:rPr>
        <w:t xml:space="preserve">No governing documentation </w:t>
      </w:r>
      <w:r w:rsidR="00A861B4">
        <w:rPr>
          <w:bCs/>
          <w:szCs w:val="22"/>
          <w:lang w:val="en-GB"/>
        </w:rPr>
        <w:t xml:space="preserve">yet </w:t>
      </w:r>
      <w:r w:rsidRPr="00F60077">
        <w:rPr>
          <w:bCs/>
          <w:szCs w:val="22"/>
          <w:lang w:val="en-GB"/>
        </w:rPr>
        <w:t xml:space="preserve">exists specifying how </w:t>
      </w:r>
      <w:r w:rsidR="00A861B4">
        <w:rPr>
          <w:bCs/>
          <w:szCs w:val="22"/>
          <w:lang w:val="en-GB"/>
        </w:rPr>
        <w:t>the scheme as a whole</w:t>
      </w:r>
      <w:r w:rsidRPr="00F60077">
        <w:rPr>
          <w:bCs/>
          <w:szCs w:val="22"/>
          <w:lang w:val="en-GB"/>
        </w:rPr>
        <w:t xml:space="preserve"> should be operated and the new S-100 Part 15 </w:t>
      </w:r>
      <w:r w:rsidR="00A861B4">
        <w:rPr>
          <w:bCs/>
          <w:szCs w:val="22"/>
          <w:lang w:val="en-GB"/>
        </w:rPr>
        <w:t xml:space="preserve">now </w:t>
      </w:r>
      <w:r w:rsidRPr="00F60077">
        <w:rPr>
          <w:bCs/>
          <w:szCs w:val="22"/>
          <w:lang w:val="en-GB"/>
        </w:rPr>
        <w:t>focuses solely</w:t>
      </w:r>
      <w:r w:rsidR="00A861B4">
        <w:rPr>
          <w:bCs/>
          <w:szCs w:val="22"/>
          <w:lang w:val="en-GB"/>
        </w:rPr>
        <w:t xml:space="preserve"> </w:t>
      </w:r>
      <w:r w:rsidRPr="00F60077">
        <w:rPr>
          <w:bCs/>
          <w:szCs w:val="22"/>
          <w:lang w:val="en-GB"/>
        </w:rPr>
        <w:t xml:space="preserve">on the technical details of its implementation. </w:t>
      </w:r>
      <w:r w:rsidR="00A861B4">
        <w:rPr>
          <w:bCs/>
          <w:szCs w:val="22"/>
          <w:lang w:val="en-GB"/>
        </w:rPr>
        <w:t>An additional challenge during the implementation phase of S-100 will be the maintenance of the existing S-57/S-63 based data protection scheme alongside the rollout of the S-100 elements of the scheme.</w:t>
      </w:r>
      <w:r w:rsidR="0046570D">
        <w:rPr>
          <w:bCs/>
          <w:szCs w:val="22"/>
          <w:lang w:val="en-GB"/>
        </w:rPr>
        <w:t xml:space="preserve"> S-100 Part 15 is similar in its layout to S-63 but several significant differences exist, namely:</w:t>
      </w:r>
    </w:p>
    <w:p w14:paraId="75B8B977" w14:textId="5832756B" w:rsidR="0046570D" w:rsidRDefault="0046570D" w:rsidP="0046570D">
      <w:pPr>
        <w:pStyle w:val="subpara"/>
        <w:numPr>
          <w:ilvl w:val="0"/>
          <w:numId w:val="7"/>
        </w:numPr>
        <w:rPr>
          <w:bCs/>
          <w:szCs w:val="22"/>
          <w:lang w:val="en-GB"/>
        </w:rPr>
      </w:pPr>
      <w:r>
        <w:rPr>
          <w:bCs/>
          <w:szCs w:val="22"/>
          <w:lang w:val="en-GB"/>
        </w:rPr>
        <w:t>Differences in key lengths for some of the algorithms</w:t>
      </w:r>
    </w:p>
    <w:p w14:paraId="22CF789E" w14:textId="528D71B5" w:rsidR="0046570D" w:rsidRDefault="0046570D" w:rsidP="0046570D">
      <w:pPr>
        <w:pStyle w:val="subpara"/>
        <w:numPr>
          <w:ilvl w:val="0"/>
          <w:numId w:val="7"/>
        </w:numPr>
        <w:rPr>
          <w:bCs/>
          <w:szCs w:val="22"/>
          <w:lang w:val="en-GB"/>
        </w:rPr>
      </w:pPr>
      <w:r>
        <w:rPr>
          <w:bCs/>
          <w:szCs w:val="22"/>
          <w:lang w:val="en-GB"/>
        </w:rPr>
        <w:t xml:space="preserve">The introduction </w:t>
      </w:r>
      <w:r w:rsidR="00F54EE0">
        <w:rPr>
          <w:bCs/>
          <w:szCs w:val="22"/>
          <w:lang w:val="en-GB"/>
        </w:rPr>
        <w:t xml:space="preserve">of </w:t>
      </w:r>
      <w:r>
        <w:rPr>
          <w:bCs/>
          <w:szCs w:val="22"/>
          <w:lang w:val="en-GB"/>
        </w:rPr>
        <w:t xml:space="preserve">AES encryption </w:t>
      </w:r>
    </w:p>
    <w:p w14:paraId="131A6F99" w14:textId="03ADCD79" w:rsidR="0046570D" w:rsidRDefault="0046570D" w:rsidP="0046570D">
      <w:pPr>
        <w:pStyle w:val="subpara"/>
        <w:numPr>
          <w:ilvl w:val="0"/>
          <w:numId w:val="7"/>
        </w:numPr>
        <w:rPr>
          <w:bCs/>
          <w:szCs w:val="22"/>
          <w:lang w:val="en-GB"/>
        </w:rPr>
      </w:pPr>
      <w:r>
        <w:rPr>
          <w:bCs/>
          <w:szCs w:val="22"/>
          <w:lang w:val="en-GB"/>
        </w:rPr>
        <w:t>Domain Coordinators</w:t>
      </w:r>
    </w:p>
    <w:p w14:paraId="3DB04FEF" w14:textId="486F0DA6" w:rsidR="0046570D" w:rsidRDefault="0046570D" w:rsidP="0046570D">
      <w:pPr>
        <w:pStyle w:val="subpara"/>
        <w:numPr>
          <w:ilvl w:val="0"/>
          <w:numId w:val="7"/>
        </w:numPr>
        <w:rPr>
          <w:bCs/>
          <w:szCs w:val="22"/>
          <w:lang w:val="en-GB"/>
        </w:rPr>
      </w:pPr>
      <w:r>
        <w:rPr>
          <w:bCs/>
          <w:szCs w:val="22"/>
          <w:lang w:val="en-GB"/>
        </w:rPr>
        <w:t>A clearer separation between data protection and authentication</w:t>
      </w:r>
    </w:p>
    <w:p w14:paraId="5AA91581" w14:textId="79E00F6A" w:rsidR="004F5A06" w:rsidRPr="0046570D" w:rsidRDefault="0046570D" w:rsidP="004F5A06">
      <w:pPr>
        <w:pStyle w:val="subpara"/>
        <w:numPr>
          <w:ilvl w:val="0"/>
          <w:numId w:val="7"/>
        </w:numPr>
        <w:rPr>
          <w:bCs/>
          <w:szCs w:val="22"/>
          <w:lang w:val="en-GB"/>
        </w:rPr>
      </w:pPr>
      <w:r>
        <w:rPr>
          <w:bCs/>
          <w:szCs w:val="22"/>
          <w:lang w:val="en-GB"/>
        </w:rPr>
        <w:t>A focus on the technical details of data protection. Many elements of S-63 have been relocated to other areas of the S-100 parts and</w:t>
      </w:r>
      <w:r w:rsidR="00A655AB">
        <w:rPr>
          <w:bCs/>
          <w:szCs w:val="22"/>
          <w:lang w:val="en-GB"/>
        </w:rPr>
        <w:t xml:space="preserve"> S-98 Annex C</w:t>
      </w:r>
      <w:r>
        <w:rPr>
          <w:bCs/>
          <w:szCs w:val="22"/>
          <w:lang w:val="en-GB"/>
        </w:rPr>
        <w:t>.</w:t>
      </w:r>
    </w:p>
    <w:p w14:paraId="23AAE403" w14:textId="77777777" w:rsidR="004F5A06" w:rsidRPr="00F543C9" w:rsidRDefault="004F5A06" w:rsidP="004F5A06">
      <w:pPr>
        <w:pStyle w:val="Heading2"/>
        <w:rPr>
          <w:szCs w:val="22"/>
        </w:rPr>
      </w:pPr>
      <w:r w:rsidRPr="00F543C9">
        <w:rPr>
          <w:szCs w:val="22"/>
        </w:rPr>
        <w:lastRenderedPageBreak/>
        <w:t>Recommendations</w:t>
      </w:r>
    </w:p>
    <w:p w14:paraId="5894AD44" w14:textId="362050C2" w:rsidR="0046570D" w:rsidRDefault="0046570D" w:rsidP="0046570D">
      <w:pPr>
        <w:pStyle w:val="subpara"/>
        <w:ind w:left="0" w:firstLine="0"/>
        <w:rPr>
          <w:bCs/>
          <w:szCs w:val="22"/>
          <w:lang w:val="en-GB"/>
        </w:rPr>
      </w:pPr>
      <w:r w:rsidRPr="00F60077">
        <w:rPr>
          <w:bCs/>
          <w:szCs w:val="22"/>
          <w:lang w:val="en-GB"/>
        </w:rPr>
        <w:t xml:space="preserve">This covering paper proposes </w:t>
      </w:r>
      <w:r>
        <w:rPr>
          <w:bCs/>
          <w:szCs w:val="22"/>
          <w:lang w:val="en-GB"/>
        </w:rPr>
        <w:t xml:space="preserve">both </w:t>
      </w:r>
      <w:r w:rsidRPr="00F60077">
        <w:rPr>
          <w:bCs/>
          <w:szCs w:val="22"/>
          <w:lang w:val="en-GB"/>
        </w:rPr>
        <w:t xml:space="preserve">the creation of an IHO technical resolution defining the </w:t>
      </w:r>
      <w:r>
        <w:rPr>
          <w:bCs/>
          <w:szCs w:val="22"/>
          <w:lang w:val="en-GB"/>
        </w:rPr>
        <w:t xml:space="preserve">specific </w:t>
      </w:r>
      <w:r w:rsidRPr="00F60077">
        <w:rPr>
          <w:bCs/>
          <w:szCs w:val="22"/>
          <w:lang w:val="en-GB"/>
        </w:rPr>
        <w:t xml:space="preserve">algorithms </w:t>
      </w:r>
      <w:r>
        <w:rPr>
          <w:bCs/>
          <w:szCs w:val="22"/>
          <w:lang w:val="en-GB"/>
        </w:rPr>
        <w:t xml:space="preserve">and key lengths </w:t>
      </w:r>
      <w:r w:rsidRPr="00F60077">
        <w:rPr>
          <w:bCs/>
          <w:szCs w:val="22"/>
          <w:lang w:val="en-GB"/>
        </w:rPr>
        <w:t xml:space="preserve">used within Part 15 </w:t>
      </w:r>
      <w:r w:rsidR="00BB5BC8">
        <w:rPr>
          <w:bCs/>
          <w:szCs w:val="22"/>
          <w:lang w:val="en-GB"/>
        </w:rPr>
        <w:t xml:space="preserve">for transfer of file based S-100 product specifications to S-100 ECDIS under IHO standards, </w:t>
      </w:r>
      <w:r w:rsidRPr="00F60077">
        <w:rPr>
          <w:bCs/>
          <w:szCs w:val="22"/>
          <w:lang w:val="en-GB"/>
        </w:rPr>
        <w:t xml:space="preserve">and also the creation of </w:t>
      </w:r>
      <w:r>
        <w:rPr>
          <w:bCs/>
          <w:szCs w:val="22"/>
          <w:lang w:val="en-GB"/>
        </w:rPr>
        <w:t xml:space="preserve">detailed </w:t>
      </w:r>
      <w:r w:rsidRPr="00F60077">
        <w:rPr>
          <w:bCs/>
          <w:szCs w:val="22"/>
          <w:lang w:val="en-GB"/>
        </w:rPr>
        <w:t xml:space="preserve">procedures for the administration of the IHOs </w:t>
      </w:r>
      <w:r>
        <w:rPr>
          <w:bCs/>
          <w:szCs w:val="22"/>
          <w:lang w:val="en-GB"/>
        </w:rPr>
        <w:t xml:space="preserve">entire </w:t>
      </w:r>
      <w:r w:rsidRPr="00F60077">
        <w:rPr>
          <w:bCs/>
          <w:szCs w:val="22"/>
          <w:lang w:val="en-GB"/>
        </w:rPr>
        <w:t>data protection scheme</w:t>
      </w:r>
      <w:r>
        <w:rPr>
          <w:bCs/>
          <w:szCs w:val="22"/>
          <w:lang w:val="en-GB"/>
        </w:rPr>
        <w:t xml:space="preserve"> and its participants</w:t>
      </w:r>
      <w:r w:rsidR="00FF0BEB">
        <w:rPr>
          <w:bCs/>
          <w:szCs w:val="22"/>
          <w:lang w:val="en-GB"/>
        </w:rPr>
        <w:t xml:space="preserve">. </w:t>
      </w:r>
    </w:p>
    <w:p w14:paraId="5AC7F79F" w14:textId="77777777" w:rsidR="0046570D" w:rsidRDefault="0046570D" w:rsidP="0046570D">
      <w:pPr>
        <w:pStyle w:val="subpara"/>
        <w:ind w:left="0" w:firstLine="0"/>
        <w:rPr>
          <w:bCs/>
          <w:szCs w:val="22"/>
          <w:lang w:val="en-GB"/>
        </w:rPr>
      </w:pPr>
    </w:p>
    <w:p w14:paraId="44737A82" w14:textId="417654C2" w:rsidR="0046570D" w:rsidRPr="00F60077" w:rsidRDefault="0046570D" w:rsidP="0046570D">
      <w:pPr>
        <w:pStyle w:val="subpara"/>
        <w:ind w:left="0" w:firstLine="0"/>
        <w:rPr>
          <w:bCs/>
          <w:szCs w:val="22"/>
          <w:lang w:val="en-GB"/>
        </w:rPr>
      </w:pPr>
      <w:r w:rsidRPr="00F60077">
        <w:rPr>
          <w:bCs/>
          <w:szCs w:val="22"/>
          <w:lang w:val="en-GB"/>
        </w:rPr>
        <w:t>These procedures should cover</w:t>
      </w:r>
      <w:r w:rsidR="00A30543">
        <w:rPr>
          <w:bCs/>
          <w:szCs w:val="22"/>
          <w:lang w:val="en-GB"/>
        </w:rPr>
        <w:t>, for the entirety of the data protection scheme</w:t>
      </w:r>
      <w:r>
        <w:rPr>
          <w:bCs/>
          <w:szCs w:val="22"/>
          <w:lang w:val="en-GB"/>
        </w:rPr>
        <w:t>:</w:t>
      </w:r>
    </w:p>
    <w:p w14:paraId="1D2FAEB6" w14:textId="77777777" w:rsidR="0046570D" w:rsidRDefault="0046570D" w:rsidP="0046570D">
      <w:pPr>
        <w:pStyle w:val="subpara"/>
        <w:numPr>
          <w:ilvl w:val="0"/>
          <w:numId w:val="6"/>
        </w:numPr>
        <w:rPr>
          <w:bCs/>
          <w:szCs w:val="22"/>
          <w:lang w:val="en-GB"/>
        </w:rPr>
      </w:pPr>
      <w:r w:rsidRPr="00F60077">
        <w:rPr>
          <w:bCs/>
          <w:szCs w:val="22"/>
          <w:lang w:val="en-GB"/>
        </w:rPr>
        <w:t>Application processes for prospective members of the scheme</w:t>
      </w:r>
      <w:r>
        <w:rPr>
          <w:bCs/>
          <w:szCs w:val="22"/>
          <w:lang w:val="en-GB"/>
        </w:rPr>
        <w:t>.</w:t>
      </w:r>
    </w:p>
    <w:p w14:paraId="494E3BA8" w14:textId="77777777" w:rsidR="0046570D" w:rsidRPr="00F60077" w:rsidRDefault="0046570D" w:rsidP="0046570D">
      <w:pPr>
        <w:pStyle w:val="subpara"/>
        <w:numPr>
          <w:ilvl w:val="0"/>
          <w:numId w:val="6"/>
        </w:numPr>
        <w:rPr>
          <w:bCs/>
          <w:szCs w:val="22"/>
          <w:lang w:val="en-GB"/>
        </w:rPr>
      </w:pPr>
      <w:r w:rsidRPr="0046570D">
        <w:rPr>
          <w:bCs/>
          <w:szCs w:val="22"/>
          <w:lang w:val="en-GB"/>
        </w:rPr>
        <w:t xml:space="preserve">Responsibilities of the scheme participants and </w:t>
      </w:r>
      <w:r>
        <w:rPr>
          <w:bCs/>
          <w:szCs w:val="22"/>
          <w:lang w:val="en-GB"/>
        </w:rPr>
        <w:t>s</w:t>
      </w:r>
      <w:r w:rsidRPr="00F60077">
        <w:rPr>
          <w:bCs/>
          <w:szCs w:val="22"/>
          <w:lang w:val="en-GB"/>
        </w:rPr>
        <w:t>pecification of the roles each participant is able to be assigned to</w:t>
      </w:r>
      <w:r w:rsidRPr="0046570D">
        <w:rPr>
          <w:bCs/>
          <w:szCs w:val="22"/>
          <w:lang w:val="en-GB"/>
        </w:rPr>
        <w:t>.</w:t>
      </w:r>
    </w:p>
    <w:p w14:paraId="59537711" w14:textId="13CB3600" w:rsidR="0046570D" w:rsidRPr="00F60077" w:rsidRDefault="0046570D" w:rsidP="0046570D">
      <w:pPr>
        <w:pStyle w:val="subpara"/>
        <w:numPr>
          <w:ilvl w:val="0"/>
          <w:numId w:val="6"/>
        </w:numPr>
        <w:rPr>
          <w:bCs/>
          <w:szCs w:val="22"/>
          <w:lang w:val="en-GB"/>
        </w:rPr>
      </w:pPr>
      <w:r w:rsidRPr="00F60077">
        <w:rPr>
          <w:bCs/>
          <w:szCs w:val="22"/>
          <w:lang w:val="en-GB"/>
        </w:rPr>
        <w:t xml:space="preserve">How </w:t>
      </w:r>
      <w:r w:rsidR="00A30543">
        <w:rPr>
          <w:bCs/>
          <w:szCs w:val="22"/>
          <w:lang w:val="en-GB"/>
        </w:rPr>
        <w:t xml:space="preserve">participants’ </w:t>
      </w:r>
      <w:r w:rsidRPr="00F60077">
        <w:rPr>
          <w:bCs/>
          <w:szCs w:val="22"/>
          <w:lang w:val="en-GB"/>
        </w:rPr>
        <w:t xml:space="preserve">roles, users, organisations and domains are embedded in the X-509 fields </w:t>
      </w:r>
      <w:r w:rsidR="00A30543">
        <w:rPr>
          <w:bCs/>
          <w:szCs w:val="22"/>
          <w:lang w:val="en-GB"/>
        </w:rPr>
        <w:t>used by S-100 Part 15.</w:t>
      </w:r>
    </w:p>
    <w:p w14:paraId="720BBB9D" w14:textId="77777777" w:rsidR="0046570D" w:rsidRPr="00F60077" w:rsidRDefault="0046570D" w:rsidP="0046570D">
      <w:pPr>
        <w:pStyle w:val="subpara"/>
        <w:numPr>
          <w:ilvl w:val="0"/>
          <w:numId w:val="6"/>
        </w:numPr>
        <w:rPr>
          <w:bCs/>
          <w:szCs w:val="22"/>
          <w:lang w:val="en-GB"/>
        </w:rPr>
      </w:pPr>
      <w:r>
        <w:rPr>
          <w:bCs/>
          <w:szCs w:val="22"/>
          <w:lang w:val="en-GB"/>
        </w:rPr>
        <w:t>Details of the day to day initiation and o</w:t>
      </w:r>
      <w:r w:rsidRPr="00F60077">
        <w:rPr>
          <w:bCs/>
          <w:szCs w:val="22"/>
          <w:lang w:val="en-GB"/>
        </w:rPr>
        <w:t>peration of the scheme</w:t>
      </w:r>
      <w:r>
        <w:rPr>
          <w:bCs/>
          <w:szCs w:val="22"/>
          <w:lang w:val="en-GB"/>
        </w:rPr>
        <w:t xml:space="preserve"> for both S-57/S-63 and S-100 elements.</w:t>
      </w:r>
    </w:p>
    <w:p w14:paraId="47295A37" w14:textId="77777777" w:rsidR="0046570D" w:rsidRPr="00F60077" w:rsidRDefault="0046570D" w:rsidP="0046570D">
      <w:pPr>
        <w:pStyle w:val="subpara"/>
        <w:numPr>
          <w:ilvl w:val="0"/>
          <w:numId w:val="6"/>
        </w:numPr>
        <w:rPr>
          <w:bCs/>
          <w:szCs w:val="22"/>
          <w:lang w:val="en-GB"/>
        </w:rPr>
      </w:pPr>
      <w:r w:rsidRPr="00F60077">
        <w:rPr>
          <w:bCs/>
          <w:szCs w:val="22"/>
          <w:lang w:val="en-GB"/>
        </w:rPr>
        <w:t>The role of domain coordinators and which roles are delegated to them</w:t>
      </w:r>
      <w:r>
        <w:rPr>
          <w:bCs/>
          <w:szCs w:val="22"/>
          <w:lang w:val="en-GB"/>
        </w:rPr>
        <w:t>.</w:t>
      </w:r>
    </w:p>
    <w:p w14:paraId="1876C447" w14:textId="77777777" w:rsidR="0046570D" w:rsidRPr="00F60077" w:rsidRDefault="0046570D" w:rsidP="0046570D">
      <w:pPr>
        <w:pStyle w:val="subpara"/>
        <w:numPr>
          <w:ilvl w:val="0"/>
          <w:numId w:val="6"/>
        </w:numPr>
        <w:rPr>
          <w:bCs/>
          <w:szCs w:val="22"/>
          <w:lang w:val="en-GB"/>
        </w:rPr>
      </w:pPr>
      <w:r w:rsidRPr="00F60077">
        <w:rPr>
          <w:bCs/>
          <w:szCs w:val="22"/>
          <w:lang w:val="en-GB"/>
        </w:rPr>
        <w:t>Maintenance of record by data servers.</w:t>
      </w:r>
    </w:p>
    <w:p w14:paraId="1F549889" w14:textId="22B0A416" w:rsidR="0046570D" w:rsidRPr="00F60077" w:rsidRDefault="0046570D" w:rsidP="0046570D">
      <w:pPr>
        <w:pStyle w:val="subpara"/>
        <w:numPr>
          <w:ilvl w:val="0"/>
          <w:numId w:val="6"/>
        </w:numPr>
        <w:rPr>
          <w:bCs/>
          <w:szCs w:val="22"/>
          <w:lang w:val="en-GB"/>
        </w:rPr>
      </w:pPr>
      <w:r w:rsidRPr="00F60077">
        <w:rPr>
          <w:bCs/>
          <w:szCs w:val="22"/>
          <w:lang w:val="en-GB"/>
        </w:rPr>
        <w:t>Distribution of M_ID/M_KEY material</w:t>
      </w:r>
    </w:p>
    <w:p w14:paraId="2BD769C9" w14:textId="77777777" w:rsidR="004F5A06" w:rsidRPr="00F543C9" w:rsidRDefault="004F5A06" w:rsidP="004F5A06">
      <w:pPr>
        <w:pStyle w:val="Heading2"/>
        <w:rPr>
          <w:szCs w:val="22"/>
        </w:rPr>
      </w:pPr>
      <w:r w:rsidRPr="00F543C9">
        <w:rPr>
          <w:szCs w:val="22"/>
        </w:rPr>
        <w:t>Justifica</w:t>
      </w:r>
      <w:r w:rsidRPr="00F543C9">
        <w:rPr>
          <w:b w:val="0"/>
          <w:szCs w:val="22"/>
        </w:rPr>
        <w:t>t</w:t>
      </w:r>
      <w:r w:rsidRPr="00F543C9">
        <w:rPr>
          <w:szCs w:val="22"/>
        </w:rPr>
        <w:t>ion and Impacts</w:t>
      </w:r>
    </w:p>
    <w:p w14:paraId="406059E0" w14:textId="76A75754" w:rsidR="004F5A06" w:rsidRDefault="00FF0BEB" w:rsidP="002D343F">
      <w:pPr>
        <w:pStyle w:val="subpara"/>
        <w:ind w:left="0" w:firstLine="0"/>
        <w:rPr>
          <w:szCs w:val="22"/>
        </w:rPr>
      </w:pPr>
      <w:r>
        <w:rPr>
          <w:szCs w:val="22"/>
        </w:rPr>
        <w:t xml:space="preserve">The introduction of the S-100 Part 15 elements of the data protection scheme are arguably more complex to effect than the initial introduction and evolution of the S-63-based scheme. The development of a detailed plan and procedures by scheme stakeholders will efficiently define how the scheme will operate as S-100 ECDIS is developed and the initial S-100 product specifications go live. </w:t>
      </w:r>
    </w:p>
    <w:p w14:paraId="0CCE17DF" w14:textId="6B41608D" w:rsidR="00FF0BEB" w:rsidRPr="00F543C9" w:rsidRDefault="00FF0BEB" w:rsidP="002D343F">
      <w:pPr>
        <w:pStyle w:val="subpara"/>
        <w:ind w:left="0" w:firstLine="0"/>
        <w:rPr>
          <w:szCs w:val="22"/>
        </w:rPr>
      </w:pPr>
      <w:r>
        <w:rPr>
          <w:szCs w:val="22"/>
        </w:rPr>
        <w:t xml:space="preserve">The revisions to Part 15 will clarify how various elements operate and data is exchanged throughout the IHO ecosystem. </w:t>
      </w:r>
    </w:p>
    <w:p w14:paraId="4B64B845" w14:textId="2274006A" w:rsidR="004F5A06" w:rsidRPr="00F543C9" w:rsidRDefault="004F5A06" w:rsidP="004F5A06">
      <w:pPr>
        <w:pStyle w:val="Heading2"/>
        <w:rPr>
          <w:szCs w:val="22"/>
        </w:rPr>
      </w:pPr>
      <w:r w:rsidRPr="00F543C9">
        <w:rPr>
          <w:szCs w:val="22"/>
        </w:rPr>
        <w:t xml:space="preserve">Action Required of </w:t>
      </w:r>
      <w:r w:rsidR="00F60077">
        <w:rPr>
          <w:szCs w:val="22"/>
        </w:rPr>
        <w:t>S-100WG</w:t>
      </w:r>
    </w:p>
    <w:p w14:paraId="4F8CF7BC" w14:textId="77777777" w:rsidR="002D343F" w:rsidRDefault="002D343F" w:rsidP="002D343F">
      <w:pPr>
        <w:pStyle w:val="subpara"/>
        <w:ind w:left="0" w:firstLine="0"/>
        <w:rPr>
          <w:bCs/>
          <w:szCs w:val="22"/>
          <w:lang w:val="en-GB"/>
        </w:rPr>
      </w:pPr>
    </w:p>
    <w:p w14:paraId="5E4DE474" w14:textId="22631E45" w:rsidR="00F60077" w:rsidRPr="00F60077" w:rsidRDefault="00F60077" w:rsidP="002D343F">
      <w:pPr>
        <w:pStyle w:val="subpara"/>
        <w:ind w:left="0" w:firstLine="0"/>
        <w:rPr>
          <w:bCs/>
          <w:szCs w:val="22"/>
          <w:lang w:val="en-GB"/>
        </w:rPr>
      </w:pPr>
      <w:r w:rsidRPr="00F60077">
        <w:rPr>
          <w:bCs/>
          <w:szCs w:val="22"/>
          <w:lang w:val="en-GB"/>
        </w:rPr>
        <w:t>The S-100 working group is asked to:</w:t>
      </w:r>
    </w:p>
    <w:p w14:paraId="6D420FC1" w14:textId="0596F787" w:rsidR="00F60077" w:rsidRDefault="00F60077" w:rsidP="00F60077">
      <w:pPr>
        <w:pStyle w:val="subpara"/>
        <w:numPr>
          <w:ilvl w:val="0"/>
          <w:numId w:val="3"/>
        </w:numPr>
        <w:rPr>
          <w:bCs/>
          <w:szCs w:val="22"/>
          <w:lang w:val="en-GB"/>
        </w:rPr>
      </w:pPr>
      <w:r w:rsidRPr="00F60077">
        <w:rPr>
          <w:bCs/>
          <w:szCs w:val="22"/>
          <w:lang w:val="en-GB"/>
        </w:rPr>
        <w:t>Review and comment on the content of the revised Part 15 of S-100</w:t>
      </w:r>
    </w:p>
    <w:p w14:paraId="0BA29EBC" w14:textId="2A1673CD" w:rsidR="00C407B8" w:rsidRPr="00F60077" w:rsidRDefault="00C407B8" w:rsidP="00F60077">
      <w:pPr>
        <w:pStyle w:val="subpara"/>
        <w:numPr>
          <w:ilvl w:val="0"/>
          <w:numId w:val="3"/>
        </w:numPr>
        <w:rPr>
          <w:bCs/>
          <w:szCs w:val="22"/>
          <w:lang w:val="en-GB"/>
        </w:rPr>
      </w:pPr>
      <w:r>
        <w:rPr>
          <w:bCs/>
          <w:szCs w:val="22"/>
          <w:lang w:val="en-GB"/>
        </w:rPr>
        <w:t xml:space="preserve">Approve the </w:t>
      </w:r>
      <w:r w:rsidR="00A30543">
        <w:rPr>
          <w:bCs/>
          <w:szCs w:val="22"/>
          <w:lang w:val="en-GB"/>
        </w:rPr>
        <w:t xml:space="preserve">enhancements to the </w:t>
      </w:r>
      <w:r>
        <w:rPr>
          <w:bCs/>
          <w:szCs w:val="22"/>
          <w:lang w:val="en-GB"/>
        </w:rPr>
        <w:t>schemas representing the XML content of Part 15</w:t>
      </w:r>
    </w:p>
    <w:p w14:paraId="1A63423F" w14:textId="77777777" w:rsidR="00F60077" w:rsidRPr="00F60077" w:rsidRDefault="00F60077" w:rsidP="00F60077">
      <w:pPr>
        <w:pStyle w:val="subpara"/>
        <w:numPr>
          <w:ilvl w:val="0"/>
          <w:numId w:val="3"/>
        </w:numPr>
        <w:rPr>
          <w:bCs/>
          <w:szCs w:val="22"/>
          <w:lang w:val="en-GB"/>
        </w:rPr>
      </w:pPr>
      <w:r w:rsidRPr="00F60077">
        <w:rPr>
          <w:bCs/>
          <w:szCs w:val="22"/>
          <w:lang w:val="en-GB"/>
        </w:rPr>
        <w:t>Approve the creation of an IHO Technical Resolution detailing the algorithms used by S-100 for data protection and authentication</w:t>
      </w:r>
    </w:p>
    <w:p w14:paraId="1A8D36E4" w14:textId="534B170F" w:rsidR="00F60077" w:rsidRPr="00F60077" w:rsidRDefault="00F60077" w:rsidP="00F60077">
      <w:pPr>
        <w:pStyle w:val="subpara"/>
        <w:numPr>
          <w:ilvl w:val="0"/>
          <w:numId w:val="3"/>
        </w:numPr>
        <w:rPr>
          <w:bCs/>
          <w:szCs w:val="22"/>
          <w:lang w:val="en-GB"/>
        </w:rPr>
      </w:pPr>
      <w:r w:rsidRPr="00F60077">
        <w:rPr>
          <w:bCs/>
          <w:szCs w:val="22"/>
          <w:lang w:val="en-GB"/>
        </w:rPr>
        <w:t xml:space="preserve">Approve the creation of procedural documentation by IHO Secretariat, member states and industry participants covering the details of the </w:t>
      </w:r>
      <w:r w:rsidR="00FF0BEB" w:rsidRPr="00F60077">
        <w:rPr>
          <w:bCs/>
          <w:szCs w:val="22"/>
          <w:lang w:val="en-GB"/>
        </w:rPr>
        <w:t>implementation</w:t>
      </w:r>
      <w:r w:rsidRPr="00F60077">
        <w:rPr>
          <w:bCs/>
          <w:szCs w:val="22"/>
          <w:lang w:val="en-GB"/>
        </w:rPr>
        <w:t xml:space="preserve"> of the IHO security scheme under S-100 using the proposed content in this paper as a guide.</w:t>
      </w:r>
    </w:p>
    <w:p w14:paraId="58D9404C" w14:textId="77777777" w:rsidR="00F60077" w:rsidRPr="00F60077" w:rsidRDefault="00F60077" w:rsidP="00F60077">
      <w:pPr>
        <w:pStyle w:val="subpara"/>
        <w:rPr>
          <w:b/>
          <w:szCs w:val="22"/>
          <w:lang w:val="en-GB"/>
        </w:rPr>
      </w:pPr>
    </w:p>
    <w:p w14:paraId="2226E216" w14:textId="77777777" w:rsidR="00F60077" w:rsidRPr="00F60077" w:rsidRDefault="00F60077" w:rsidP="00F60077">
      <w:pPr>
        <w:pStyle w:val="subpara"/>
        <w:rPr>
          <w:b/>
          <w:szCs w:val="22"/>
          <w:lang w:val="en-GB"/>
        </w:rPr>
      </w:pPr>
    </w:p>
    <w:p w14:paraId="0489DDA4" w14:textId="77777777" w:rsidR="00F60077" w:rsidRPr="00073FEC" w:rsidRDefault="00F60077" w:rsidP="00F60077">
      <w:pPr>
        <w:pStyle w:val="subpara"/>
        <w:ind w:left="0" w:firstLine="0"/>
        <w:jc w:val="left"/>
        <w:rPr>
          <w:b/>
          <w:szCs w:val="22"/>
        </w:rPr>
      </w:pPr>
    </w:p>
    <w:sectPr w:rsidR="00F60077" w:rsidRPr="00073FEC" w:rsidSect="00A6197D">
      <w:headerReference w:type="even" r:id="rId7"/>
      <w:headerReference w:type="default" r:id="rId8"/>
      <w:footerReference w:type="even" r:id="rId9"/>
      <w:footerReference w:type="default" r:id="rId10"/>
      <w:headerReference w:type="first" r:id="rId11"/>
      <w:footerReference w:type="first" r:id="rId12"/>
      <w:pgSz w:w="11906" w:h="16838" w:code="9"/>
      <w:pgMar w:top="720" w:right="1411" w:bottom="720"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2103D" w14:textId="77777777" w:rsidR="003E306E" w:rsidRDefault="003E306E">
      <w:r>
        <w:separator/>
      </w:r>
    </w:p>
  </w:endnote>
  <w:endnote w:type="continuationSeparator" w:id="0">
    <w:p w14:paraId="209370BA" w14:textId="77777777" w:rsidR="003E306E" w:rsidRDefault="003E3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altName w:val="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00D61" w14:textId="77777777" w:rsidR="006811C3" w:rsidRDefault="006811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F82D5" w14:textId="77777777" w:rsidR="00B468C3" w:rsidRDefault="00B468C3" w:rsidP="00B468C3">
    <w:pPr>
      <w:pStyle w:val="Footer"/>
      <w:rPr>
        <w:rFonts w:ascii="Arial" w:hAnsi="Arial" w:cs="Arial"/>
        <w:sz w:val="16"/>
        <w:szCs w:val="16"/>
      </w:rPr>
    </w:pPr>
    <w:r>
      <w:rPr>
        <w:rFonts w:ascii="Arial" w:hAnsi="Arial" w:cs="Arial"/>
        <w:sz w:val="16"/>
        <w:szCs w:val="16"/>
      </w:rPr>
      <w:t>Note: FOR REASONS OF ECONOMY, DELEGATES ARE KINDLY REQUESTED TO BRING THEIR OWN COPIES OF THE DOCUMENTS TO THE MEETING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B6045" w14:textId="77777777" w:rsidR="006811C3" w:rsidRDefault="006811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6F427" w14:textId="77777777" w:rsidR="003E306E" w:rsidRDefault="003E306E">
      <w:r>
        <w:separator/>
      </w:r>
    </w:p>
  </w:footnote>
  <w:footnote w:type="continuationSeparator" w:id="0">
    <w:p w14:paraId="0D4CCB38" w14:textId="77777777" w:rsidR="003E306E" w:rsidRDefault="003E30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310D5" w14:textId="77777777" w:rsidR="006811C3" w:rsidRDefault="006811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87C52" w14:textId="77777777" w:rsidR="006811C3" w:rsidRDefault="006811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FD4F0" w14:textId="77777777" w:rsidR="006811C3" w:rsidRDefault="006811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8DD"/>
    <w:multiLevelType w:val="hybridMultilevel"/>
    <w:tmpl w:val="6EA63E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4731CD"/>
    <w:multiLevelType w:val="multilevel"/>
    <w:tmpl w:val="9BB01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F2D2E"/>
    <w:multiLevelType w:val="multilevel"/>
    <w:tmpl w:val="0678A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F210B2"/>
    <w:multiLevelType w:val="hybridMultilevel"/>
    <w:tmpl w:val="4A9A4D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298699A"/>
    <w:multiLevelType w:val="multilevel"/>
    <w:tmpl w:val="0F5A3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502FFA"/>
    <w:multiLevelType w:val="hybridMultilevel"/>
    <w:tmpl w:val="881033A0"/>
    <w:lvl w:ilvl="0" w:tplc="0809000F">
      <w:start w:val="1"/>
      <w:numFmt w:val="decimal"/>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6" w15:restartNumberingAfterBreak="0">
    <w:nsid w:val="79DF1FD5"/>
    <w:multiLevelType w:val="hybridMultilevel"/>
    <w:tmpl w:val="41F6E8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A06"/>
    <w:rsid w:val="00073FEC"/>
    <w:rsid w:val="000963E9"/>
    <w:rsid w:val="00123983"/>
    <w:rsid w:val="001A5211"/>
    <w:rsid w:val="001B6177"/>
    <w:rsid w:val="00220711"/>
    <w:rsid w:val="00220E0D"/>
    <w:rsid w:val="0023741C"/>
    <w:rsid w:val="002B6973"/>
    <w:rsid w:val="002D343F"/>
    <w:rsid w:val="003216B3"/>
    <w:rsid w:val="00330437"/>
    <w:rsid w:val="00333198"/>
    <w:rsid w:val="00347D3E"/>
    <w:rsid w:val="003636D9"/>
    <w:rsid w:val="003C4771"/>
    <w:rsid w:val="003E306E"/>
    <w:rsid w:val="00416EF0"/>
    <w:rsid w:val="0042386B"/>
    <w:rsid w:val="00435359"/>
    <w:rsid w:val="00442030"/>
    <w:rsid w:val="0046570D"/>
    <w:rsid w:val="00471D90"/>
    <w:rsid w:val="0048675E"/>
    <w:rsid w:val="004F5A06"/>
    <w:rsid w:val="00515C69"/>
    <w:rsid w:val="00527BCC"/>
    <w:rsid w:val="005646C2"/>
    <w:rsid w:val="00642AC2"/>
    <w:rsid w:val="006811C3"/>
    <w:rsid w:val="006D42A4"/>
    <w:rsid w:val="006F11C2"/>
    <w:rsid w:val="006F11DA"/>
    <w:rsid w:val="00792BA6"/>
    <w:rsid w:val="007C4ED6"/>
    <w:rsid w:val="007D2093"/>
    <w:rsid w:val="0082458F"/>
    <w:rsid w:val="00833A87"/>
    <w:rsid w:val="00857832"/>
    <w:rsid w:val="00874192"/>
    <w:rsid w:val="008809C4"/>
    <w:rsid w:val="00886FAD"/>
    <w:rsid w:val="00892E93"/>
    <w:rsid w:val="008A4A31"/>
    <w:rsid w:val="00982B50"/>
    <w:rsid w:val="00996B95"/>
    <w:rsid w:val="009F7287"/>
    <w:rsid w:val="00A265E1"/>
    <w:rsid w:val="00A30543"/>
    <w:rsid w:val="00A61199"/>
    <w:rsid w:val="00A6197D"/>
    <w:rsid w:val="00A63F34"/>
    <w:rsid w:val="00A655AB"/>
    <w:rsid w:val="00A82CB8"/>
    <w:rsid w:val="00A861B4"/>
    <w:rsid w:val="00AB27CE"/>
    <w:rsid w:val="00B20BD0"/>
    <w:rsid w:val="00B24AA3"/>
    <w:rsid w:val="00B468C3"/>
    <w:rsid w:val="00BB5BC8"/>
    <w:rsid w:val="00C04966"/>
    <w:rsid w:val="00C407B8"/>
    <w:rsid w:val="00C647A8"/>
    <w:rsid w:val="00CD5E71"/>
    <w:rsid w:val="00CE20F2"/>
    <w:rsid w:val="00D00767"/>
    <w:rsid w:val="00D33030"/>
    <w:rsid w:val="00D34698"/>
    <w:rsid w:val="00D83733"/>
    <w:rsid w:val="00EB060D"/>
    <w:rsid w:val="00EE7469"/>
    <w:rsid w:val="00F543C9"/>
    <w:rsid w:val="00F54EE0"/>
    <w:rsid w:val="00F57D6E"/>
    <w:rsid w:val="00F60077"/>
    <w:rsid w:val="00F924CD"/>
    <w:rsid w:val="00FA4B63"/>
    <w:rsid w:val="00FC0FEC"/>
    <w:rsid w:val="00FF0B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5B2AD2"/>
  <w15:docId w15:val="{5905FEEA-9143-47D4-B4DE-1C73D0E1D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5A06"/>
    <w:rPr>
      <w:sz w:val="24"/>
      <w:szCs w:val="24"/>
      <w:lang w:val="en-US" w:eastAsia="en-US"/>
    </w:rPr>
  </w:style>
  <w:style w:type="paragraph" w:styleId="Heading2">
    <w:name w:val="heading 2"/>
    <w:basedOn w:val="Normal"/>
    <w:next w:val="Normal"/>
    <w:qFormat/>
    <w:rsid w:val="004F5A06"/>
    <w:pPr>
      <w:keepNext/>
      <w:spacing w:before="240"/>
      <w:outlineLvl w:val="1"/>
    </w:pPr>
    <w:rPr>
      <w:rFonts w:ascii="Arial Narrow" w:hAnsi="Arial Narrow"/>
      <w:b/>
      <w:sz w:val="22"/>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F5A06"/>
    <w:pPr>
      <w:tabs>
        <w:tab w:val="center" w:pos="4320"/>
        <w:tab w:val="right" w:pos="8640"/>
      </w:tabs>
    </w:pPr>
  </w:style>
  <w:style w:type="paragraph" w:styleId="Footer">
    <w:name w:val="footer"/>
    <w:basedOn w:val="Normal"/>
    <w:link w:val="FooterChar"/>
    <w:uiPriority w:val="99"/>
    <w:rsid w:val="004F5A06"/>
    <w:pPr>
      <w:tabs>
        <w:tab w:val="center" w:pos="4320"/>
        <w:tab w:val="right" w:pos="8640"/>
      </w:tabs>
    </w:pPr>
  </w:style>
  <w:style w:type="character" w:styleId="PageNumber">
    <w:name w:val="page number"/>
    <w:basedOn w:val="DefaultParagraphFont"/>
    <w:rsid w:val="004F5A06"/>
  </w:style>
  <w:style w:type="paragraph" w:customStyle="1" w:styleId="subpara">
    <w:name w:val="sub para"/>
    <w:basedOn w:val="Normal"/>
    <w:rsid w:val="004F5A06"/>
    <w:pPr>
      <w:spacing w:before="60" w:after="60"/>
      <w:ind w:left="1134" w:right="794" w:hanging="567"/>
      <w:jc w:val="both"/>
    </w:pPr>
    <w:rPr>
      <w:rFonts w:ascii="Arial Narrow" w:hAnsi="Arial Narrow"/>
      <w:sz w:val="22"/>
      <w:szCs w:val="20"/>
      <w:lang w:val="en-AU"/>
    </w:rPr>
  </w:style>
  <w:style w:type="paragraph" w:styleId="BalloonText">
    <w:name w:val="Balloon Text"/>
    <w:basedOn w:val="Normal"/>
    <w:semiHidden/>
    <w:rsid w:val="00AB27CE"/>
    <w:rPr>
      <w:rFonts w:ascii="Tahoma" w:hAnsi="Tahoma" w:cs="Tahoma"/>
      <w:sz w:val="16"/>
      <w:szCs w:val="16"/>
    </w:rPr>
  </w:style>
  <w:style w:type="character" w:customStyle="1" w:styleId="FooterChar">
    <w:name w:val="Footer Char"/>
    <w:link w:val="Footer"/>
    <w:uiPriority w:val="99"/>
    <w:rsid w:val="00B468C3"/>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80247">
      <w:bodyDiv w:val="1"/>
      <w:marLeft w:val="0"/>
      <w:marRight w:val="0"/>
      <w:marTop w:val="0"/>
      <w:marBottom w:val="0"/>
      <w:divBdr>
        <w:top w:val="none" w:sz="0" w:space="0" w:color="auto"/>
        <w:left w:val="none" w:sz="0" w:space="0" w:color="auto"/>
        <w:bottom w:val="none" w:sz="0" w:space="0" w:color="auto"/>
        <w:right w:val="none" w:sz="0" w:space="0" w:color="auto"/>
      </w:divBdr>
    </w:div>
    <w:div w:id="821969384">
      <w:bodyDiv w:val="1"/>
      <w:marLeft w:val="0"/>
      <w:marRight w:val="0"/>
      <w:marTop w:val="0"/>
      <w:marBottom w:val="0"/>
      <w:divBdr>
        <w:top w:val="none" w:sz="0" w:space="0" w:color="auto"/>
        <w:left w:val="none" w:sz="0" w:space="0" w:color="auto"/>
        <w:bottom w:val="none" w:sz="0" w:space="0" w:color="auto"/>
        <w:right w:val="none" w:sz="0" w:space="0" w:color="auto"/>
      </w:divBdr>
    </w:div>
    <w:div w:id="158147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729</Words>
  <Characters>4158</Characters>
  <Application>Microsoft Office Word</Application>
  <DocSecurity>0</DocSecurity>
  <Lines>34</Lines>
  <Paragraphs>9</Paragraphs>
  <ScaleCrop>false</ScaleCrop>
  <HeadingPairs>
    <vt:vector size="6" baseType="variant">
      <vt:variant>
        <vt:lpstr>Title</vt:lpstr>
      </vt:variant>
      <vt:variant>
        <vt:i4>1</vt:i4>
      </vt:variant>
      <vt:variant>
        <vt:lpstr>Titel</vt:lpstr>
      </vt:variant>
      <vt:variant>
        <vt:i4>1</vt:i4>
      </vt:variant>
      <vt:variant>
        <vt:lpstr>Titre</vt:lpstr>
      </vt:variant>
      <vt:variant>
        <vt:i4>1</vt:i4>
      </vt:variant>
    </vt:vector>
  </HeadingPairs>
  <TitlesOfParts>
    <vt:vector size="3" baseType="lpstr">
      <vt:lpstr>Instructions for the Submission of Reports and Proposals for Consideration by HSSC</vt:lpstr>
      <vt:lpstr>Instructions for the Submission of Reports and Proposals for Consideration by HSSC</vt:lpstr>
      <vt:lpstr>Instructions for the Submission of Reports and Proposals for Consideration by HSSC</vt:lpstr>
    </vt:vector>
  </TitlesOfParts>
  <Manager>Robert WARD</Manager>
  <Company>IHB</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the Submission of Reports and Proposals for Consideration by HSSC</dc:title>
  <dc:creator>Michel HUET</dc:creator>
  <cp:lastModifiedBy>jon pritchard</cp:lastModifiedBy>
  <cp:revision>11</cp:revision>
  <cp:lastPrinted>2007-11-26T08:44:00Z</cp:lastPrinted>
  <dcterms:created xsi:type="dcterms:W3CDTF">2021-12-04T09:34:00Z</dcterms:created>
  <dcterms:modified xsi:type="dcterms:W3CDTF">2021-12-04T11:16:00Z</dcterms:modified>
</cp:coreProperties>
</file>