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2C60" w14:textId="77777777" w:rsidR="004F5A06" w:rsidRPr="00F543C9" w:rsidRDefault="004F5A06" w:rsidP="004F5A06">
      <w:pPr>
        <w:jc w:val="right"/>
        <w:rPr>
          <w:rFonts w:ascii="Arial Narrow" w:hAnsi="Arial Narrow"/>
          <w:b/>
          <w:sz w:val="22"/>
          <w:szCs w:val="22"/>
          <w:lang w:val="fr-FR"/>
        </w:rPr>
      </w:pPr>
    </w:p>
    <w:p w14:paraId="230036C5" w14:textId="0A3F926E" w:rsidR="004F5A06" w:rsidRPr="00892E93" w:rsidRDefault="00C04966" w:rsidP="004F5A06">
      <w:pPr>
        <w:jc w:val="right"/>
        <w:rPr>
          <w:rFonts w:ascii="Arial Narrow" w:hAnsi="Arial Narrow"/>
          <w:b/>
          <w:sz w:val="22"/>
          <w:szCs w:val="22"/>
        </w:rPr>
      </w:pPr>
      <w:r>
        <w:rPr>
          <w:rFonts w:ascii="Arial Narrow" w:hAnsi="Arial Narrow"/>
          <w:b/>
          <w:sz w:val="22"/>
          <w:szCs w:val="22"/>
          <w:bdr w:val="single" w:sz="4" w:space="0" w:color="auto"/>
        </w:rPr>
        <w:t>S100WGXX</w:t>
      </w:r>
      <w:r w:rsidR="00CE20F2">
        <w:rPr>
          <w:rFonts w:ascii="Arial Narrow" w:hAnsi="Arial Narrow"/>
          <w:b/>
          <w:sz w:val="22"/>
          <w:szCs w:val="22"/>
          <w:bdr w:val="single" w:sz="4" w:space="0" w:color="auto"/>
        </w:rPr>
        <w:t xml:space="preserve"> </w:t>
      </w:r>
      <w:r w:rsidR="004F5A06" w:rsidRPr="00892E93">
        <w:rPr>
          <w:rFonts w:ascii="Arial Narrow" w:hAnsi="Arial Narrow"/>
          <w:b/>
          <w:sz w:val="22"/>
          <w:szCs w:val="22"/>
          <w:bdr w:val="single" w:sz="4" w:space="0" w:color="auto"/>
        </w:rPr>
        <w:t xml:space="preserve"> xx-xx</w:t>
      </w:r>
    </w:p>
    <w:p w14:paraId="5A41D983" w14:textId="0CB677CB" w:rsidR="004F5A06" w:rsidRPr="00F543C9" w:rsidRDefault="004F5A06" w:rsidP="004F5A06">
      <w:pPr>
        <w:pStyle w:val="Heading2"/>
        <w:jc w:val="center"/>
        <w:rPr>
          <w:szCs w:val="22"/>
        </w:rPr>
      </w:pPr>
      <w:r w:rsidRPr="00F543C9">
        <w:rPr>
          <w:szCs w:val="22"/>
        </w:rPr>
        <w:t xml:space="preserve">Paper for Consideration by </w:t>
      </w:r>
      <w:r w:rsidR="005646C2">
        <w:rPr>
          <w:szCs w:val="22"/>
        </w:rPr>
        <w:t>S-100WG</w:t>
      </w:r>
    </w:p>
    <w:p w14:paraId="2B426E67" w14:textId="60E20E3A" w:rsidR="004F5A06" w:rsidRPr="00F543C9" w:rsidRDefault="005646C2" w:rsidP="004F5A06">
      <w:pPr>
        <w:pStyle w:val="Heading2"/>
        <w:jc w:val="center"/>
        <w:rPr>
          <w:szCs w:val="22"/>
        </w:rPr>
      </w:pPr>
      <w:r>
        <w:rPr>
          <w:szCs w:val="22"/>
        </w:rPr>
        <w:t>Revision of</w:t>
      </w:r>
      <w:r w:rsidR="002B6973">
        <w:rPr>
          <w:szCs w:val="22"/>
        </w:rPr>
        <w:t xml:space="preserve"> Part 15</w:t>
      </w:r>
    </w:p>
    <w:p w14:paraId="2E9229E7" w14:textId="77777777"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14:paraId="0FE4BE1B" w14:textId="77777777">
        <w:trPr>
          <w:jc w:val="center"/>
        </w:trPr>
        <w:tc>
          <w:tcPr>
            <w:tcW w:w="2634" w:type="dxa"/>
          </w:tcPr>
          <w:p w14:paraId="385E5D82" w14:textId="77777777"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14:paraId="17360EDC" w14:textId="1AFB1029" w:rsidR="004F5A06" w:rsidRPr="00F543C9" w:rsidRDefault="002B6973" w:rsidP="004F5A06">
            <w:pPr>
              <w:rPr>
                <w:rFonts w:ascii="Arial Narrow" w:hAnsi="Arial Narrow"/>
                <w:sz w:val="22"/>
                <w:szCs w:val="22"/>
                <w:lang w:val="en-AU"/>
              </w:rPr>
            </w:pPr>
            <w:r>
              <w:rPr>
                <w:rFonts w:ascii="Arial Narrow" w:hAnsi="Arial Narrow"/>
                <w:sz w:val="22"/>
                <w:szCs w:val="22"/>
                <w:lang w:val="en-AU"/>
              </w:rPr>
              <w:t>UKHO, IIC</w:t>
            </w:r>
          </w:p>
        </w:tc>
      </w:tr>
      <w:tr w:rsidR="004F5A06" w:rsidRPr="00F543C9" w14:paraId="7AB0E9AB" w14:textId="77777777">
        <w:trPr>
          <w:jc w:val="center"/>
        </w:trPr>
        <w:tc>
          <w:tcPr>
            <w:tcW w:w="2634" w:type="dxa"/>
          </w:tcPr>
          <w:p w14:paraId="555DBD6A"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14:paraId="083880C6" w14:textId="7328E1F3" w:rsidR="004F5A06" w:rsidRPr="00F543C9" w:rsidRDefault="00333198" w:rsidP="004F5A06">
            <w:pPr>
              <w:rPr>
                <w:rFonts w:ascii="Arial Narrow" w:hAnsi="Arial Narrow"/>
                <w:sz w:val="22"/>
                <w:szCs w:val="22"/>
                <w:lang w:val="en-AU"/>
              </w:rPr>
            </w:pPr>
            <w:r>
              <w:rPr>
                <w:rFonts w:ascii="Arial Narrow" w:hAnsi="Arial Narrow"/>
                <w:sz w:val="22"/>
                <w:szCs w:val="22"/>
                <w:lang w:val="en-AU"/>
              </w:rPr>
              <w:t>Revision of S-100 Part 1</w:t>
            </w:r>
            <w:r w:rsidR="002B6973">
              <w:rPr>
                <w:rFonts w:ascii="Arial Narrow" w:hAnsi="Arial Narrow"/>
                <w:sz w:val="22"/>
                <w:szCs w:val="22"/>
                <w:lang w:val="en-AU"/>
              </w:rPr>
              <w:t>5</w:t>
            </w:r>
          </w:p>
        </w:tc>
      </w:tr>
      <w:tr w:rsidR="004F5A06" w:rsidRPr="00F543C9" w14:paraId="30BCA45B" w14:textId="77777777">
        <w:trPr>
          <w:jc w:val="center"/>
        </w:trPr>
        <w:tc>
          <w:tcPr>
            <w:tcW w:w="2634" w:type="dxa"/>
          </w:tcPr>
          <w:p w14:paraId="700138BC"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14:paraId="79EA689F" w14:textId="004063EE" w:rsidR="004F5A06" w:rsidRPr="00F543C9" w:rsidRDefault="002B6973" w:rsidP="004F5A06">
            <w:pPr>
              <w:rPr>
                <w:rFonts w:ascii="Arial Narrow" w:hAnsi="Arial Narrow"/>
                <w:sz w:val="22"/>
                <w:szCs w:val="22"/>
                <w:lang w:val="en-AU"/>
              </w:rPr>
            </w:pPr>
            <w:r>
              <w:rPr>
                <w:rFonts w:ascii="Arial Narrow" w:hAnsi="Arial Narrow"/>
                <w:sz w:val="22"/>
                <w:szCs w:val="22"/>
                <w:lang w:val="en-AU"/>
              </w:rPr>
              <w:t>S-100 Edition 5.0.0</w:t>
            </w:r>
          </w:p>
        </w:tc>
      </w:tr>
      <w:tr w:rsidR="004F5A06" w:rsidRPr="00F543C9" w14:paraId="23F3C007" w14:textId="77777777">
        <w:trPr>
          <w:jc w:val="center"/>
        </w:trPr>
        <w:tc>
          <w:tcPr>
            <w:tcW w:w="2634" w:type="dxa"/>
          </w:tcPr>
          <w:p w14:paraId="4FFA15FE"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14:paraId="482A906F" w14:textId="425CA5A3" w:rsidR="004F5A06" w:rsidRPr="00F543C9" w:rsidRDefault="004F5A06" w:rsidP="004F5A06">
            <w:pPr>
              <w:rPr>
                <w:rFonts w:ascii="Arial Narrow" w:hAnsi="Arial Narrow"/>
                <w:sz w:val="22"/>
                <w:szCs w:val="22"/>
                <w:lang w:val="en-AU"/>
              </w:rPr>
            </w:pPr>
          </w:p>
        </w:tc>
      </w:tr>
    </w:tbl>
    <w:p w14:paraId="591A8DE1" w14:textId="77777777" w:rsidR="004F5A06" w:rsidRPr="00F543C9" w:rsidRDefault="004F5A06" w:rsidP="004F5A06">
      <w:pPr>
        <w:pStyle w:val="Heading2"/>
        <w:rPr>
          <w:szCs w:val="22"/>
        </w:rPr>
      </w:pPr>
      <w:r w:rsidRPr="00F543C9">
        <w:rPr>
          <w:szCs w:val="22"/>
        </w:rPr>
        <w:t>Introduction / Background</w:t>
      </w:r>
    </w:p>
    <w:p w14:paraId="6AC1D990" w14:textId="220888B6" w:rsidR="004F5A06" w:rsidRPr="00F543C9" w:rsidRDefault="00C04966" w:rsidP="004F5A06">
      <w:pPr>
        <w:rPr>
          <w:rFonts w:ascii="Arial Narrow" w:hAnsi="Arial Narrow"/>
          <w:sz w:val="22"/>
          <w:szCs w:val="22"/>
          <w:lang w:val="en-AU"/>
        </w:rPr>
      </w:pPr>
      <w:r>
        <w:rPr>
          <w:rFonts w:ascii="Arial Narrow" w:hAnsi="Arial Narrow"/>
          <w:sz w:val="22"/>
          <w:szCs w:val="22"/>
          <w:lang w:val="en-AU"/>
        </w:rPr>
        <w:t>A revision to IHO S-100 Part 15, the data protection scheme has been drafted. The revision clarifies  certain aspects of Part 15 and its implementation, corrects factual and typographical errors and expands key sections which were under-described in edition 4.0.0</w:t>
      </w:r>
    </w:p>
    <w:p w14:paraId="05CDD231" w14:textId="3C715FA5" w:rsidR="00F60077" w:rsidRPr="00F60077" w:rsidRDefault="004F5A06" w:rsidP="00C04966">
      <w:pPr>
        <w:pStyle w:val="Heading2"/>
        <w:rPr>
          <w:szCs w:val="22"/>
        </w:rPr>
      </w:pPr>
      <w:r w:rsidRPr="00F543C9">
        <w:rPr>
          <w:szCs w:val="22"/>
        </w:rPr>
        <w:t>Analysis/Discussion</w:t>
      </w:r>
    </w:p>
    <w:p w14:paraId="4405640A" w14:textId="77777777" w:rsidR="00F60077" w:rsidRPr="00F60077" w:rsidRDefault="00F60077" w:rsidP="00F60077">
      <w:pPr>
        <w:pStyle w:val="subpara"/>
        <w:ind w:left="0" w:firstLine="0"/>
        <w:rPr>
          <w:bCs/>
          <w:szCs w:val="22"/>
          <w:lang w:val="en-GB"/>
        </w:rPr>
      </w:pPr>
      <w:r w:rsidRPr="00F60077">
        <w:rPr>
          <w:bCs/>
          <w:szCs w:val="22"/>
          <w:lang w:val="en-GB"/>
        </w:rPr>
        <w:t>Part 15 of S-100 has been revised to take into account comments received during the lifetime of edition 4.0.0 and to clarify several sections where the standard is ambiguous. </w:t>
      </w:r>
    </w:p>
    <w:p w14:paraId="1DDB9CFD" w14:textId="77777777" w:rsidR="00F60077" w:rsidRPr="00F60077" w:rsidRDefault="00F60077" w:rsidP="00F60077">
      <w:pPr>
        <w:pStyle w:val="subpara"/>
        <w:ind w:left="0"/>
        <w:rPr>
          <w:bCs/>
          <w:szCs w:val="22"/>
          <w:lang w:val="en-GB"/>
        </w:rPr>
      </w:pPr>
    </w:p>
    <w:p w14:paraId="7C2615EE" w14:textId="383C6EC4" w:rsidR="00F60077" w:rsidRPr="00F60077" w:rsidRDefault="00F924CD" w:rsidP="00F60077">
      <w:pPr>
        <w:pStyle w:val="subpara"/>
        <w:ind w:left="0" w:firstLine="0"/>
        <w:rPr>
          <w:bCs/>
          <w:szCs w:val="22"/>
          <w:lang w:val="en-GB"/>
        </w:rPr>
      </w:pPr>
      <w:r>
        <w:rPr>
          <w:bCs/>
          <w:szCs w:val="22"/>
          <w:lang w:val="en-GB"/>
        </w:rPr>
        <w:t>Summarised, t</w:t>
      </w:r>
      <w:r w:rsidR="00F60077" w:rsidRPr="00F60077">
        <w:rPr>
          <w:bCs/>
          <w:szCs w:val="22"/>
          <w:lang w:val="en-GB"/>
        </w:rPr>
        <w:t>hese clarifications are:</w:t>
      </w:r>
    </w:p>
    <w:p w14:paraId="5C243A5A" w14:textId="77777777" w:rsidR="00F60077" w:rsidRPr="00F60077" w:rsidRDefault="00F60077" w:rsidP="00F60077">
      <w:pPr>
        <w:pStyle w:val="subpara"/>
        <w:numPr>
          <w:ilvl w:val="0"/>
          <w:numId w:val="4"/>
        </w:numPr>
        <w:rPr>
          <w:bCs/>
          <w:szCs w:val="22"/>
          <w:lang w:val="en-GB"/>
        </w:rPr>
      </w:pPr>
      <w:r w:rsidRPr="00F60077">
        <w:rPr>
          <w:bCs/>
          <w:szCs w:val="22"/>
          <w:lang w:val="en-GB"/>
        </w:rPr>
        <w:t>Updated, complete list of referenced standards, including X.509, ASN.1 and AES.</w:t>
      </w:r>
    </w:p>
    <w:p w14:paraId="74DF884D" w14:textId="25C09B0B" w:rsidR="00F60077" w:rsidRPr="00F60077" w:rsidRDefault="00F60077" w:rsidP="00F60077">
      <w:pPr>
        <w:pStyle w:val="subpara"/>
        <w:numPr>
          <w:ilvl w:val="0"/>
          <w:numId w:val="4"/>
        </w:numPr>
        <w:rPr>
          <w:bCs/>
          <w:szCs w:val="22"/>
          <w:lang w:val="en-GB"/>
        </w:rPr>
      </w:pPr>
      <w:r w:rsidRPr="00F60077">
        <w:rPr>
          <w:bCs/>
          <w:szCs w:val="22"/>
          <w:lang w:val="en-GB"/>
        </w:rPr>
        <w:t xml:space="preserve">Better specifications of </w:t>
      </w:r>
      <w:r w:rsidR="00F924CD">
        <w:rPr>
          <w:bCs/>
          <w:szCs w:val="22"/>
          <w:lang w:val="en-GB"/>
        </w:rPr>
        <w:t xml:space="preserve">scheme participants, especially </w:t>
      </w:r>
      <w:r w:rsidRPr="00F60077">
        <w:rPr>
          <w:bCs/>
          <w:szCs w:val="22"/>
          <w:lang w:val="en-GB"/>
        </w:rPr>
        <w:t>domain coordinators, their roles and responsibilities</w:t>
      </w:r>
    </w:p>
    <w:p w14:paraId="3E7CEA9C" w14:textId="0E1309A5" w:rsidR="00F60077" w:rsidRPr="00F60077" w:rsidRDefault="00F60077" w:rsidP="00F60077">
      <w:pPr>
        <w:pStyle w:val="subpara"/>
        <w:numPr>
          <w:ilvl w:val="0"/>
          <w:numId w:val="4"/>
        </w:numPr>
        <w:rPr>
          <w:bCs/>
          <w:szCs w:val="22"/>
          <w:lang w:val="en-GB"/>
        </w:rPr>
      </w:pPr>
      <w:r w:rsidRPr="00F60077">
        <w:rPr>
          <w:bCs/>
          <w:szCs w:val="22"/>
          <w:lang w:val="en-GB"/>
        </w:rPr>
        <w:t>Clearer diagrams showing interaction of scheme participants</w:t>
      </w:r>
      <w:r w:rsidR="00F924CD">
        <w:rPr>
          <w:bCs/>
          <w:szCs w:val="22"/>
          <w:lang w:val="en-GB"/>
        </w:rPr>
        <w:t xml:space="preserve"> and the information exchanged between them.</w:t>
      </w:r>
    </w:p>
    <w:p w14:paraId="5941273B" w14:textId="7A7565AD" w:rsidR="00F60077" w:rsidRPr="00F60077" w:rsidRDefault="00F60077" w:rsidP="00F60077">
      <w:pPr>
        <w:pStyle w:val="subpara"/>
        <w:numPr>
          <w:ilvl w:val="0"/>
          <w:numId w:val="4"/>
        </w:numPr>
        <w:rPr>
          <w:bCs/>
          <w:szCs w:val="22"/>
          <w:lang w:val="en-GB"/>
        </w:rPr>
      </w:pPr>
      <w:r w:rsidRPr="00F60077">
        <w:rPr>
          <w:bCs/>
          <w:szCs w:val="22"/>
          <w:lang w:val="en-GB"/>
        </w:rPr>
        <w:t xml:space="preserve">Defined XML </w:t>
      </w:r>
      <w:r w:rsidR="00F924CD">
        <w:rPr>
          <w:bCs/>
          <w:szCs w:val="22"/>
          <w:lang w:val="en-GB"/>
        </w:rPr>
        <w:t>content against s</w:t>
      </w:r>
      <w:r w:rsidRPr="00F60077">
        <w:rPr>
          <w:bCs/>
          <w:szCs w:val="22"/>
          <w:lang w:val="en-GB"/>
        </w:rPr>
        <w:t xml:space="preserve">chemas covering digital signatures and permits </w:t>
      </w:r>
      <w:r w:rsidR="00F924CD">
        <w:rPr>
          <w:bCs/>
          <w:szCs w:val="22"/>
          <w:lang w:val="en-GB"/>
        </w:rPr>
        <w:t xml:space="preserve">including </w:t>
      </w:r>
      <w:r w:rsidRPr="00F60077">
        <w:rPr>
          <w:bCs/>
          <w:szCs w:val="22"/>
          <w:lang w:val="en-GB"/>
        </w:rPr>
        <w:t xml:space="preserve">descriptions of </w:t>
      </w:r>
      <w:r w:rsidR="00F924CD">
        <w:rPr>
          <w:bCs/>
          <w:szCs w:val="22"/>
          <w:lang w:val="en-GB"/>
        </w:rPr>
        <w:t xml:space="preserve">the various </w:t>
      </w:r>
      <w:r w:rsidRPr="00F60077">
        <w:rPr>
          <w:bCs/>
          <w:szCs w:val="22"/>
          <w:lang w:val="en-GB"/>
        </w:rPr>
        <w:t>defined fields</w:t>
      </w:r>
    </w:p>
    <w:p w14:paraId="7E5F547D" w14:textId="66637586" w:rsidR="00F60077" w:rsidRPr="00F60077" w:rsidRDefault="00F924CD" w:rsidP="00F60077">
      <w:pPr>
        <w:pStyle w:val="subpara"/>
        <w:numPr>
          <w:ilvl w:val="0"/>
          <w:numId w:val="4"/>
        </w:numPr>
        <w:rPr>
          <w:bCs/>
          <w:szCs w:val="22"/>
          <w:lang w:val="en-GB"/>
        </w:rPr>
      </w:pPr>
      <w:r>
        <w:rPr>
          <w:bCs/>
          <w:szCs w:val="22"/>
          <w:lang w:val="en-GB"/>
        </w:rPr>
        <w:t>Initial i</w:t>
      </w:r>
      <w:r w:rsidR="00F60077" w:rsidRPr="00F60077">
        <w:rPr>
          <w:bCs/>
          <w:szCs w:val="22"/>
          <w:lang w:val="en-GB"/>
        </w:rPr>
        <w:t>ntegration of digital signature content with proposals put forward for exchange set creation and metadata.</w:t>
      </w:r>
    </w:p>
    <w:p w14:paraId="749169EE" w14:textId="2869FE7E" w:rsidR="00F60077" w:rsidRPr="00F60077" w:rsidRDefault="00F60077" w:rsidP="00F60077">
      <w:pPr>
        <w:pStyle w:val="subpara"/>
        <w:ind w:left="0" w:firstLine="0"/>
        <w:rPr>
          <w:bCs/>
          <w:szCs w:val="22"/>
          <w:lang w:val="en-GB"/>
        </w:rPr>
      </w:pPr>
    </w:p>
    <w:p w14:paraId="274E8B2D" w14:textId="77777777" w:rsidR="00F60077" w:rsidRPr="00F60077" w:rsidRDefault="00F60077" w:rsidP="00F60077">
      <w:pPr>
        <w:pStyle w:val="subpara"/>
        <w:ind w:left="0" w:firstLine="0"/>
        <w:rPr>
          <w:b/>
          <w:szCs w:val="22"/>
          <w:lang w:val="en-GB"/>
        </w:rPr>
      </w:pPr>
      <w:r w:rsidRPr="00F60077">
        <w:rPr>
          <w:b/>
          <w:szCs w:val="22"/>
          <w:lang w:val="en-GB"/>
        </w:rPr>
        <w:t>Procedural documentation.</w:t>
      </w:r>
    </w:p>
    <w:p w14:paraId="6703EA01" w14:textId="3A8BCF07" w:rsidR="00F60077" w:rsidRDefault="00F60077" w:rsidP="00F60077">
      <w:pPr>
        <w:pStyle w:val="subpara"/>
        <w:ind w:left="0" w:firstLine="0"/>
        <w:rPr>
          <w:bCs/>
          <w:szCs w:val="22"/>
          <w:lang w:val="en-GB"/>
        </w:rPr>
      </w:pPr>
      <w:r w:rsidRPr="00F60077">
        <w:rPr>
          <w:bCs/>
          <w:szCs w:val="22"/>
          <w:lang w:val="en-GB"/>
        </w:rPr>
        <w:t xml:space="preserve">The current IHO data protection scheme under S-63 has been in operation for nearly twenty years. In that time the number of participants has grown dramatically and the IHO secretariat has gained </w:t>
      </w:r>
      <w:r w:rsidR="00A861B4">
        <w:rPr>
          <w:bCs/>
          <w:szCs w:val="22"/>
          <w:lang w:val="en-GB"/>
        </w:rPr>
        <w:t>a lot of</w:t>
      </w:r>
      <w:r w:rsidRPr="00F60077">
        <w:rPr>
          <w:bCs/>
          <w:szCs w:val="22"/>
          <w:lang w:val="en-GB"/>
        </w:rPr>
        <w:t xml:space="preserve"> experience in various aspects of its operation</w:t>
      </w:r>
      <w:r w:rsidR="00A861B4">
        <w:rPr>
          <w:bCs/>
          <w:szCs w:val="22"/>
          <w:lang w:val="en-GB"/>
        </w:rPr>
        <w:t xml:space="preserve"> and how the various elements should be organised.</w:t>
      </w:r>
    </w:p>
    <w:p w14:paraId="209216FD" w14:textId="77777777" w:rsidR="00A861B4" w:rsidRPr="00F60077" w:rsidRDefault="00A861B4" w:rsidP="00F60077">
      <w:pPr>
        <w:pStyle w:val="subpara"/>
        <w:ind w:left="0" w:firstLine="0"/>
        <w:rPr>
          <w:bCs/>
          <w:szCs w:val="22"/>
          <w:lang w:val="en-GB"/>
        </w:rPr>
      </w:pPr>
    </w:p>
    <w:p w14:paraId="3328D718" w14:textId="630FF1B6" w:rsidR="00A861B4" w:rsidRDefault="00F60077" w:rsidP="00F60077">
      <w:pPr>
        <w:pStyle w:val="subpara"/>
        <w:ind w:left="0" w:firstLine="0"/>
        <w:rPr>
          <w:bCs/>
          <w:szCs w:val="22"/>
          <w:lang w:val="en-GB"/>
        </w:rPr>
      </w:pPr>
      <w:r w:rsidRPr="00F60077">
        <w:rPr>
          <w:bCs/>
          <w:szCs w:val="22"/>
          <w:lang w:val="en-GB"/>
        </w:rPr>
        <w:t xml:space="preserve">No governing documentation </w:t>
      </w:r>
      <w:r w:rsidR="00A861B4">
        <w:rPr>
          <w:bCs/>
          <w:szCs w:val="22"/>
          <w:lang w:val="en-GB"/>
        </w:rPr>
        <w:t xml:space="preserve">yet </w:t>
      </w:r>
      <w:r w:rsidRPr="00F60077">
        <w:rPr>
          <w:bCs/>
          <w:szCs w:val="22"/>
          <w:lang w:val="en-GB"/>
        </w:rPr>
        <w:t xml:space="preserve">exists specifying how </w:t>
      </w:r>
      <w:r w:rsidR="00A861B4">
        <w:rPr>
          <w:bCs/>
          <w:szCs w:val="22"/>
          <w:lang w:val="en-GB"/>
        </w:rPr>
        <w:t>the scheme as a whole</w:t>
      </w:r>
      <w:r w:rsidRPr="00F60077">
        <w:rPr>
          <w:bCs/>
          <w:szCs w:val="22"/>
          <w:lang w:val="en-GB"/>
        </w:rPr>
        <w:t xml:space="preserve"> should be operated and the new S-100 Part 15 </w:t>
      </w:r>
      <w:r w:rsidR="00A861B4">
        <w:rPr>
          <w:bCs/>
          <w:szCs w:val="22"/>
          <w:lang w:val="en-GB"/>
        </w:rPr>
        <w:t xml:space="preserve">now </w:t>
      </w:r>
      <w:r w:rsidRPr="00F60077">
        <w:rPr>
          <w:bCs/>
          <w:szCs w:val="22"/>
          <w:lang w:val="en-GB"/>
        </w:rPr>
        <w:t>focuses solely</w:t>
      </w:r>
      <w:r w:rsidR="00A861B4">
        <w:rPr>
          <w:bCs/>
          <w:szCs w:val="22"/>
          <w:lang w:val="en-GB"/>
        </w:rPr>
        <w:t xml:space="preserve"> </w:t>
      </w:r>
      <w:r w:rsidRPr="00F60077">
        <w:rPr>
          <w:bCs/>
          <w:szCs w:val="22"/>
          <w:lang w:val="en-GB"/>
        </w:rPr>
        <w:t xml:space="preserve">on the technical details of its implementation. </w:t>
      </w:r>
      <w:r w:rsidR="00A861B4">
        <w:rPr>
          <w:bCs/>
          <w:szCs w:val="22"/>
          <w:lang w:val="en-GB"/>
        </w:rPr>
        <w:t>An additional challenge during the implementation phase of S-100 will be the maintenance of the existing S-57/S-63 based data protection scheme alongside the rollout of the S-100 elements of the scheme.</w:t>
      </w:r>
      <w:r w:rsidR="0046570D">
        <w:rPr>
          <w:bCs/>
          <w:szCs w:val="22"/>
          <w:lang w:val="en-GB"/>
        </w:rPr>
        <w:t xml:space="preserve"> S-100 Part 15 is similar in its layout to S-63 but several significant differences exist, namely:</w:t>
      </w:r>
    </w:p>
    <w:p w14:paraId="75B8B977" w14:textId="5832756B" w:rsidR="0046570D" w:rsidRDefault="0046570D" w:rsidP="0046570D">
      <w:pPr>
        <w:pStyle w:val="subpara"/>
        <w:numPr>
          <w:ilvl w:val="0"/>
          <w:numId w:val="7"/>
        </w:numPr>
        <w:rPr>
          <w:bCs/>
          <w:szCs w:val="22"/>
          <w:lang w:val="en-GB"/>
        </w:rPr>
      </w:pPr>
      <w:r>
        <w:rPr>
          <w:bCs/>
          <w:szCs w:val="22"/>
          <w:lang w:val="en-GB"/>
        </w:rPr>
        <w:t>Differences in key lengths for some of the algorithms</w:t>
      </w:r>
    </w:p>
    <w:p w14:paraId="22CF789E" w14:textId="11A21C0A" w:rsidR="0046570D" w:rsidRDefault="0046570D" w:rsidP="0046570D">
      <w:pPr>
        <w:pStyle w:val="subpara"/>
        <w:numPr>
          <w:ilvl w:val="0"/>
          <w:numId w:val="7"/>
        </w:numPr>
        <w:rPr>
          <w:bCs/>
          <w:szCs w:val="22"/>
          <w:lang w:val="en-GB"/>
        </w:rPr>
      </w:pPr>
      <w:r>
        <w:rPr>
          <w:bCs/>
          <w:szCs w:val="22"/>
          <w:lang w:val="en-GB"/>
        </w:rPr>
        <w:t xml:space="preserve">The introduction AES encryption </w:t>
      </w:r>
    </w:p>
    <w:p w14:paraId="131A6F99" w14:textId="03ADCD79" w:rsidR="0046570D" w:rsidRDefault="0046570D" w:rsidP="0046570D">
      <w:pPr>
        <w:pStyle w:val="subpara"/>
        <w:numPr>
          <w:ilvl w:val="0"/>
          <w:numId w:val="7"/>
        </w:numPr>
        <w:rPr>
          <w:bCs/>
          <w:szCs w:val="22"/>
          <w:lang w:val="en-GB"/>
        </w:rPr>
      </w:pPr>
      <w:r>
        <w:rPr>
          <w:bCs/>
          <w:szCs w:val="22"/>
          <w:lang w:val="en-GB"/>
        </w:rPr>
        <w:t>Domain Coordinators</w:t>
      </w:r>
    </w:p>
    <w:p w14:paraId="3DB04FEF" w14:textId="486F0DA6" w:rsidR="0046570D" w:rsidRDefault="0046570D" w:rsidP="0046570D">
      <w:pPr>
        <w:pStyle w:val="subpara"/>
        <w:numPr>
          <w:ilvl w:val="0"/>
          <w:numId w:val="7"/>
        </w:numPr>
        <w:rPr>
          <w:bCs/>
          <w:szCs w:val="22"/>
          <w:lang w:val="en-GB"/>
        </w:rPr>
      </w:pPr>
      <w:r>
        <w:rPr>
          <w:bCs/>
          <w:szCs w:val="22"/>
          <w:lang w:val="en-GB"/>
        </w:rPr>
        <w:t>A clearer separation between data protection and authentication</w:t>
      </w:r>
    </w:p>
    <w:p w14:paraId="5AA91581" w14:textId="6716F87B" w:rsidR="004F5A06" w:rsidRPr="0046570D" w:rsidRDefault="0046570D" w:rsidP="004F5A06">
      <w:pPr>
        <w:pStyle w:val="subpara"/>
        <w:numPr>
          <w:ilvl w:val="0"/>
          <w:numId w:val="7"/>
        </w:numPr>
        <w:rPr>
          <w:bCs/>
          <w:szCs w:val="22"/>
          <w:lang w:val="en-GB"/>
        </w:rPr>
      </w:pPr>
      <w:r>
        <w:rPr>
          <w:bCs/>
          <w:szCs w:val="22"/>
          <w:lang w:val="en-GB"/>
        </w:rPr>
        <w:t>A focus on the technical details of data protection. Many elements of S-63 have been relocated to other areas of the S-100 parts and ancillary standards.</w:t>
      </w:r>
    </w:p>
    <w:p w14:paraId="23AAE403" w14:textId="77777777" w:rsidR="004F5A06" w:rsidRPr="00F543C9" w:rsidRDefault="004F5A06" w:rsidP="004F5A06">
      <w:pPr>
        <w:pStyle w:val="Heading2"/>
        <w:rPr>
          <w:szCs w:val="22"/>
        </w:rPr>
      </w:pPr>
      <w:r w:rsidRPr="00F543C9">
        <w:rPr>
          <w:szCs w:val="22"/>
        </w:rPr>
        <w:t>Recommendations</w:t>
      </w:r>
    </w:p>
    <w:p w14:paraId="5894AD44" w14:textId="6A46C319" w:rsidR="0046570D" w:rsidRDefault="0046570D" w:rsidP="0046570D">
      <w:pPr>
        <w:pStyle w:val="subpara"/>
        <w:ind w:left="0" w:firstLine="0"/>
        <w:rPr>
          <w:bCs/>
          <w:szCs w:val="22"/>
          <w:lang w:val="en-GB"/>
        </w:rPr>
      </w:pPr>
      <w:r w:rsidRPr="00F60077">
        <w:rPr>
          <w:bCs/>
          <w:szCs w:val="22"/>
          <w:lang w:val="en-GB"/>
        </w:rPr>
        <w:t xml:space="preserve">This covering paper proposes </w:t>
      </w:r>
      <w:r>
        <w:rPr>
          <w:bCs/>
          <w:szCs w:val="22"/>
          <w:lang w:val="en-GB"/>
        </w:rPr>
        <w:t xml:space="preserve">both </w:t>
      </w:r>
      <w:r w:rsidRPr="00F60077">
        <w:rPr>
          <w:bCs/>
          <w:szCs w:val="22"/>
          <w:lang w:val="en-GB"/>
        </w:rPr>
        <w:t xml:space="preserve">the creation of an IHO technical resolution defining the </w:t>
      </w:r>
      <w:r>
        <w:rPr>
          <w:bCs/>
          <w:szCs w:val="22"/>
          <w:lang w:val="en-GB"/>
        </w:rPr>
        <w:t xml:space="preserve">specific </w:t>
      </w:r>
      <w:r w:rsidRPr="00F60077">
        <w:rPr>
          <w:bCs/>
          <w:szCs w:val="22"/>
          <w:lang w:val="en-GB"/>
        </w:rPr>
        <w:t xml:space="preserve">algorithms </w:t>
      </w:r>
      <w:r>
        <w:rPr>
          <w:bCs/>
          <w:szCs w:val="22"/>
          <w:lang w:val="en-GB"/>
        </w:rPr>
        <w:t xml:space="preserve">and key lengths </w:t>
      </w:r>
      <w:r w:rsidRPr="00F60077">
        <w:rPr>
          <w:bCs/>
          <w:szCs w:val="22"/>
          <w:lang w:val="en-GB"/>
        </w:rPr>
        <w:t xml:space="preserve">used within Part 15 and also the creation of </w:t>
      </w:r>
      <w:r>
        <w:rPr>
          <w:bCs/>
          <w:szCs w:val="22"/>
          <w:lang w:val="en-GB"/>
        </w:rPr>
        <w:t xml:space="preserve">detailed </w:t>
      </w:r>
      <w:r w:rsidRPr="00F60077">
        <w:rPr>
          <w:bCs/>
          <w:szCs w:val="22"/>
          <w:lang w:val="en-GB"/>
        </w:rPr>
        <w:t xml:space="preserve">procedures for the administration of the IHOs </w:t>
      </w:r>
      <w:r>
        <w:rPr>
          <w:bCs/>
          <w:szCs w:val="22"/>
          <w:lang w:val="en-GB"/>
        </w:rPr>
        <w:t xml:space="preserve">entire </w:t>
      </w:r>
      <w:r w:rsidRPr="00F60077">
        <w:rPr>
          <w:bCs/>
          <w:szCs w:val="22"/>
          <w:lang w:val="en-GB"/>
        </w:rPr>
        <w:t>data protection scheme</w:t>
      </w:r>
      <w:r>
        <w:rPr>
          <w:bCs/>
          <w:szCs w:val="22"/>
          <w:lang w:val="en-GB"/>
        </w:rPr>
        <w:t xml:space="preserve"> and its participants</w:t>
      </w:r>
      <w:r w:rsidR="00FF0BEB">
        <w:rPr>
          <w:bCs/>
          <w:szCs w:val="22"/>
          <w:lang w:val="en-GB"/>
        </w:rPr>
        <w:t xml:space="preserve">. </w:t>
      </w:r>
    </w:p>
    <w:p w14:paraId="5AC7F79F" w14:textId="77777777" w:rsidR="0046570D" w:rsidRDefault="0046570D" w:rsidP="0046570D">
      <w:pPr>
        <w:pStyle w:val="subpara"/>
        <w:ind w:left="0" w:firstLine="0"/>
        <w:rPr>
          <w:bCs/>
          <w:szCs w:val="22"/>
          <w:lang w:val="en-GB"/>
        </w:rPr>
      </w:pPr>
    </w:p>
    <w:p w14:paraId="44737A82" w14:textId="77777777" w:rsidR="0046570D" w:rsidRPr="00F60077" w:rsidRDefault="0046570D" w:rsidP="0046570D">
      <w:pPr>
        <w:pStyle w:val="subpara"/>
        <w:ind w:left="0" w:firstLine="0"/>
        <w:rPr>
          <w:bCs/>
          <w:szCs w:val="22"/>
          <w:lang w:val="en-GB"/>
        </w:rPr>
      </w:pPr>
      <w:r w:rsidRPr="00F60077">
        <w:rPr>
          <w:bCs/>
          <w:szCs w:val="22"/>
          <w:lang w:val="en-GB"/>
        </w:rPr>
        <w:lastRenderedPageBreak/>
        <w:t>These procedures should cover</w:t>
      </w:r>
      <w:r>
        <w:rPr>
          <w:bCs/>
          <w:szCs w:val="22"/>
          <w:lang w:val="en-GB"/>
        </w:rPr>
        <w:t>:</w:t>
      </w:r>
    </w:p>
    <w:p w14:paraId="1D2FAEB6" w14:textId="77777777" w:rsidR="0046570D" w:rsidRDefault="0046570D" w:rsidP="0046570D">
      <w:pPr>
        <w:pStyle w:val="subpara"/>
        <w:numPr>
          <w:ilvl w:val="0"/>
          <w:numId w:val="6"/>
        </w:numPr>
        <w:rPr>
          <w:bCs/>
          <w:szCs w:val="22"/>
          <w:lang w:val="en-GB"/>
        </w:rPr>
      </w:pPr>
      <w:r w:rsidRPr="00F60077">
        <w:rPr>
          <w:bCs/>
          <w:szCs w:val="22"/>
          <w:lang w:val="en-GB"/>
        </w:rPr>
        <w:t>Application processes for prospective members of the scheme</w:t>
      </w:r>
      <w:r>
        <w:rPr>
          <w:bCs/>
          <w:szCs w:val="22"/>
          <w:lang w:val="en-GB"/>
        </w:rPr>
        <w:t>.</w:t>
      </w:r>
    </w:p>
    <w:p w14:paraId="494E3BA8" w14:textId="77777777" w:rsidR="0046570D" w:rsidRPr="00F60077" w:rsidRDefault="0046570D" w:rsidP="0046570D">
      <w:pPr>
        <w:pStyle w:val="subpara"/>
        <w:numPr>
          <w:ilvl w:val="0"/>
          <w:numId w:val="6"/>
        </w:numPr>
        <w:rPr>
          <w:bCs/>
          <w:szCs w:val="22"/>
          <w:lang w:val="en-GB"/>
        </w:rPr>
      </w:pPr>
      <w:r w:rsidRPr="0046570D">
        <w:rPr>
          <w:bCs/>
          <w:szCs w:val="22"/>
          <w:lang w:val="en-GB"/>
        </w:rPr>
        <w:t xml:space="preserve">Responsibilities of the scheme participants and </w:t>
      </w:r>
      <w:r>
        <w:rPr>
          <w:bCs/>
          <w:szCs w:val="22"/>
          <w:lang w:val="en-GB"/>
        </w:rPr>
        <w:t>s</w:t>
      </w:r>
      <w:r w:rsidRPr="00F60077">
        <w:rPr>
          <w:bCs/>
          <w:szCs w:val="22"/>
          <w:lang w:val="en-GB"/>
        </w:rPr>
        <w:t>pecification of the roles each participant is able to be assigned to</w:t>
      </w:r>
      <w:r w:rsidRPr="0046570D">
        <w:rPr>
          <w:bCs/>
          <w:szCs w:val="22"/>
          <w:lang w:val="en-GB"/>
        </w:rPr>
        <w:t>.</w:t>
      </w:r>
    </w:p>
    <w:p w14:paraId="59537711" w14:textId="77777777" w:rsidR="0046570D" w:rsidRPr="00F60077" w:rsidRDefault="0046570D" w:rsidP="0046570D">
      <w:pPr>
        <w:pStyle w:val="subpara"/>
        <w:numPr>
          <w:ilvl w:val="0"/>
          <w:numId w:val="6"/>
        </w:numPr>
        <w:rPr>
          <w:bCs/>
          <w:szCs w:val="22"/>
          <w:lang w:val="en-GB"/>
        </w:rPr>
      </w:pPr>
      <w:r w:rsidRPr="00F60077">
        <w:rPr>
          <w:bCs/>
          <w:szCs w:val="22"/>
          <w:lang w:val="en-GB"/>
        </w:rPr>
        <w:t>How roles, users, organisations and domains are embedded in the X-509 fields by applicants.</w:t>
      </w:r>
    </w:p>
    <w:p w14:paraId="720BBB9D" w14:textId="77777777" w:rsidR="0046570D" w:rsidRPr="00F60077" w:rsidRDefault="0046570D" w:rsidP="0046570D">
      <w:pPr>
        <w:pStyle w:val="subpara"/>
        <w:numPr>
          <w:ilvl w:val="0"/>
          <w:numId w:val="6"/>
        </w:numPr>
        <w:rPr>
          <w:bCs/>
          <w:szCs w:val="22"/>
          <w:lang w:val="en-GB"/>
        </w:rPr>
      </w:pPr>
      <w:r>
        <w:rPr>
          <w:bCs/>
          <w:szCs w:val="22"/>
          <w:lang w:val="en-GB"/>
        </w:rPr>
        <w:t>Details of the day to day initiation and o</w:t>
      </w:r>
      <w:r w:rsidRPr="00F60077">
        <w:rPr>
          <w:bCs/>
          <w:szCs w:val="22"/>
          <w:lang w:val="en-GB"/>
        </w:rPr>
        <w:t>peration of the scheme</w:t>
      </w:r>
      <w:r>
        <w:rPr>
          <w:bCs/>
          <w:szCs w:val="22"/>
          <w:lang w:val="en-GB"/>
        </w:rPr>
        <w:t xml:space="preserve"> for both S-57/S-63 and S-100 elements.</w:t>
      </w:r>
    </w:p>
    <w:p w14:paraId="47295A37" w14:textId="77777777" w:rsidR="0046570D" w:rsidRPr="00F60077" w:rsidRDefault="0046570D" w:rsidP="0046570D">
      <w:pPr>
        <w:pStyle w:val="subpara"/>
        <w:numPr>
          <w:ilvl w:val="0"/>
          <w:numId w:val="6"/>
        </w:numPr>
        <w:rPr>
          <w:bCs/>
          <w:szCs w:val="22"/>
          <w:lang w:val="en-GB"/>
        </w:rPr>
      </w:pPr>
      <w:r w:rsidRPr="00F60077">
        <w:rPr>
          <w:bCs/>
          <w:szCs w:val="22"/>
          <w:lang w:val="en-GB"/>
        </w:rPr>
        <w:t>The role of domain coordinators and which roles are delegated to them</w:t>
      </w:r>
      <w:r>
        <w:rPr>
          <w:bCs/>
          <w:szCs w:val="22"/>
          <w:lang w:val="en-GB"/>
        </w:rPr>
        <w:t>.</w:t>
      </w:r>
    </w:p>
    <w:p w14:paraId="1876C447" w14:textId="77777777" w:rsidR="0046570D" w:rsidRPr="00F60077" w:rsidRDefault="0046570D" w:rsidP="0046570D">
      <w:pPr>
        <w:pStyle w:val="subpara"/>
        <w:numPr>
          <w:ilvl w:val="0"/>
          <w:numId w:val="6"/>
        </w:numPr>
        <w:rPr>
          <w:bCs/>
          <w:szCs w:val="22"/>
          <w:lang w:val="en-GB"/>
        </w:rPr>
      </w:pPr>
      <w:r w:rsidRPr="00F60077">
        <w:rPr>
          <w:bCs/>
          <w:szCs w:val="22"/>
          <w:lang w:val="en-GB"/>
        </w:rPr>
        <w:t>Maintenance of record by data servers.</w:t>
      </w:r>
    </w:p>
    <w:p w14:paraId="1F549889" w14:textId="77777777" w:rsidR="0046570D" w:rsidRPr="00F60077" w:rsidRDefault="0046570D" w:rsidP="0046570D">
      <w:pPr>
        <w:pStyle w:val="subpara"/>
        <w:numPr>
          <w:ilvl w:val="0"/>
          <w:numId w:val="6"/>
        </w:numPr>
        <w:rPr>
          <w:bCs/>
          <w:szCs w:val="22"/>
          <w:lang w:val="en-GB"/>
        </w:rPr>
      </w:pPr>
      <w:r w:rsidRPr="00F60077">
        <w:rPr>
          <w:bCs/>
          <w:szCs w:val="22"/>
          <w:lang w:val="en-GB"/>
        </w:rPr>
        <w:t>Distribution of M_ID/M_KEY material </w:t>
      </w:r>
    </w:p>
    <w:p w14:paraId="2BD769C9" w14:textId="77777777" w:rsidR="004F5A06" w:rsidRPr="00F543C9" w:rsidRDefault="004F5A06" w:rsidP="004F5A06">
      <w:pPr>
        <w:pStyle w:val="Heading2"/>
        <w:rPr>
          <w:szCs w:val="22"/>
        </w:rPr>
      </w:pPr>
      <w:r w:rsidRPr="00F543C9">
        <w:rPr>
          <w:szCs w:val="22"/>
        </w:rPr>
        <w:t>Justifica</w:t>
      </w:r>
      <w:r w:rsidRPr="00F543C9">
        <w:rPr>
          <w:b w:val="0"/>
          <w:szCs w:val="22"/>
        </w:rPr>
        <w:t>t</w:t>
      </w:r>
      <w:r w:rsidRPr="00F543C9">
        <w:rPr>
          <w:szCs w:val="22"/>
        </w:rPr>
        <w:t>ion and Impacts</w:t>
      </w:r>
    </w:p>
    <w:p w14:paraId="406059E0" w14:textId="76A75754" w:rsidR="004F5A06" w:rsidRDefault="00FF0BEB" w:rsidP="002D343F">
      <w:pPr>
        <w:pStyle w:val="subpara"/>
        <w:ind w:left="0" w:firstLine="0"/>
        <w:rPr>
          <w:szCs w:val="22"/>
        </w:rPr>
      </w:pPr>
      <w:r>
        <w:rPr>
          <w:szCs w:val="22"/>
        </w:rPr>
        <w:t xml:space="preserve">The introduction of the S-100 Part 15 elements of the data protection scheme are arguably more complex to effect than the initial introduction and evolution of the S-63-based scheme. The development of a detailed plan and procedures by scheme stakeholders will efficiently define how the scheme will operate as S-100 ECDIS is developed and the initial S-100 product specifications go live. </w:t>
      </w:r>
    </w:p>
    <w:p w14:paraId="0CCE17DF" w14:textId="6B41608D" w:rsidR="00FF0BEB" w:rsidRPr="00F543C9" w:rsidRDefault="00FF0BEB" w:rsidP="002D343F">
      <w:pPr>
        <w:pStyle w:val="subpara"/>
        <w:ind w:left="0" w:firstLine="0"/>
        <w:rPr>
          <w:szCs w:val="22"/>
        </w:rPr>
      </w:pPr>
      <w:r>
        <w:rPr>
          <w:szCs w:val="22"/>
        </w:rPr>
        <w:t xml:space="preserve">The revisions to Part 15 will clarify how various elements operate and data is exchanged throughout the IHO ecosystem. </w:t>
      </w:r>
    </w:p>
    <w:p w14:paraId="4B64B845" w14:textId="2274006A" w:rsidR="004F5A06" w:rsidRPr="00F543C9" w:rsidRDefault="004F5A06" w:rsidP="004F5A06">
      <w:pPr>
        <w:pStyle w:val="Heading2"/>
        <w:rPr>
          <w:szCs w:val="22"/>
        </w:rPr>
      </w:pPr>
      <w:r w:rsidRPr="00F543C9">
        <w:rPr>
          <w:szCs w:val="22"/>
        </w:rPr>
        <w:t xml:space="preserve">Action Required of </w:t>
      </w:r>
      <w:r w:rsidR="00F60077">
        <w:rPr>
          <w:szCs w:val="22"/>
        </w:rPr>
        <w:t>S-100WG</w:t>
      </w:r>
    </w:p>
    <w:p w14:paraId="4F8CF7BC" w14:textId="77777777" w:rsidR="002D343F" w:rsidRDefault="002D343F" w:rsidP="002D343F">
      <w:pPr>
        <w:pStyle w:val="subpara"/>
        <w:ind w:left="0" w:firstLine="0"/>
        <w:rPr>
          <w:bCs/>
          <w:szCs w:val="22"/>
          <w:lang w:val="en-GB"/>
        </w:rPr>
      </w:pPr>
    </w:p>
    <w:p w14:paraId="5E4DE474" w14:textId="22631E45" w:rsidR="00F60077" w:rsidRPr="00F60077" w:rsidRDefault="00F60077" w:rsidP="002D343F">
      <w:pPr>
        <w:pStyle w:val="subpara"/>
        <w:ind w:left="0" w:firstLine="0"/>
        <w:rPr>
          <w:bCs/>
          <w:szCs w:val="22"/>
          <w:lang w:val="en-GB"/>
        </w:rPr>
      </w:pPr>
      <w:r w:rsidRPr="00F60077">
        <w:rPr>
          <w:bCs/>
          <w:szCs w:val="22"/>
          <w:lang w:val="en-GB"/>
        </w:rPr>
        <w:t>The S-100 working group is asked to:</w:t>
      </w:r>
    </w:p>
    <w:p w14:paraId="6D420FC1" w14:textId="77777777" w:rsidR="00F60077" w:rsidRPr="00F60077" w:rsidRDefault="00F60077" w:rsidP="00F60077">
      <w:pPr>
        <w:pStyle w:val="subpara"/>
        <w:numPr>
          <w:ilvl w:val="0"/>
          <w:numId w:val="3"/>
        </w:numPr>
        <w:rPr>
          <w:bCs/>
          <w:szCs w:val="22"/>
          <w:lang w:val="en-GB"/>
        </w:rPr>
      </w:pPr>
      <w:r w:rsidRPr="00F60077">
        <w:rPr>
          <w:bCs/>
          <w:szCs w:val="22"/>
          <w:lang w:val="en-GB"/>
        </w:rPr>
        <w:t>Review and comment on the content of the revised Part 15 of S-100</w:t>
      </w:r>
    </w:p>
    <w:p w14:paraId="1A63423F" w14:textId="77777777" w:rsidR="00F60077" w:rsidRPr="00F60077" w:rsidRDefault="00F60077" w:rsidP="00F60077">
      <w:pPr>
        <w:pStyle w:val="subpara"/>
        <w:numPr>
          <w:ilvl w:val="0"/>
          <w:numId w:val="3"/>
        </w:numPr>
        <w:rPr>
          <w:bCs/>
          <w:szCs w:val="22"/>
          <w:lang w:val="en-GB"/>
        </w:rPr>
      </w:pPr>
      <w:r w:rsidRPr="00F60077">
        <w:rPr>
          <w:bCs/>
          <w:szCs w:val="22"/>
          <w:lang w:val="en-GB"/>
        </w:rPr>
        <w:t>Approve the creation of an IHO Technical Resolution detailing the algorithms used by S-100 for data protection and authentication</w:t>
      </w:r>
    </w:p>
    <w:p w14:paraId="1A8D36E4" w14:textId="534B170F" w:rsidR="00F60077" w:rsidRPr="00F60077" w:rsidRDefault="00F60077" w:rsidP="00F60077">
      <w:pPr>
        <w:pStyle w:val="subpara"/>
        <w:numPr>
          <w:ilvl w:val="0"/>
          <w:numId w:val="3"/>
        </w:numPr>
        <w:rPr>
          <w:bCs/>
          <w:szCs w:val="22"/>
          <w:lang w:val="en-GB"/>
        </w:rPr>
      </w:pPr>
      <w:r w:rsidRPr="00F60077">
        <w:rPr>
          <w:bCs/>
          <w:szCs w:val="22"/>
          <w:lang w:val="en-GB"/>
        </w:rPr>
        <w:t xml:space="preserve">Approve the creation of procedural documentation by IHO Secretariat, member states and industry participants covering the details of the </w:t>
      </w:r>
      <w:r w:rsidR="00FF0BEB" w:rsidRPr="00F60077">
        <w:rPr>
          <w:bCs/>
          <w:szCs w:val="22"/>
          <w:lang w:val="en-GB"/>
        </w:rPr>
        <w:t>implementation</w:t>
      </w:r>
      <w:r w:rsidRPr="00F60077">
        <w:rPr>
          <w:bCs/>
          <w:szCs w:val="22"/>
          <w:lang w:val="en-GB"/>
        </w:rPr>
        <w:t xml:space="preserve"> of the IHO security scheme under S-100 using the proposed content in this paper as a guide.</w:t>
      </w:r>
    </w:p>
    <w:p w14:paraId="58D9404C" w14:textId="77777777" w:rsidR="00F60077" w:rsidRPr="00F60077" w:rsidRDefault="00F60077" w:rsidP="00F60077">
      <w:pPr>
        <w:pStyle w:val="subpara"/>
        <w:rPr>
          <w:b/>
          <w:szCs w:val="22"/>
          <w:lang w:val="en-GB"/>
        </w:rPr>
      </w:pPr>
    </w:p>
    <w:p w14:paraId="2226E216" w14:textId="77777777" w:rsidR="00F60077" w:rsidRPr="00F60077" w:rsidRDefault="00F60077" w:rsidP="00F60077">
      <w:pPr>
        <w:pStyle w:val="subpara"/>
        <w:rPr>
          <w:b/>
          <w:szCs w:val="22"/>
          <w:lang w:val="en-GB"/>
        </w:rPr>
      </w:pPr>
    </w:p>
    <w:p w14:paraId="0489DDA4" w14:textId="0AEBC0F0" w:rsidR="00F60077" w:rsidRDefault="003B50D6" w:rsidP="00F60077">
      <w:pPr>
        <w:pStyle w:val="subpara"/>
        <w:ind w:left="0" w:firstLine="0"/>
        <w:jc w:val="left"/>
        <w:rPr>
          <w:b/>
          <w:szCs w:val="22"/>
        </w:rPr>
      </w:pPr>
      <w:r>
        <w:rPr>
          <w:b/>
          <w:szCs w:val="22"/>
        </w:rPr>
        <w:t>Alignment against external frameworks.</w:t>
      </w:r>
    </w:p>
    <w:p w14:paraId="11557ADA" w14:textId="195A7EA9" w:rsidR="003B50D6" w:rsidRDefault="003B50D6" w:rsidP="00F60077">
      <w:pPr>
        <w:pStyle w:val="subpara"/>
        <w:ind w:left="0" w:firstLine="0"/>
        <w:jc w:val="left"/>
        <w:rPr>
          <w:bCs/>
          <w:szCs w:val="22"/>
        </w:rPr>
      </w:pPr>
      <w:r>
        <w:rPr>
          <w:bCs/>
          <w:szCs w:val="22"/>
        </w:rPr>
        <w:t>As part of a broader alignment against other frameworks for S-100 data, and for compatibility of S-100 ECDIS with other frameworks, some further modifications are proposed.</w:t>
      </w:r>
    </w:p>
    <w:p w14:paraId="3FB9EBE4" w14:textId="37B72B55" w:rsidR="003B50D6" w:rsidRDefault="003B50D6" w:rsidP="003B50D6">
      <w:pPr>
        <w:pStyle w:val="subpara"/>
        <w:numPr>
          <w:ilvl w:val="0"/>
          <w:numId w:val="8"/>
        </w:numPr>
        <w:jc w:val="left"/>
        <w:rPr>
          <w:bCs/>
          <w:szCs w:val="22"/>
        </w:rPr>
      </w:pPr>
      <w:r>
        <w:rPr>
          <w:bCs/>
          <w:szCs w:val="22"/>
        </w:rPr>
        <w:t>Part 15 is for the transfer of data in file form for direct import into the ECDIS</w:t>
      </w:r>
    </w:p>
    <w:p w14:paraId="09061ABF" w14:textId="631241CD" w:rsidR="003B50D6" w:rsidRDefault="003B50D6" w:rsidP="003B50D6">
      <w:pPr>
        <w:pStyle w:val="subpara"/>
        <w:numPr>
          <w:ilvl w:val="0"/>
          <w:numId w:val="8"/>
        </w:numPr>
        <w:jc w:val="left"/>
        <w:rPr>
          <w:bCs/>
          <w:szCs w:val="22"/>
        </w:rPr>
      </w:pPr>
      <w:r>
        <w:rPr>
          <w:bCs/>
          <w:szCs w:val="22"/>
        </w:rPr>
        <w:t>Systems connected to the ECDIS, which are transferring data in S-100 form could, potentially require facilities using different algorithms and key protocols.</w:t>
      </w:r>
    </w:p>
    <w:p w14:paraId="4E732EB6" w14:textId="1CA8A762" w:rsidR="003B50D6" w:rsidRDefault="003B50D6" w:rsidP="003B50D6">
      <w:pPr>
        <w:pStyle w:val="subpara"/>
        <w:numPr>
          <w:ilvl w:val="0"/>
          <w:numId w:val="8"/>
        </w:numPr>
        <w:jc w:val="left"/>
        <w:rPr>
          <w:bCs/>
          <w:szCs w:val="22"/>
        </w:rPr>
      </w:pPr>
      <w:r>
        <w:rPr>
          <w:bCs/>
          <w:szCs w:val="22"/>
        </w:rPr>
        <w:t>The Diffie-Hellman method of key exchange should be supported, in addition to the HW_ID, User Permit/Dataset Permit mechanism specified in Part 15 X.X X</w:t>
      </w:r>
    </w:p>
    <w:p w14:paraId="0D2A09CF" w14:textId="10B55EE0" w:rsidR="003B50D6" w:rsidRDefault="003B50D6" w:rsidP="003B50D6">
      <w:pPr>
        <w:pStyle w:val="subpara"/>
        <w:numPr>
          <w:ilvl w:val="0"/>
          <w:numId w:val="8"/>
        </w:numPr>
        <w:jc w:val="left"/>
        <w:rPr>
          <w:bCs/>
          <w:szCs w:val="22"/>
        </w:rPr>
      </w:pPr>
      <w:r>
        <w:rPr>
          <w:bCs/>
          <w:szCs w:val="22"/>
        </w:rPr>
        <w:t>The additional authentication formats should be supported:</w:t>
      </w:r>
    </w:p>
    <w:p w14:paraId="19057C50" w14:textId="1F889110" w:rsidR="003B50D6" w:rsidRDefault="003B50D6" w:rsidP="003B50D6">
      <w:pPr>
        <w:pStyle w:val="subpara"/>
        <w:numPr>
          <w:ilvl w:val="1"/>
          <w:numId w:val="8"/>
        </w:numPr>
        <w:jc w:val="left"/>
        <w:rPr>
          <w:bCs/>
          <w:szCs w:val="22"/>
        </w:rPr>
      </w:pPr>
      <w:r>
        <w:rPr>
          <w:bCs/>
          <w:szCs w:val="22"/>
        </w:rPr>
        <w:t>Elliptic Curve DSA</w:t>
      </w:r>
    </w:p>
    <w:p w14:paraId="5531C803" w14:textId="23982F5E" w:rsidR="003B50D6" w:rsidRDefault="003B50D6" w:rsidP="003B50D6">
      <w:pPr>
        <w:pStyle w:val="subpara"/>
        <w:numPr>
          <w:ilvl w:val="0"/>
          <w:numId w:val="8"/>
        </w:numPr>
        <w:jc w:val="left"/>
        <w:rPr>
          <w:bCs/>
          <w:szCs w:val="22"/>
        </w:rPr>
      </w:pPr>
      <w:r>
        <w:rPr>
          <w:bCs/>
          <w:szCs w:val="22"/>
        </w:rPr>
        <w:t>The additional encryption formats should be supported:</w:t>
      </w:r>
    </w:p>
    <w:p w14:paraId="205DEADD" w14:textId="2019A56F" w:rsidR="003B50D6" w:rsidRDefault="003B50D6" w:rsidP="003B50D6">
      <w:pPr>
        <w:pStyle w:val="subpara"/>
        <w:numPr>
          <w:ilvl w:val="1"/>
          <w:numId w:val="8"/>
        </w:numPr>
        <w:jc w:val="left"/>
        <w:rPr>
          <w:bCs/>
          <w:szCs w:val="22"/>
        </w:rPr>
      </w:pPr>
      <w:r>
        <w:rPr>
          <w:bCs/>
          <w:szCs w:val="22"/>
        </w:rPr>
        <w:t>RSA</w:t>
      </w:r>
    </w:p>
    <w:p w14:paraId="12EC5D5B" w14:textId="4E199113" w:rsidR="003B50D6" w:rsidRDefault="003B50D6" w:rsidP="003B50D6">
      <w:pPr>
        <w:pStyle w:val="subpara"/>
        <w:numPr>
          <w:ilvl w:val="1"/>
          <w:numId w:val="8"/>
        </w:numPr>
        <w:jc w:val="left"/>
        <w:rPr>
          <w:bCs/>
          <w:szCs w:val="22"/>
        </w:rPr>
      </w:pPr>
      <w:r>
        <w:rPr>
          <w:bCs/>
          <w:szCs w:val="22"/>
        </w:rPr>
        <w:t>DH-RSA</w:t>
      </w:r>
    </w:p>
    <w:p w14:paraId="45DF747F" w14:textId="78CE8D0E" w:rsidR="003B50D6" w:rsidRDefault="003B50D6" w:rsidP="003B50D6">
      <w:pPr>
        <w:pStyle w:val="subpara"/>
        <w:ind w:left="0" w:firstLine="0"/>
        <w:jc w:val="left"/>
        <w:rPr>
          <w:bCs/>
          <w:szCs w:val="22"/>
        </w:rPr>
      </w:pPr>
      <w:r>
        <w:rPr>
          <w:bCs/>
          <w:szCs w:val="22"/>
        </w:rPr>
        <w:t>Examples include SECOM and IALA G1128</w:t>
      </w:r>
    </w:p>
    <w:p w14:paraId="27064A46" w14:textId="4AFD3239" w:rsidR="003B50D6" w:rsidRDefault="003B50D6" w:rsidP="003B50D6">
      <w:pPr>
        <w:pStyle w:val="subpara"/>
        <w:ind w:left="0" w:firstLine="0"/>
        <w:jc w:val="left"/>
        <w:rPr>
          <w:bCs/>
          <w:szCs w:val="22"/>
        </w:rPr>
      </w:pPr>
      <w:r>
        <w:rPr>
          <w:bCs/>
          <w:szCs w:val="22"/>
        </w:rPr>
        <w:t>Transfer of data from sensors under SECOM will require DH key exchange.</w:t>
      </w:r>
    </w:p>
    <w:p w14:paraId="6E7C96EE" w14:textId="5F299EF7" w:rsidR="003B50D6" w:rsidRDefault="003B50D6" w:rsidP="003B50D6">
      <w:pPr>
        <w:pStyle w:val="subpara"/>
        <w:ind w:left="0" w:firstLine="0"/>
        <w:jc w:val="left"/>
        <w:rPr>
          <w:bCs/>
          <w:szCs w:val="22"/>
        </w:rPr>
      </w:pPr>
      <w:r>
        <w:rPr>
          <w:bCs/>
          <w:szCs w:val="22"/>
        </w:rPr>
        <w:t>Greater flexibility for implementation by Domain Controllers can be supported</w:t>
      </w:r>
    </w:p>
    <w:p w14:paraId="567683EC" w14:textId="3AD10D1E" w:rsidR="003B50D6" w:rsidRDefault="003B50D6" w:rsidP="003B50D6">
      <w:pPr>
        <w:pStyle w:val="subpara"/>
        <w:ind w:left="0" w:firstLine="0"/>
        <w:jc w:val="left"/>
        <w:rPr>
          <w:bCs/>
          <w:szCs w:val="22"/>
        </w:rPr>
      </w:pPr>
      <w:r>
        <w:rPr>
          <w:bCs/>
          <w:szCs w:val="22"/>
        </w:rPr>
        <w:t>Data transfer through such interfaces is likely to become more popular and, in time, 2048 bits or more will be required to assure a minimum level of authentication protection by the Scheme Administrators. In all cases, though:</w:t>
      </w:r>
    </w:p>
    <w:p w14:paraId="00F11530" w14:textId="1CD2E479" w:rsidR="003B50D6" w:rsidRDefault="003B50D6" w:rsidP="003B50D6">
      <w:pPr>
        <w:pStyle w:val="subpara"/>
        <w:numPr>
          <w:ilvl w:val="0"/>
          <w:numId w:val="9"/>
        </w:numPr>
        <w:jc w:val="left"/>
        <w:rPr>
          <w:bCs/>
          <w:szCs w:val="22"/>
        </w:rPr>
      </w:pPr>
      <w:r>
        <w:rPr>
          <w:bCs/>
          <w:szCs w:val="22"/>
        </w:rPr>
        <w:lastRenderedPageBreak/>
        <w:t>The IHOs data protection scheme procedures will govern implemented key lengths and the SA format used for authentication mechanisms</w:t>
      </w:r>
    </w:p>
    <w:p w14:paraId="4B1DC370" w14:textId="74428DBC" w:rsidR="003B50D6" w:rsidRDefault="003B50D6" w:rsidP="003B50D6">
      <w:pPr>
        <w:pStyle w:val="subpara"/>
        <w:numPr>
          <w:ilvl w:val="0"/>
          <w:numId w:val="9"/>
        </w:numPr>
        <w:jc w:val="left"/>
        <w:rPr>
          <w:bCs/>
          <w:szCs w:val="22"/>
        </w:rPr>
      </w:pPr>
      <w:r>
        <w:rPr>
          <w:bCs/>
          <w:szCs w:val="22"/>
        </w:rPr>
        <w:t>Replacement and revocation of the SA certificate</w:t>
      </w:r>
    </w:p>
    <w:p w14:paraId="38445D68" w14:textId="7C0D3593" w:rsidR="003B50D6" w:rsidRPr="003B50D6" w:rsidRDefault="003B50D6" w:rsidP="003B50D6">
      <w:pPr>
        <w:pStyle w:val="subpara"/>
        <w:numPr>
          <w:ilvl w:val="0"/>
          <w:numId w:val="9"/>
        </w:numPr>
        <w:jc w:val="left"/>
        <w:rPr>
          <w:bCs/>
          <w:szCs w:val="22"/>
        </w:rPr>
      </w:pPr>
      <w:r>
        <w:rPr>
          <w:bCs/>
          <w:szCs w:val="22"/>
        </w:rPr>
        <w:t>Implementation of comprehensive test datasets for implementing OEMs to ensure compatibility with all scheme participants.</w:t>
      </w:r>
    </w:p>
    <w:p w14:paraId="12D892C5" w14:textId="77777777" w:rsidR="003B50D6" w:rsidRPr="003B50D6" w:rsidRDefault="003B50D6" w:rsidP="003B50D6">
      <w:pPr>
        <w:pStyle w:val="subpara"/>
        <w:jc w:val="left"/>
        <w:rPr>
          <w:bCs/>
          <w:szCs w:val="22"/>
        </w:rPr>
      </w:pPr>
    </w:p>
    <w:sectPr w:rsidR="003B50D6" w:rsidRPr="003B50D6" w:rsidSect="00A6197D">
      <w:headerReference w:type="even" r:id="rId7"/>
      <w:headerReference w:type="default" r:id="rId8"/>
      <w:footerReference w:type="even" r:id="rId9"/>
      <w:footerReference w:type="default" r:id="rId10"/>
      <w:headerReference w:type="first" r:id="rId11"/>
      <w:footerReference w:type="first" r:id="rId12"/>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AAEE" w14:textId="77777777" w:rsidR="00A617B4" w:rsidRDefault="00A617B4">
      <w:r>
        <w:separator/>
      </w:r>
    </w:p>
  </w:endnote>
  <w:endnote w:type="continuationSeparator" w:id="0">
    <w:p w14:paraId="666E45F7" w14:textId="77777777" w:rsidR="00A617B4" w:rsidRDefault="00A6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0D61" w14:textId="77777777" w:rsidR="006811C3" w:rsidRDefault="00681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82D5" w14:textId="77777777" w:rsidR="00B468C3" w:rsidRDefault="00B468C3" w:rsidP="00B468C3">
    <w:pPr>
      <w:pStyle w:val="Footer"/>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B6045" w14:textId="77777777" w:rsidR="006811C3" w:rsidRDefault="0068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E894" w14:textId="77777777" w:rsidR="00A617B4" w:rsidRDefault="00A617B4">
      <w:r>
        <w:separator/>
      </w:r>
    </w:p>
  </w:footnote>
  <w:footnote w:type="continuationSeparator" w:id="0">
    <w:p w14:paraId="7824D5A7" w14:textId="77777777" w:rsidR="00A617B4" w:rsidRDefault="00A61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10D5" w14:textId="77777777" w:rsidR="006811C3" w:rsidRDefault="00681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7C52" w14:textId="77777777" w:rsidR="006811C3" w:rsidRDefault="00681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D4F0" w14:textId="77777777" w:rsidR="006811C3" w:rsidRDefault="00681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8DD"/>
    <w:multiLevelType w:val="hybridMultilevel"/>
    <w:tmpl w:val="6EA63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731CD"/>
    <w:multiLevelType w:val="multilevel"/>
    <w:tmpl w:val="9BB0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2D2E"/>
    <w:multiLevelType w:val="multilevel"/>
    <w:tmpl w:val="0678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10B2"/>
    <w:multiLevelType w:val="hybridMultilevel"/>
    <w:tmpl w:val="4A9A4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298699A"/>
    <w:multiLevelType w:val="multilevel"/>
    <w:tmpl w:val="0F5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B0B4E"/>
    <w:multiLevelType w:val="hybridMultilevel"/>
    <w:tmpl w:val="B08C71FA"/>
    <w:lvl w:ilvl="0" w:tplc="DA3E3C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C40AD6"/>
    <w:multiLevelType w:val="hybridMultilevel"/>
    <w:tmpl w:val="98C0A47A"/>
    <w:lvl w:ilvl="0" w:tplc="6D8A9F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502FFA"/>
    <w:multiLevelType w:val="hybridMultilevel"/>
    <w:tmpl w:val="881033A0"/>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79DF1FD5"/>
    <w:multiLevelType w:val="hybridMultilevel"/>
    <w:tmpl w:val="41F6E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A06"/>
    <w:rsid w:val="00073FEC"/>
    <w:rsid w:val="000963E9"/>
    <w:rsid w:val="00123983"/>
    <w:rsid w:val="001A5211"/>
    <w:rsid w:val="001B6177"/>
    <w:rsid w:val="00220711"/>
    <w:rsid w:val="00220E0D"/>
    <w:rsid w:val="0023741C"/>
    <w:rsid w:val="002B6973"/>
    <w:rsid w:val="002D343F"/>
    <w:rsid w:val="00330437"/>
    <w:rsid w:val="00333198"/>
    <w:rsid w:val="003B50D6"/>
    <w:rsid w:val="003C4771"/>
    <w:rsid w:val="00416EF0"/>
    <w:rsid w:val="00435359"/>
    <w:rsid w:val="00442030"/>
    <w:rsid w:val="004516CB"/>
    <w:rsid w:val="0046570D"/>
    <w:rsid w:val="00471D90"/>
    <w:rsid w:val="0048675E"/>
    <w:rsid w:val="004F5A06"/>
    <w:rsid w:val="00515C69"/>
    <w:rsid w:val="00527BCC"/>
    <w:rsid w:val="005646C2"/>
    <w:rsid w:val="00642AC2"/>
    <w:rsid w:val="006811C3"/>
    <w:rsid w:val="006D42A4"/>
    <w:rsid w:val="006F11C2"/>
    <w:rsid w:val="006F11DA"/>
    <w:rsid w:val="00792BA6"/>
    <w:rsid w:val="007C4ED6"/>
    <w:rsid w:val="007D2093"/>
    <w:rsid w:val="0082458F"/>
    <w:rsid w:val="00833A87"/>
    <w:rsid w:val="00874192"/>
    <w:rsid w:val="008809C4"/>
    <w:rsid w:val="00886FAD"/>
    <w:rsid w:val="00892E93"/>
    <w:rsid w:val="008A4A31"/>
    <w:rsid w:val="00996B95"/>
    <w:rsid w:val="00A265E1"/>
    <w:rsid w:val="00A617B4"/>
    <w:rsid w:val="00A6197D"/>
    <w:rsid w:val="00A63F34"/>
    <w:rsid w:val="00A82CB8"/>
    <w:rsid w:val="00A861B4"/>
    <w:rsid w:val="00AB27CE"/>
    <w:rsid w:val="00B468C3"/>
    <w:rsid w:val="00C04966"/>
    <w:rsid w:val="00C647A8"/>
    <w:rsid w:val="00CD5E71"/>
    <w:rsid w:val="00CE20F2"/>
    <w:rsid w:val="00D00767"/>
    <w:rsid w:val="00D33030"/>
    <w:rsid w:val="00D34698"/>
    <w:rsid w:val="00D83733"/>
    <w:rsid w:val="00EB060D"/>
    <w:rsid w:val="00EE7469"/>
    <w:rsid w:val="00F543C9"/>
    <w:rsid w:val="00F57D6E"/>
    <w:rsid w:val="00F60077"/>
    <w:rsid w:val="00F924CD"/>
    <w:rsid w:val="00FA4B63"/>
    <w:rsid w:val="00FC0FEC"/>
    <w:rsid w:val="00FF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B2AD2"/>
  <w15:docId w15:val="{5905FEEA-9143-47D4-B4DE-1C73D0E1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A06"/>
    <w:rPr>
      <w:sz w:val="24"/>
      <w:szCs w:val="24"/>
      <w:lang w:val="en-US" w:eastAsia="en-US"/>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0247">
      <w:bodyDiv w:val="1"/>
      <w:marLeft w:val="0"/>
      <w:marRight w:val="0"/>
      <w:marTop w:val="0"/>
      <w:marBottom w:val="0"/>
      <w:divBdr>
        <w:top w:val="none" w:sz="0" w:space="0" w:color="auto"/>
        <w:left w:val="none" w:sz="0" w:space="0" w:color="auto"/>
        <w:bottom w:val="none" w:sz="0" w:space="0" w:color="auto"/>
        <w:right w:val="none" w:sz="0" w:space="0" w:color="auto"/>
      </w:divBdr>
    </w:div>
    <w:div w:id="821969384">
      <w:bodyDiv w:val="1"/>
      <w:marLeft w:val="0"/>
      <w:marRight w:val="0"/>
      <w:marTop w:val="0"/>
      <w:marBottom w:val="0"/>
      <w:divBdr>
        <w:top w:val="none" w:sz="0" w:space="0" w:color="auto"/>
        <w:left w:val="none" w:sz="0" w:space="0" w:color="auto"/>
        <w:bottom w:val="none" w:sz="0" w:space="0" w:color="auto"/>
        <w:right w:val="none" w:sz="0" w:space="0" w:color="auto"/>
      </w:divBdr>
    </w:div>
    <w:div w:id="15814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4914</Characters>
  <Application>Microsoft Office Word</Application>
  <DocSecurity>0</DocSecurity>
  <Lines>40</Lines>
  <Paragraphs>11</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jon pritchard</cp:lastModifiedBy>
  <cp:revision>3</cp:revision>
  <cp:lastPrinted>2007-11-26T08:44:00Z</cp:lastPrinted>
  <dcterms:created xsi:type="dcterms:W3CDTF">2021-09-21T10:19:00Z</dcterms:created>
  <dcterms:modified xsi:type="dcterms:W3CDTF">2021-09-21T10:27:00Z</dcterms:modified>
</cp:coreProperties>
</file>