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59E1F" w14:textId="77777777" w:rsidR="00A87456" w:rsidRPr="00DA288F" w:rsidRDefault="00123841">
      <w:pPr>
        <w:pStyle w:val="Titre"/>
        <w:rPr>
          <w:color w:val="auto"/>
          <w:lang w:val="fr-FR"/>
        </w:rPr>
      </w:pPr>
      <w:r w:rsidRPr="00DA288F">
        <w:rPr>
          <w:color w:val="auto"/>
          <w:lang w:val="fr-FR"/>
        </w:rPr>
        <w:t>Du modèle à la production : prédiction des pannes de forages</w:t>
      </w:r>
    </w:p>
    <w:p w14:paraId="531FD7C3" w14:textId="09D5B56F" w:rsidR="00A87456" w:rsidRPr="00DA288F" w:rsidRDefault="00123841">
      <w:pPr>
        <w:pStyle w:val="Sous-titre"/>
        <w:rPr>
          <w:color w:val="auto"/>
          <w:lang w:val="fr-FR"/>
        </w:rPr>
      </w:pPr>
      <w:r w:rsidRPr="00DA288F">
        <w:rPr>
          <w:color w:val="auto"/>
          <w:lang w:val="fr-FR"/>
        </w:rPr>
        <w:t xml:space="preserve">Rapport technique — projet de fin de cours </w:t>
      </w:r>
      <w:proofErr w:type="spellStart"/>
      <w:r w:rsidRPr="00DA288F">
        <w:rPr>
          <w:color w:val="auto"/>
          <w:lang w:val="fr-FR"/>
        </w:rPr>
        <w:t>MLOps</w:t>
      </w:r>
      <w:proofErr w:type="spellEnd"/>
      <w:r>
        <w:rPr>
          <w:color w:val="auto"/>
          <w:lang w:val="fr-FR"/>
        </w:rPr>
        <w:t xml:space="preserve">- IMA </w:t>
      </w:r>
      <w:proofErr w:type="gramStart"/>
      <w:r>
        <w:rPr>
          <w:color w:val="auto"/>
          <w:lang w:val="fr-FR"/>
        </w:rPr>
        <w:t>B.IGOR</w:t>
      </w:r>
      <w:proofErr w:type="gramEnd"/>
      <w:r>
        <w:rPr>
          <w:color w:val="auto"/>
          <w:lang w:val="fr-FR"/>
        </w:rPr>
        <w:t xml:space="preserve"> ADAM – KANAZOE MOUBARAK</w:t>
      </w:r>
    </w:p>
    <w:p w14:paraId="07A53F24" w14:textId="77777777" w:rsidR="00A87456" w:rsidRPr="00DA288F" w:rsidRDefault="00123841">
      <w:pPr>
        <w:rPr>
          <w:lang w:val="fr-FR"/>
        </w:rPr>
      </w:pPr>
      <w:r w:rsidRPr="00DA288F">
        <w:rPr>
          <w:lang w:val="fr-FR"/>
        </w:rPr>
        <w:t xml:space="preserve">Objectif : construire une chaîne reproductible d’apprentissage automatique pour estimer le risque de panne d’un forage dans les 90 jours, </w:t>
      </w:r>
      <w:r w:rsidRPr="00DA288F">
        <w:rPr>
          <w:lang w:val="fr-FR"/>
        </w:rPr>
        <w:t>exposer la prédiction par API et surveiller la dérive des données.</w:t>
      </w:r>
    </w:p>
    <w:p w14:paraId="6973FFBF" w14:textId="77777777" w:rsidR="00A87456" w:rsidRPr="00DA288F" w:rsidRDefault="00123841">
      <w:pPr>
        <w:pStyle w:val="Titre1"/>
        <w:rPr>
          <w:color w:val="auto"/>
          <w:lang w:val="fr-FR"/>
        </w:rPr>
      </w:pPr>
      <w:r w:rsidRPr="00DA288F">
        <w:rPr>
          <w:color w:val="auto"/>
          <w:lang w:val="fr-FR"/>
        </w:rPr>
        <w:t>1. Synthèse exécutive</w:t>
      </w:r>
    </w:p>
    <w:p w14:paraId="22274105" w14:textId="77777777" w:rsidR="00A87456" w:rsidRPr="00DA288F" w:rsidRDefault="00123841">
      <w:pPr>
        <w:rPr>
          <w:lang w:val="fr-FR"/>
        </w:rPr>
      </w:pPr>
      <w:r w:rsidRPr="00DA288F">
        <w:rPr>
          <w:lang w:val="fr-FR"/>
        </w:rPr>
        <w:t>Le jeu historique contient 3,000 observations et 1,088 pannes positives (36.3%). Trois modèles ont été comparés sur un test stratifié de 20 %. Le meilleur selon l’</w:t>
      </w:r>
      <w:proofErr w:type="spellStart"/>
      <w:r w:rsidRPr="00DA288F">
        <w:rPr>
          <w:lang w:val="fr-FR"/>
        </w:rPr>
        <w:t>aver</w:t>
      </w:r>
      <w:r w:rsidRPr="00DA288F">
        <w:rPr>
          <w:lang w:val="fr-FR"/>
        </w:rPr>
        <w:t>age</w:t>
      </w:r>
      <w:proofErr w:type="spellEnd"/>
      <w:r w:rsidRPr="00DA288F">
        <w:rPr>
          <w:lang w:val="fr-FR"/>
        </w:rPr>
        <w:t xml:space="preserve"> </w:t>
      </w:r>
      <w:proofErr w:type="spellStart"/>
      <w:r w:rsidRPr="00DA288F">
        <w:rPr>
          <w:lang w:val="fr-FR"/>
        </w:rPr>
        <w:t>precision</w:t>
      </w:r>
      <w:proofErr w:type="spellEnd"/>
      <w:r w:rsidRPr="00DA288F">
        <w:rPr>
          <w:lang w:val="fr-FR"/>
        </w:rPr>
        <w:t xml:space="preserve"> est </w:t>
      </w:r>
      <w:proofErr w:type="spellStart"/>
      <w:r w:rsidRPr="00DA288F">
        <w:rPr>
          <w:lang w:val="fr-FR"/>
        </w:rPr>
        <w:t>logistic_regression</w:t>
      </w:r>
      <w:proofErr w:type="spellEnd"/>
      <w:r w:rsidRPr="00DA288F">
        <w:rPr>
          <w:lang w:val="fr-FR"/>
        </w:rPr>
        <w:t xml:space="preserve"> (AP=0.606, ROC AUC=0.751). Le garde-fou pédagogique AP ≥ 0.50 est respecté. La surveillance du jeu récent signale 2 variables en dérive : </w:t>
      </w:r>
      <w:proofErr w:type="spellStart"/>
      <w:r w:rsidRPr="00DA288F">
        <w:rPr>
          <w:lang w:val="fr-FR"/>
        </w:rPr>
        <w:t>usagers_jour</w:t>
      </w:r>
      <w:proofErr w:type="spellEnd"/>
      <w:r w:rsidRPr="00DA288F">
        <w:rPr>
          <w:lang w:val="fr-FR"/>
        </w:rPr>
        <w:t xml:space="preserve"> et pannes_12m. Cette alerte appelle une vérification métier, pas un</w:t>
      </w:r>
      <w:r w:rsidRPr="00DA288F">
        <w:rPr>
          <w:lang w:val="fr-FR"/>
        </w:rPr>
        <w:t xml:space="preserve"> </w:t>
      </w:r>
      <w:proofErr w:type="spellStart"/>
      <w:r w:rsidRPr="00DA288F">
        <w:rPr>
          <w:lang w:val="fr-FR"/>
        </w:rPr>
        <w:t>ré-entraînement</w:t>
      </w:r>
      <w:proofErr w:type="spellEnd"/>
      <w:r w:rsidRPr="00DA288F">
        <w:rPr>
          <w:lang w:val="fr-FR"/>
        </w:rPr>
        <w:t xml:space="preserve"> aveugle.</w:t>
      </w:r>
    </w:p>
    <w:p w14:paraId="56F60F3E" w14:textId="77777777" w:rsidR="00A87456" w:rsidRPr="00DA288F" w:rsidRDefault="00123841">
      <w:pPr>
        <w:pStyle w:val="Titre1"/>
        <w:rPr>
          <w:color w:val="auto"/>
          <w:lang w:val="fr-FR"/>
        </w:rPr>
      </w:pPr>
      <w:r w:rsidRPr="00DA288F">
        <w:rPr>
          <w:color w:val="auto"/>
          <w:lang w:val="fr-FR"/>
        </w:rPr>
        <w:t>2. Données et prévention de la fuite</w:t>
      </w:r>
    </w:p>
    <w:p w14:paraId="38B3A0BB" w14:textId="77777777" w:rsidR="00A87456" w:rsidRPr="00DA288F" w:rsidRDefault="00123841">
      <w:pPr>
        <w:rPr>
          <w:lang w:val="fr-FR"/>
        </w:rPr>
      </w:pPr>
      <w:r w:rsidRPr="00DA288F">
        <w:rPr>
          <w:lang w:val="fr-FR"/>
        </w:rPr>
        <w:t xml:space="preserve">Historique : 3000 lignes et 9 colonnes. Jeu récent : 600 lignes. Les huit variables explicatives sont </w:t>
      </w:r>
      <w:proofErr w:type="spellStart"/>
      <w:r w:rsidRPr="00DA288F">
        <w:rPr>
          <w:lang w:val="fr-FR"/>
        </w:rPr>
        <w:t>age_ans</w:t>
      </w:r>
      <w:proofErr w:type="spellEnd"/>
      <w:r w:rsidRPr="00DA288F">
        <w:rPr>
          <w:lang w:val="fr-FR"/>
        </w:rPr>
        <w:t xml:space="preserve">, </w:t>
      </w:r>
      <w:proofErr w:type="spellStart"/>
      <w:r w:rsidRPr="00DA288F">
        <w:rPr>
          <w:lang w:val="fr-FR"/>
        </w:rPr>
        <w:t>profondeur_m</w:t>
      </w:r>
      <w:proofErr w:type="spellEnd"/>
      <w:r w:rsidRPr="00DA288F">
        <w:rPr>
          <w:lang w:val="fr-FR"/>
        </w:rPr>
        <w:t xml:space="preserve">, debit_m3h, </w:t>
      </w:r>
      <w:proofErr w:type="spellStart"/>
      <w:r w:rsidRPr="00DA288F">
        <w:rPr>
          <w:lang w:val="fr-FR"/>
        </w:rPr>
        <w:t>usagers_jour</w:t>
      </w:r>
      <w:proofErr w:type="spellEnd"/>
      <w:r w:rsidRPr="00DA288F">
        <w:rPr>
          <w:lang w:val="fr-FR"/>
        </w:rPr>
        <w:t xml:space="preserve">, </w:t>
      </w:r>
      <w:proofErr w:type="spellStart"/>
      <w:r w:rsidRPr="00DA288F">
        <w:rPr>
          <w:lang w:val="fr-FR"/>
        </w:rPr>
        <w:t>jours_depuis_maintenance</w:t>
      </w:r>
      <w:proofErr w:type="spellEnd"/>
      <w:r w:rsidRPr="00DA288F">
        <w:rPr>
          <w:lang w:val="fr-FR"/>
        </w:rPr>
        <w:t xml:space="preserve">, pannes_12m, </w:t>
      </w:r>
      <w:proofErr w:type="spellStart"/>
      <w:r w:rsidRPr="00DA288F">
        <w:rPr>
          <w:lang w:val="fr-FR"/>
        </w:rPr>
        <w:t>type_</w:t>
      </w:r>
      <w:r w:rsidRPr="00DA288F">
        <w:rPr>
          <w:lang w:val="fr-FR"/>
        </w:rPr>
        <w:t>pompe</w:t>
      </w:r>
      <w:proofErr w:type="spellEnd"/>
      <w:r w:rsidRPr="00DA288F">
        <w:rPr>
          <w:lang w:val="fr-FR"/>
        </w:rPr>
        <w:t xml:space="preserve"> et </w:t>
      </w:r>
      <w:proofErr w:type="spellStart"/>
      <w:r w:rsidRPr="00DA288F">
        <w:rPr>
          <w:lang w:val="fr-FR"/>
        </w:rPr>
        <w:t>region</w:t>
      </w:r>
      <w:proofErr w:type="spellEnd"/>
      <w:r w:rsidRPr="00DA288F">
        <w:rPr>
          <w:lang w:val="fr-FR"/>
        </w:rPr>
        <w:t xml:space="preserve">. La cible panne_90j est exclue de X à l’entraînement et au </w:t>
      </w:r>
      <w:proofErr w:type="spellStart"/>
      <w:r w:rsidRPr="00DA288F">
        <w:rPr>
          <w:lang w:val="fr-FR"/>
        </w:rPr>
        <w:t>scoring</w:t>
      </w:r>
      <w:proofErr w:type="spellEnd"/>
      <w:r w:rsidRPr="00DA288F">
        <w:rPr>
          <w:lang w:val="fr-FR"/>
        </w:rPr>
        <w:t>. Le split est stratifié et les transformations sont apprises dans un Pipeline uniquement sur les données d’entraînement.</w:t>
      </w:r>
    </w:p>
    <w:p w14:paraId="5E29EC4A" w14:textId="77777777" w:rsidR="00A87456" w:rsidRPr="00DA288F" w:rsidRDefault="00123841">
      <w:pPr>
        <w:pStyle w:val="Titre1"/>
        <w:rPr>
          <w:color w:val="auto"/>
        </w:rPr>
      </w:pPr>
      <w:r w:rsidRPr="00DA288F">
        <w:rPr>
          <w:color w:val="auto"/>
        </w:rPr>
        <w:t>3. Comparaison des modèles</w:t>
      </w:r>
    </w:p>
    <w:tbl>
      <w:tblPr>
        <w:tblStyle w:val="Trameclaire-Accent1"/>
        <w:tblW w:w="0" w:type="auto"/>
        <w:tblLook w:val="04A0" w:firstRow="1" w:lastRow="0" w:firstColumn="1" w:lastColumn="0" w:noHBand="0" w:noVBand="1"/>
      </w:tblPr>
      <w:tblGrid>
        <w:gridCol w:w="2051"/>
        <w:gridCol w:w="1700"/>
        <w:gridCol w:w="1700"/>
        <w:gridCol w:w="1705"/>
        <w:gridCol w:w="1700"/>
      </w:tblGrid>
      <w:tr w:rsidR="00DA288F" w:rsidRPr="00DA288F" w14:paraId="2688BA6D" w14:textId="77777777" w:rsidTr="00A87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5AC23B" w14:textId="77777777" w:rsidR="00A87456" w:rsidRPr="00DA288F" w:rsidRDefault="00123841">
            <w:pPr>
              <w:rPr>
                <w:color w:val="auto"/>
              </w:rPr>
            </w:pPr>
            <w:r w:rsidRPr="00DA288F">
              <w:rPr>
                <w:color w:val="auto"/>
              </w:rPr>
              <w:t>Modèle</w:t>
            </w:r>
          </w:p>
        </w:tc>
        <w:tc>
          <w:tcPr>
            <w:tcW w:w="1728" w:type="dxa"/>
          </w:tcPr>
          <w:p w14:paraId="79DA01C2" w14:textId="77777777" w:rsidR="00A87456" w:rsidRPr="00DA288F" w:rsidRDefault="00123841">
            <w:pPr>
              <w:cnfStyle w:val="100000000000" w:firstRow="1" w:lastRow="0" w:firstColumn="0" w:lastColumn="0" w:oddVBand="0" w:evenVBand="0" w:oddHBand="0" w:evenHBand="0" w:firstRowFirstColumn="0" w:firstRowLastColumn="0" w:lastRowFirstColumn="0" w:lastRowLastColumn="0"/>
              <w:rPr>
                <w:color w:val="auto"/>
              </w:rPr>
            </w:pPr>
            <w:r w:rsidRPr="00DA288F">
              <w:rPr>
                <w:color w:val="auto"/>
              </w:rPr>
              <w:t>AP</w:t>
            </w:r>
          </w:p>
        </w:tc>
        <w:tc>
          <w:tcPr>
            <w:tcW w:w="1728" w:type="dxa"/>
          </w:tcPr>
          <w:p w14:paraId="3B8275C0" w14:textId="77777777" w:rsidR="00A87456" w:rsidRPr="00DA288F" w:rsidRDefault="00123841">
            <w:pPr>
              <w:cnfStyle w:val="100000000000" w:firstRow="1" w:lastRow="0" w:firstColumn="0" w:lastColumn="0" w:oddVBand="0" w:evenVBand="0" w:oddHBand="0" w:evenHBand="0" w:firstRowFirstColumn="0" w:firstRowLastColumn="0" w:lastRowFirstColumn="0" w:lastRowLastColumn="0"/>
              <w:rPr>
                <w:color w:val="auto"/>
              </w:rPr>
            </w:pPr>
            <w:r w:rsidRPr="00DA288F">
              <w:rPr>
                <w:color w:val="auto"/>
              </w:rPr>
              <w:t>ROC AUC</w:t>
            </w:r>
          </w:p>
        </w:tc>
        <w:tc>
          <w:tcPr>
            <w:tcW w:w="1728" w:type="dxa"/>
          </w:tcPr>
          <w:p w14:paraId="16EC0D69" w14:textId="77777777" w:rsidR="00A87456" w:rsidRPr="00DA288F" w:rsidRDefault="00123841">
            <w:pPr>
              <w:cnfStyle w:val="100000000000" w:firstRow="1" w:lastRow="0" w:firstColumn="0" w:lastColumn="0" w:oddVBand="0" w:evenVBand="0" w:oddHBand="0" w:evenHBand="0" w:firstRowFirstColumn="0" w:firstRowLastColumn="0" w:lastRowFirstColumn="0" w:lastRowLastColumn="0"/>
              <w:rPr>
                <w:color w:val="auto"/>
              </w:rPr>
            </w:pPr>
            <w:r w:rsidRPr="00DA288F">
              <w:rPr>
                <w:color w:val="auto"/>
              </w:rPr>
              <w:t>Rappel</w:t>
            </w:r>
          </w:p>
        </w:tc>
        <w:tc>
          <w:tcPr>
            <w:tcW w:w="1728" w:type="dxa"/>
          </w:tcPr>
          <w:p w14:paraId="78CB33A2" w14:textId="77777777" w:rsidR="00A87456" w:rsidRPr="00DA288F" w:rsidRDefault="00123841">
            <w:pPr>
              <w:cnfStyle w:val="100000000000" w:firstRow="1" w:lastRow="0" w:firstColumn="0" w:lastColumn="0" w:oddVBand="0" w:evenVBand="0" w:oddHBand="0" w:evenHBand="0" w:firstRowFirstColumn="0" w:firstRowLastColumn="0" w:lastRowFirstColumn="0" w:lastRowLastColumn="0"/>
              <w:rPr>
                <w:color w:val="auto"/>
              </w:rPr>
            </w:pPr>
            <w:r w:rsidRPr="00DA288F">
              <w:rPr>
                <w:color w:val="auto"/>
              </w:rPr>
              <w:t>F1</w:t>
            </w:r>
          </w:p>
        </w:tc>
      </w:tr>
      <w:tr w:rsidR="00DA288F" w:rsidRPr="00DA288F" w14:paraId="1D0A2221" w14:textId="77777777" w:rsidTr="00A8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64A2B7" w14:textId="77777777" w:rsidR="00A87456" w:rsidRPr="00DA288F" w:rsidRDefault="00123841">
            <w:pPr>
              <w:rPr>
                <w:color w:val="auto"/>
              </w:rPr>
            </w:pPr>
            <w:proofErr w:type="spellStart"/>
            <w:r w:rsidRPr="00DA288F">
              <w:rPr>
                <w:color w:val="auto"/>
              </w:rPr>
              <w:t>logistic_regression</w:t>
            </w:r>
            <w:proofErr w:type="spellEnd"/>
          </w:p>
        </w:tc>
        <w:tc>
          <w:tcPr>
            <w:tcW w:w="1728" w:type="dxa"/>
          </w:tcPr>
          <w:p w14:paraId="3DC32C62" w14:textId="77777777" w:rsidR="00A87456" w:rsidRPr="00DA288F" w:rsidRDefault="00123841">
            <w:pPr>
              <w:cnfStyle w:val="000000100000" w:firstRow="0" w:lastRow="0" w:firstColumn="0" w:lastColumn="0" w:oddVBand="0" w:evenVBand="0" w:oddHBand="1" w:evenHBand="0" w:firstRowFirstColumn="0" w:firstRowLastColumn="0" w:lastRowFirstColumn="0" w:lastRowLastColumn="0"/>
              <w:rPr>
                <w:color w:val="auto"/>
              </w:rPr>
            </w:pPr>
            <w:r w:rsidRPr="00DA288F">
              <w:rPr>
                <w:color w:val="auto"/>
              </w:rPr>
              <w:t>0.606</w:t>
            </w:r>
          </w:p>
        </w:tc>
        <w:tc>
          <w:tcPr>
            <w:tcW w:w="1728" w:type="dxa"/>
          </w:tcPr>
          <w:p w14:paraId="038A86A5" w14:textId="77777777" w:rsidR="00A87456" w:rsidRPr="00DA288F" w:rsidRDefault="00123841">
            <w:pPr>
              <w:cnfStyle w:val="000000100000" w:firstRow="0" w:lastRow="0" w:firstColumn="0" w:lastColumn="0" w:oddVBand="0" w:evenVBand="0" w:oddHBand="1" w:evenHBand="0" w:firstRowFirstColumn="0" w:firstRowLastColumn="0" w:lastRowFirstColumn="0" w:lastRowLastColumn="0"/>
              <w:rPr>
                <w:color w:val="auto"/>
              </w:rPr>
            </w:pPr>
            <w:r w:rsidRPr="00DA288F">
              <w:rPr>
                <w:color w:val="auto"/>
              </w:rPr>
              <w:t>0.751</w:t>
            </w:r>
          </w:p>
        </w:tc>
        <w:tc>
          <w:tcPr>
            <w:tcW w:w="1728" w:type="dxa"/>
          </w:tcPr>
          <w:p w14:paraId="745C0FA7" w14:textId="77777777" w:rsidR="00A87456" w:rsidRPr="00DA288F" w:rsidRDefault="00123841">
            <w:pPr>
              <w:cnfStyle w:val="000000100000" w:firstRow="0" w:lastRow="0" w:firstColumn="0" w:lastColumn="0" w:oddVBand="0" w:evenVBand="0" w:oddHBand="1" w:evenHBand="0" w:firstRowFirstColumn="0" w:firstRowLastColumn="0" w:lastRowFirstColumn="0" w:lastRowLastColumn="0"/>
              <w:rPr>
                <w:color w:val="auto"/>
              </w:rPr>
            </w:pPr>
            <w:r w:rsidRPr="00DA288F">
              <w:rPr>
                <w:color w:val="auto"/>
              </w:rPr>
              <w:t>0.679</w:t>
            </w:r>
          </w:p>
        </w:tc>
        <w:tc>
          <w:tcPr>
            <w:tcW w:w="1728" w:type="dxa"/>
          </w:tcPr>
          <w:p w14:paraId="0AD15DDA" w14:textId="77777777" w:rsidR="00A87456" w:rsidRPr="00DA288F" w:rsidRDefault="00123841">
            <w:pPr>
              <w:cnfStyle w:val="000000100000" w:firstRow="0" w:lastRow="0" w:firstColumn="0" w:lastColumn="0" w:oddVBand="0" w:evenVBand="0" w:oddHBand="1" w:evenHBand="0" w:firstRowFirstColumn="0" w:firstRowLastColumn="0" w:lastRowFirstColumn="0" w:lastRowLastColumn="0"/>
              <w:rPr>
                <w:color w:val="auto"/>
              </w:rPr>
            </w:pPr>
            <w:r w:rsidRPr="00DA288F">
              <w:rPr>
                <w:color w:val="auto"/>
              </w:rPr>
              <w:t>0.613</w:t>
            </w:r>
          </w:p>
        </w:tc>
      </w:tr>
      <w:tr w:rsidR="00DA288F" w:rsidRPr="00DA288F" w14:paraId="5A691C9C" w14:textId="77777777" w:rsidTr="00A87456">
        <w:tc>
          <w:tcPr>
            <w:cnfStyle w:val="001000000000" w:firstRow="0" w:lastRow="0" w:firstColumn="1" w:lastColumn="0" w:oddVBand="0" w:evenVBand="0" w:oddHBand="0" w:evenHBand="0" w:firstRowFirstColumn="0" w:firstRowLastColumn="0" w:lastRowFirstColumn="0" w:lastRowLastColumn="0"/>
            <w:tcW w:w="1728" w:type="dxa"/>
          </w:tcPr>
          <w:p w14:paraId="28CC0CBA" w14:textId="77777777" w:rsidR="00A87456" w:rsidRPr="00DA288F" w:rsidRDefault="00123841">
            <w:pPr>
              <w:rPr>
                <w:color w:val="auto"/>
              </w:rPr>
            </w:pPr>
            <w:proofErr w:type="spellStart"/>
            <w:r w:rsidRPr="00DA288F">
              <w:rPr>
                <w:color w:val="auto"/>
              </w:rPr>
              <w:t>extra_trees</w:t>
            </w:r>
            <w:proofErr w:type="spellEnd"/>
          </w:p>
        </w:tc>
        <w:tc>
          <w:tcPr>
            <w:tcW w:w="1728" w:type="dxa"/>
          </w:tcPr>
          <w:p w14:paraId="37111303" w14:textId="77777777" w:rsidR="00A87456" w:rsidRPr="00DA288F" w:rsidRDefault="00123841">
            <w:pPr>
              <w:cnfStyle w:val="000000000000" w:firstRow="0" w:lastRow="0" w:firstColumn="0" w:lastColumn="0" w:oddVBand="0" w:evenVBand="0" w:oddHBand="0" w:evenHBand="0" w:firstRowFirstColumn="0" w:firstRowLastColumn="0" w:lastRowFirstColumn="0" w:lastRowLastColumn="0"/>
              <w:rPr>
                <w:color w:val="auto"/>
              </w:rPr>
            </w:pPr>
            <w:r w:rsidRPr="00DA288F">
              <w:rPr>
                <w:color w:val="auto"/>
              </w:rPr>
              <w:t>0.574</w:t>
            </w:r>
          </w:p>
        </w:tc>
        <w:tc>
          <w:tcPr>
            <w:tcW w:w="1728" w:type="dxa"/>
          </w:tcPr>
          <w:p w14:paraId="251332F5" w14:textId="77777777" w:rsidR="00A87456" w:rsidRPr="00DA288F" w:rsidRDefault="00123841">
            <w:pPr>
              <w:cnfStyle w:val="000000000000" w:firstRow="0" w:lastRow="0" w:firstColumn="0" w:lastColumn="0" w:oddVBand="0" w:evenVBand="0" w:oddHBand="0" w:evenHBand="0" w:firstRowFirstColumn="0" w:firstRowLastColumn="0" w:lastRowFirstColumn="0" w:lastRowLastColumn="0"/>
              <w:rPr>
                <w:color w:val="auto"/>
              </w:rPr>
            </w:pPr>
            <w:r w:rsidRPr="00DA288F">
              <w:rPr>
                <w:color w:val="auto"/>
              </w:rPr>
              <w:t>0.719</w:t>
            </w:r>
          </w:p>
        </w:tc>
        <w:tc>
          <w:tcPr>
            <w:tcW w:w="1728" w:type="dxa"/>
          </w:tcPr>
          <w:p w14:paraId="6C96A4D0" w14:textId="77777777" w:rsidR="00A87456" w:rsidRPr="00DA288F" w:rsidRDefault="00123841">
            <w:pPr>
              <w:cnfStyle w:val="000000000000" w:firstRow="0" w:lastRow="0" w:firstColumn="0" w:lastColumn="0" w:oddVBand="0" w:evenVBand="0" w:oddHBand="0" w:evenHBand="0" w:firstRowFirstColumn="0" w:firstRowLastColumn="0" w:lastRowFirstColumn="0" w:lastRowLastColumn="0"/>
              <w:rPr>
                <w:color w:val="auto"/>
              </w:rPr>
            </w:pPr>
            <w:r w:rsidRPr="00DA288F">
              <w:rPr>
                <w:color w:val="auto"/>
              </w:rPr>
              <w:t>0.592</w:t>
            </w:r>
          </w:p>
        </w:tc>
        <w:tc>
          <w:tcPr>
            <w:tcW w:w="1728" w:type="dxa"/>
          </w:tcPr>
          <w:p w14:paraId="6A3DA829" w14:textId="77777777" w:rsidR="00A87456" w:rsidRPr="00DA288F" w:rsidRDefault="00123841">
            <w:pPr>
              <w:cnfStyle w:val="000000000000" w:firstRow="0" w:lastRow="0" w:firstColumn="0" w:lastColumn="0" w:oddVBand="0" w:evenVBand="0" w:oddHBand="0" w:evenHBand="0" w:firstRowFirstColumn="0" w:firstRowLastColumn="0" w:lastRowFirstColumn="0" w:lastRowLastColumn="0"/>
              <w:rPr>
                <w:color w:val="auto"/>
              </w:rPr>
            </w:pPr>
            <w:r w:rsidRPr="00DA288F">
              <w:rPr>
                <w:color w:val="auto"/>
              </w:rPr>
              <w:t>0.572</w:t>
            </w:r>
          </w:p>
        </w:tc>
      </w:tr>
      <w:tr w:rsidR="00DA288F" w:rsidRPr="00DA288F" w14:paraId="08E49DB6" w14:textId="77777777" w:rsidTr="00A8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D7B8635" w14:textId="77777777" w:rsidR="00A87456" w:rsidRPr="00DA288F" w:rsidRDefault="00123841">
            <w:pPr>
              <w:rPr>
                <w:color w:val="auto"/>
              </w:rPr>
            </w:pPr>
            <w:proofErr w:type="spellStart"/>
            <w:r w:rsidRPr="00DA288F">
              <w:rPr>
                <w:color w:val="auto"/>
              </w:rPr>
              <w:t>random_forest</w:t>
            </w:r>
            <w:proofErr w:type="spellEnd"/>
          </w:p>
        </w:tc>
        <w:tc>
          <w:tcPr>
            <w:tcW w:w="1728" w:type="dxa"/>
          </w:tcPr>
          <w:p w14:paraId="56D86A8E" w14:textId="77777777" w:rsidR="00A87456" w:rsidRPr="00DA288F" w:rsidRDefault="00123841">
            <w:pPr>
              <w:cnfStyle w:val="000000100000" w:firstRow="0" w:lastRow="0" w:firstColumn="0" w:lastColumn="0" w:oddVBand="0" w:evenVBand="0" w:oddHBand="1" w:evenHBand="0" w:firstRowFirstColumn="0" w:firstRowLastColumn="0" w:lastRowFirstColumn="0" w:lastRowLastColumn="0"/>
              <w:rPr>
                <w:color w:val="auto"/>
              </w:rPr>
            </w:pPr>
            <w:r w:rsidRPr="00DA288F">
              <w:rPr>
                <w:color w:val="auto"/>
              </w:rPr>
              <w:t>0.571</w:t>
            </w:r>
          </w:p>
        </w:tc>
        <w:tc>
          <w:tcPr>
            <w:tcW w:w="1728" w:type="dxa"/>
          </w:tcPr>
          <w:p w14:paraId="477CB87B" w14:textId="77777777" w:rsidR="00A87456" w:rsidRPr="00DA288F" w:rsidRDefault="00123841">
            <w:pPr>
              <w:cnfStyle w:val="000000100000" w:firstRow="0" w:lastRow="0" w:firstColumn="0" w:lastColumn="0" w:oddVBand="0" w:evenVBand="0" w:oddHBand="1" w:evenHBand="0" w:firstRowFirstColumn="0" w:firstRowLastColumn="0" w:lastRowFirstColumn="0" w:lastRowLastColumn="0"/>
              <w:rPr>
                <w:color w:val="auto"/>
              </w:rPr>
            </w:pPr>
            <w:r w:rsidRPr="00DA288F">
              <w:rPr>
                <w:color w:val="auto"/>
              </w:rPr>
              <w:t>0.720</w:t>
            </w:r>
          </w:p>
        </w:tc>
        <w:tc>
          <w:tcPr>
            <w:tcW w:w="1728" w:type="dxa"/>
          </w:tcPr>
          <w:p w14:paraId="16BE19EF" w14:textId="77777777" w:rsidR="00A87456" w:rsidRPr="00DA288F" w:rsidRDefault="00123841">
            <w:pPr>
              <w:cnfStyle w:val="000000100000" w:firstRow="0" w:lastRow="0" w:firstColumn="0" w:lastColumn="0" w:oddVBand="0" w:evenVBand="0" w:oddHBand="1" w:evenHBand="0" w:firstRowFirstColumn="0" w:firstRowLastColumn="0" w:lastRowFirstColumn="0" w:lastRowLastColumn="0"/>
              <w:rPr>
                <w:color w:val="auto"/>
              </w:rPr>
            </w:pPr>
            <w:r w:rsidRPr="00DA288F">
              <w:rPr>
                <w:color w:val="auto"/>
              </w:rPr>
              <w:t>0.491</w:t>
            </w:r>
          </w:p>
        </w:tc>
        <w:tc>
          <w:tcPr>
            <w:tcW w:w="1728" w:type="dxa"/>
          </w:tcPr>
          <w:p w14:paraId="15F591BC" w14:textId="77777777" w:rsidR="00A87456" w:rsidRPr="00DA288F" w:rsidRDefault="00123841">
            <w:pPr>
              <w:cnfStyle w:val="000000100000" w:firstRow="0" w:lastRow="0" w:firstColumn="0" w:lastColumn="0" w:oddVBand="0" w:evenVBand="0" w:oddHBand="1" w:evenHBand="0" w:firstRowFirstColumn="0" w:firstRowLastColumn="0" w:lastRowFirstColumn="0" w:lastRowLastColumn="0"/>
              <w:rPr>
                <w:color w:val="auto"/>
              </w:rPr>
            </w:pPr>
            <w:r w:rsidRPr="00DA288F">
              <w:rPr>
                <w:color w:val="auto"/>
              </w:rPr>
              <w:t>0.519</w:t>
            </w:r>
          </w:p>
        </w:tc>
      </w:tr>
    </w:tbl>
    <w:p w14:paraId="4582FC60" w14:textId="77777777" w:rsidR="00A87456" w:rsidRPr="00DA288F" w:rsidRDefault="00123841">
      <w:r w:rsidRPr="00DA288F">
        <w:rPr>
          <w:noProof/>
        </w:rPr>
        <w:lastRenderedPageBreak/>
        <w:drawing>
          <wp:inline distT="0" distB="0" distL="0" distR="0" wp14:anchorId="19C32CED" wp14:editId="6F9F4E18">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omparison.png"/>
                    <pic:cNvPicPr/>
                  </pic:nvPicPr>
                  <pic:blipFill>
                    <a:blip r:embed="rId6"/>
                    <a:stretch>
                      <a:fillRect/>
                    </a:stretch>
                  </pic:blipFill>
                  <pic:spPr>
                    <a:xfrm>
                      <a:off x="0" y="0"/>
                      <a:ext cx="5669280" cy="3188970"/>
                    </a:xfrm>
                    <a:prstGeom prst="rect">
                      <a:avLst/>
                    </a:prstGeom>
                  </pic:spPr>
                </pic:pic>
              </a:graphicData>
            </a:graphic>
          </wp:inline>
        </w:drawing>
      </w:r>
    </w:p>
    <w:p w14:paraId="4D18BDA0" w14:textId="77777777" w:rsidR="00A87456" w:rsidRPr="00DA288F" w:rsidRDefault="00123841">
      <w:pPr>
        <w:rPr>
          <w:lang w:val="fr-FR"/>
        </w:rPr>
      </w:pPr>
      <w:r w:rsidRPr="00DA288F">
        <w:rPr>
          <w:lang w:val="fr-FR"/>
        </w:rPr>
        <w:t>La métrique principale est l’</w:t>
      </w:r>
      <w:proofErr w:type="spellStart"/>
      <w:r w:rsidRPr="00DA288F">
        <w:rPr>
          <w:lang w:val="fr-FR"/>
        </w:rPr>
        <w:t>average</w:t>
      </w:r>
      <w:proofErr w:type="spellEnd"/>
      <w:r w:rsidRPr="00DA288F">
        <w:rPr>
          <w:lang w:val="fr-FR"/>
        </w:rPr>
        <w:t xml:space="preserve"> </w:t>
      </w:r>
      <w:proofErr w:type="spellStart"/>
      <w:r w:rsidRPr="00DA288F">
        <w:rPr>
          <w:lang w:val="fr-FR"/>
        </w:rPr>
        <w:t>precision</w:t>
      </w:r>
      <w:proofErr w:type="spellEnd"/>
      <w:r w:rsidRPr="00DA288F">
        <w:rPr>
          <w:lang w:val="fr-FR"/>
        </w:rPr>
        <w:t xml:space="preserve">, adaptée à un problème où l’on veut ordonner les forages à risque et où la </w:t>
      </w:r>
      <w:r w:rsidRPr="00DA288F">
        <w:rPr>
          <w:lang w:val="fr-FR"/>
        </w:rPr>
        <w:t>classe positive est minoritaire. ROC AUC complète l’analyse de la capacité de classement. Le seuil 0,5 est un choix de démonstration, à ajuster au coût des interventions manquées et inutiles.</w:t>
      </w:r>
    </w:p>
    <w:p w14:paraId="492F794B" w14:textId="77777777" w:rsidR="00A87456" w:rsidRPr="00DA288F" w:rsidRDefault="00123841">
      <w:pPr>
        <w:pStyle w:val="Titre1"/>
        <w:rPr>
          <w:color w:val="auto"/>
          <w:lang w:val="fr-FR"/>
        </w:rPr>
      </w:pPr>
      <w:r w:rsidRPr="00DA288F">
        <w:rPr>
          <w:color w:val="auto"/>
          <w:lang w:val="fr-FR"/>
        </w:rPr>
        <w:t>4. Industrialisation et API</w:t>
      </w:r>
    </w:p>
    <w:p w14:paraId="3D4D07BD" w14:textId="77777777" w:rsidR="00A87456" w:rsidRPr="00DA288F" w:rsidRDefault="00123841">
      <w:pPr>
        <w:rPr>
          <w:lang w:val="fr-FR"/>
        </w:rPr>
      </w:pPr>
      <w:r w:rsidRPr="00DA288F">
        <w:rPr>
          <w:lang w:val="fr-FR"/>
        </w:rPr>
        <w:t xml:space="preserve">Le service </w:t>
      </w:r>
      <w:proofErr w:type="spellStart"/>
      <w:r w:rsidRPr="00DA288F">
        <w:rPr>
          <w:lang w:val="fr-FR"/>
        </w:rPr>
        <w:t>FastAPI</w:t>
      </w:r>
      <w:proofErr w:type="spellEnd"/>
      <w:r w:rsidRPr="00DA288F">
        <w:rPr>
          <w:lang w:val="fr-FR"/>
        </w:rPr>
        <w:t xml:space="preserve"> expose GET /</w:t>
      </w:r>
      <w:proofErr w:type="spellStart"/>
      <w:r w:rsidRPr="00DA288F">
        <w:rPr>
          <w:lang w:val="fr-FR"/>
        </w:rPr>
        <w:t>healt</w:t>
      </w:r>
      <w:r w:rsidRPr="00DA288F">
        <w:rPr>
          <w:lang w:val="fr-FR"/>
        </w:rPr>
        <w:t>h</w:t>
      </w:r>
      <w:proofErr w:type="spellEnd"/>
      <w:r w:rsidRPr="00DA288F">
        <w:rPr>
          <w:lang w:val="fr-FR"/>
        </w:rPr>
        <w:t>, GET /</w:t>
      </w:r>
      <w:proofErr w:type="spellStart"/>
      <w:r w:rsidRPr="00DA288F">
        <w:rPr>
          <w:lang w:val="fr-FR"/>
        </w:rPr>
        <w:t>metadata</w:t>
      </w:r>
      <w:proofErr w:type="spellEnd"/>
      <w:r w:rsidRPr="00DA288F">
        <w:rPr>
          <w:lang w:val="fr-FR"/>
        </w:rPr>
        <w:t xml:space="preserve"> et POST /</w:t>
      </w:r>
      <w:proofErr w:type="spellStart"/>
      <w:r w:rsidRPr="00DA288F">
        <w:rPr>
          <w:lang w:val="fr-FR"/>
        </w:rPr>
        <w:t>predict</w:t>
      </w:r>
      <w:proofErr w:type="spellEnd"/>
      <w:r w:rsidRPr="00DA288F">
        <w:rPr>
          <w:lang w:val="fr-FR"/>
        </w:rPr>
        <w:t xml:space="preserve">. </w:t>
      </w:r>
      <w:proofErr w:type="spellStart"/>
      <w:r w:rsidRPr="00DA288F">
        <w:rPr>
          <w:lang w:val="fr-FR"/>
        </w:rPr>
        <w:t>Pydantic</w:t>
      </w:r>
      <w:proofErr w:type="spellEnd"/>
      <w:r w:rsidRPr="00DA288F">
        <w:rPr>
          <w:lang w:val="fr-FR"/>
        </w:rPr>
        <w:t xml:space="preserve"> contrôle les bornes et les catégories des </w:t>
      </w:r>
      <w:proofErr w:type="gramStart"/>
      <w:r w:rsidRPr="00DA288F">
        <w:rPr>
          <w:lang w:val="fr-FR"/>
        </w:rPr>
        <w:t>entrées;</w:t>
      </w:r>
      <w:proofErr w:type="gramEnd"/>
      <w:r w:rsidRPr="00DA288F">
        <w:rPr>
          <w:lang w:val="fr-FR"/>
        </w:rPr>
        <w:t xml:space="preserve"> le modèle est chargé une seule fois au démarrage. Le contrat de réponse fournit une probabilité, une classe de risque et le nom du modèle. Le </w:t>
      </w:r>
      <w:proofErr w:type="spellStart"/>
      <w:r w:rsidRPr="00DA288F">
        <w:rPr>
          <w:lang w:val="fr-FR"/>
        </w:rPr>
        <w:t>Dockerfile</w:t>
      </w:r>
      <w:proofErr w:type="spellEnd"/>
      <w:r w:rsidRPr="00DA288F">
        <w:rPr>
          <w:lang w:val="fr-FR"/>
        </w:rPr>
        <w:t xml:space="preserve"> construi</w:t>
      </w:r>
      <w:r w:rsidRPr="00DA288F">
        <w:rPr>
          <w:lang w:val="fr-FR"/>
        </w:rPr>
        <w:t xml:space="preserve">t une image </w:t>
      </w:r>
      <w:proofErr w:type="gramStart"/>
      <w:r w:rsidRPr="00DA288F">
        <w:rPr>
          <w:lang w:val="fr-FR"/>
        </w:rPr>
        <w:t>autonome;</w:t>
      </w:r>
      <w:proofErr w:type="gramEnd"/>
      <w:r w:rsidRPr="00DA288F">
        <w:rPr>
          <w:lang w:val="fr-FR"/>
        </w:rPr>
        <w:t xml:space="preserve"> docker-compose expose le port 8000. La documentation interactive est disponible à /docs.</w:t>
      </w:r>
    </w:p>
    <w:p w14:paraId="4F2EC12A" w14:textId="77777777" w:rsidR="00A87456" w:rsidRPr="00DA288F" w:rsidRDefault="00123841">
      <w:pPr>
        <w:rPr>
          <w:lang w:val="fr-FR"/>
        </w:rPr>
      </w:pPr>
      <w:r w:rsidRPr="00DA288F">
        <w:rPr>
          <w:lang w:val="fr-FR"/>
        </w:rPr>
        <w:t>Exemple d’entrée JSON : {"age_ans</w:t>
      </w:r>
      <w:proofErr w:type="gramStart"/>
      <w:r w:rsidRPr="00DA288F">
        <w:rPr>
          <w:lang w:val="fr-FR"/>
        </w:rPr>
        <w:t>":</w:t>
      </w:r>
      <w:proofErr w:type="gramEnd"/>
      <w:r w:rsidRPr="00DA288F">
        <w:rPr>
          <w:lang w:val="fr-FR"/>
        </w:rPr>
        <w:t>15,"profondeur_m":90,"debit_m3h":4.2,"usagers_jour":450,"jours_depuis_maintenance":300,"pannes_12m":1,"type_po</w:t>
      </w:r>
      <w:r w:rsidRPr="00DA288F">
        <w:rPr>
          <w:lang w:val="fr-FR"/>
        </w:rPr>
        <w:t>mpe":"solaire","region":"Centre"}.</w:t>
      </w:r>
    </w:p>
    <w:p w14:paraId="4FB54A7D" w14:textId="77777777" w:rsidR="00A87456" w:rsidRPr="00DA288F" w:rsidRDefault="00123841">
      <w:pPr>
        <w:pStyle w:val="Titre1"/>
        <w:rPr>
          <w:color w:val="auto"/>
          <w:lang w:val="fr-FR"/>
        </w:rPr>
      </w:pPr>
      <w:r w:rsidRPr="00DA288F">
        <w:rPr>
          <w:color w:val="auto"/>
          <w:lang w:val="fr-FR"/>
        </w:rPr>
        <w:t>5. Tests et intégration continue</w:t>
      </w:r>
    </w:p>
    <w:p w14:paraId="78F77C44" w14:textId="77777777" w:rsidR="00A87456" w:rsidRPr="00DA288F" w:rsidRDefault="00123841">
      <w:pPr>
        <w:rPr>
          <w:lang w:val="fr-FR"/>
        </w:rPr>
      </w:pPr>
      <w:r w:rsidRPr="00DA288F">
        <w:rPr>
          <w:lang w:val="fr-FR"/>
        </w:rPr>
        <w:t>Les tests couvrent la disponibilité de l’API, le contrat de prédiction, le rejet d’une valeur hors bornes et la structure du rapport de dérive. Le workflow GitHub Actions installe les dépe</w:t>
      </w:r>
      <w:r w:rsidRPr="00DA288F">
        <w:rPr>
          <w:lang w:val="fr-FR"/>
        </w:rPr>
        <w:t xml:space="preserve">ndances, entraîne le modèle et lance </w:t>
      </w:r>
      <w:proofErr w:type="spellStart"/>
      <w:r w:rsidRPr="00DA288F">
        <w:rPr>
          <w:lang w:val="fr-FR"/>
        </w:rPr>
        <w:t>pytest</w:t>
      </w:r>
      <w:proofErr w:type="spellEnd"/>
      <w:r w:rsidRPr="00DA288F">
        <w:rPr>
          <w:lang w:val="fr-FR"/>
        </w:rPr>
        <w:t xml:space="preserve"> sur chaque push ou pull </w:t>
      </w:r>
      <w:proofErr w:type="spellStart"/>
      <w:r w:rsidRPr="00DA288F">
        <w:rPr>
          <w:lang w:val="fr-FR"/>
        </w:rPr>
        <w:t>request</w:t>
      </w:r>
      <w:proofErr w:type="spellEnd"/>
      <w:r w:rsidRPr="00DA288F">
        <w:rPr>
          <w:lang w:val="fr-FR"/>
        </w:rPr>
        <w:t>. Résultat de validation dans cet environnement : 4 tests réussis.</w:t>
      </w:r>
    </w:p>
    <w:p w14:paraId="49673B42" w14:textId="77777777" w:rsidR="00A87456" w:rsidRPr="00DA288F" w:rsidRDefault="00123841">
      <w:pPr>
        <w:pStyle w:val="Titre1"/>
        <w:rPr>
          <w:color w:val="auto"/>
          <w:lang w:val="fr-FR"/>
        </w:rPr>
      </w:pPr>
      <w:r w:rsidRPr="00DA288F">
        <w:rPr>
          <w:color w:val="auto"/>
          <w:lang w:val="fr-FR"/>
        </w:rPr>
        <w:lastRenderedPageBreak/>
        <w:t>6. Surveillance de dérive</w:t>
      </w:r>
    </w:p>
    <w:p w14:paraId="185924E0" w14:textId="77777777" w:rsidR="00A87456" w:rsidRPr="00DA288F" w:rsidRDefault="00123841">
      <w:r w:rsidRPr="00DA288F">
        <w:rPr>
          <w:noProof/>
        </w:rPr>
        <w:drawing>
          <wp:inline distT="0" distB="0" distL="0" distR="0" wp14:anchorId="4D83F24B" wp14:editId="59F2FF96">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_chart.png"/>
                    <pic:cNvPicPr/>
                  </pic:nvPicPr>
                  <pic:blipFill>
                    <a:blip r:embed="rId7"/>
                    <a:stretch>
                      <a:fillRect/>
                    </a:stretch>
                  </pic:blipFill>
                  <pic:spPr>
                    <a:xfrm>
                      <a:off x="0" y="0"/>
                      <a:ext cx="5669280" cy="3188970"/>
                    </a:xfrm>
                    <a:prstGeom prst="rect">
                      <a:avLst/>
                    </a:prstGeom>
                  </pic:spPr>
                </pic:pic>
              </a:graphicData>
            </a:graphic>
          </wp:inline>
        </w:drawing>
      </w:r>
    </w:p>
    <w:p w14:paraId="2EE86D4F" w14:textId="77777777" w:rsidR="00A87456" w:rsidRPr="00DA288F" w:rsidRDefault="00123841">
      <w:pPr>
        <w:rPr>
          <w:lang w:val="fr-FR"/>
        </w:rPr>
      </w:pPr>
      <w:r w:rsidRPr="00DA288F">
        <w:rPr>
          <w:lang w:val="fr-FR"/>
        </w:rPr>
        <w:t>Le test de Kolmogorov–Smirnov est utilisé pour les variables numériques (p &lt; 0,05), et</w:t>
      </w:r>
      <w:r w:rsidRPr="00DA288F">
        <w:rPr>
          <w:lang w:val="fr-FR"/>
        </w:rPr>
        <w:t xml:space="preserve"> la distance de variation totale pour les variables catégorielles (seuil 0,10). Variables signalées : </w:t>
      </w:r>
      <w:proofErr w:type="spellStart"/>
      <w:r w:rsidRPr="00DA288F">
        <w:rPr>
          <w:lang w:val="fr-FR"/>
        </w:rPr>
        <w:t>usagers_jour</w:t>
      </w:r>
      <w:proofErr w:type="spellEnd"/>
      <w:r w:rsidRPr="00DA288F">
        <w:rPr>
          <w:lang w:val="fr-FR"/>
        </w:rPr>
        <w:t xml:space="preserve">, pannes_12m. La règle choisie demande d’évaluer un </w:t>
      </w:r>
      <w:proofErr w:type="spellStart"/>
      <w:r w:rsidRPr="00DA288F">
        <w:rPr>
          <w:lang w:val="fr-FR"/>
        </w:rPr>
        <w:t>ré-entraînement</w:t>
      </w:r>
      <w:proofErr w:type="spellEnd"/>
      <w:r w:rsidRPr="00DA288F">
        <w:rPr>
          <w:lang w:val="fr-FR"/>
        </w:rPr>
        <w:t xml:space="preserve"> si au moins deux variables dérivent, puis de vérifier les étiquettes, la p</w:t>
      </w:r>
      <w:r w:rsidRPr="00DA288F">
        <w:rPr>
          <w:lang w:val="fr-FR"/>
        </w:rPr>
        <w:t>erformance et les changements opérationnels avant approbation.</w:t>
      </w:r>
    </w:p>
    <w:p w14:paraId="25B63190" w14:textId="77777777" w:rsidR="00A87456" w:rsidRPr="00DA288F" w:rsidRDefault="00123841">
      <w:pPr>
        <w:rPr>
          <w:lang w:val="fr-FR"/>
        </w:rPr>
      </w:pPr>
      <w:r w:rsidRPr="00DA288F">
        <w:rPr>
          <w:lang w:val="fr-FR"/>
        </w:rPr>
        <w:t>Sur le jeu récent étiqueté simulé, AP=0.739 et ROC AUC=0.780. Ces résultats sont indicatifs car les données sont fictives.</w:t>
      </w:r>
    </w:p>
    <w:p w14:paraId="59982E30" w14:textId="77777777" w:rsidR="00A87456" w:rsidRPr="00DA288F" w:rsidRDefault="00123841">
      <w:pPr>
        <w:pStyle w:val="Titre1"/>
        <w:rPr>
          <w:color w:val="auto"/>
          <w:lang w:val="fr-FR"/>
        </w:rPr>
      </w:pPr>
      <w:r w:rsidRPr="00DA288F">
        <w:rPr>
          <w:color w:val="auto"/>
          <w:lang w:val="fr-FR"/>
        </w:rPr>
        <w:t>7. Déploiement et exploitation</w:t>
      </w:r>
    </w:p>
    <w:p w14:paraId="3E30CF37" w14:textId="77777777" w:rsidR="00A87456" w:rsidRPr="00DA288F" w:rsidRDefault="00123841">
      <w:pPr>
        <w:rPr>
          <w:lang w:val="fr-FR"/>
        </w:rPr>
      </w:pPr>
      <w:r w:rsidRPr="00DA288F">
        <w:rPr>
          <w:lang w:val="fr-FR"/>
        </w:rPr>
        <w:t xml:space="preserve">Étapes : installer </w:t>
      </w:r>
      <w:proofErr w:type="gramStart"/>
      <w:r w:rsidRPr="00DA288F">
        <w:rPr>
          <w:lang w:val="fr-FR"/>
        </w:rPr>
        <w:t>requirements.txt;</w:t>
      </w:r>
      <w:proofErr w:type="gramEnd"/>
      <w:r w:rsidRPr="00DA288F">
        <w:rPr>
          <w:lang w:val="fr-FR"/>
        </w:rPr>
        <w:t xml:space="preserve"> ex</w:t>
      </w:r>
      <w:r w:rsidRPr="00DA288F">
        <w:rPr>
          <w:lang w:val="fr-FR"/>
        </w:rPr>
        <w:t xml:space="preserve">écuter python -m </w:t>
      </w:r>
      <w:proofErr w:type="spellStart"/>
      <w:r w:rsidRPr="00DA288F">
        <w:rPr>
          <w:lang w:val="fr-FR"/>
        </w:rPr>
        <w:t>src.modeling</w:t>
      </w:r>
      <w:proofErr w:type="spellEnd"/>
      <w:r w:rsidRPr="00DA288F">
        <w:rPr>
          <w:lang w:val="fr-FR"/>
        </w:rPr>
        <w:t xml:space="preserve">; lancer python -m </w:t>
      </w:r>
      <w:proofErr w:type="spellStart"/>
      <w:r w:rsidRPr="00DA288F">
        <w:rPr>
          <w:lang w:val="fr-FR"/>
        </w:rPr>
        <w:t>src.monitoring</w:t>
      </w:r>
      <w:proofErr w:type="spellEnd"/>
      <w:r w:rsidRPr="00DA288F">
        <w:rPr>
          <w:lang w:val="fr-FR"/>
        </w:rPr>
        <w:t xml:space="preserve"> et python predict_batch.py; valider </w:t>
      </w:r>
      <w:proofErr w:type="spellStart"/>
      <w:r w:rsidRPr="00DA288F">
        <w:rPr>
          <w:lang w:val="fr-FR"/>
        </w:rPr>
        <w:t>pytest</w:t>
      </w:r>
      <w:proofErr w:type="spellEnd"/>
      <w:r w:rsidRPr="00DA288F">
        <w:rPr>
          <w:lang w:val="fr-FR"/>
        </w:rPr>
        <w:t xml:space="preserve"> -q; démarrer </w:t>
      </w:r>
      <w:proofErr w:type="spellStart"/>
      <w:r w:rsidRPr="00DA288F">
        <w:rPr>
          <w:lang w:val="fr-FR"/>
        </w:rPr>
        <w:t>uvicorn</w:t>
      </w:r>
      <w:proofErr w:type="spellEnd"/>
      <w:r w:rsidRPr="00DA288F">
        <w:rPr>
          <w:lang w:val="fr-FR"/>
        </w:rPr>
        <w:t xml:space="preserve"> </w:t>
      </w:r>
      <w:proofErr w:type="spellStart"/>
      <w:r w:rsidRPr="00DA288F">
        <w:rPr>
          <w:lang w:val="fr-FR"/>
        </w:rPr>
        <w:t>api:app</w:t>
      </w:r>
      <w:proofErr w:type="spellEnd"/>
      <w:r w:rsidRPr="00DA288F">
        <w:rPr>
          <w:lang w:val="fr-FR"/>
        </w:rPr>
        <w:t xml:space="preserve"> --</w:t>
      </w:r>
      <w:proofErr w:type="spellStart"/>
      <w:r w:rsidRPr="00DA288F">
        <w:rPr>
          <w:lang w:val="fr-FR"/>
        </w:rPr>
        <w:t>reload</w:t>
      </w:r>
      <w:proofErr w:type="spellEnd"/>
      <w:r w:rsidRPr="00DA288F">
        <w:rPr>
          <w:lang w:val="fr-FR"/>
        </w:rPr>
        <w:t xml:space="preserve"> ou docker compose up --</w:t>
      </w:r>
      <w:proofErr w:type="spellStart"/>
      <w:r w:rsidRPr="00DA288F">
        <w:rPr>
          <w:lang w:val="fr-FR"/>
        </w:rPr>
        <w:t>build</w:t>
      </w:r>
      <w:proofErr w:type="spellEnd"/>
      <w:r w:rsidRPr="00DA288F">
        <w:rPr>
          <w:lang w:val="fr-FR"/>
        </w:rPr>
        <w:t xml:space="preserve">. Les scores batch sont écrits dans reports/forages_scores.csv. </w:t>
      </w:r>
      <w:proofErr w:type="spellStart"/>
      <w:r w:rsidRPr="00DA288F">
        <w:rPr>
          <w:lang w:val="fr-FR"/>
        </w:rPr>
        <w:t>MLflow</w:t>
      </w:r>
      <w:proofErr w:type="spellEnd"/>
      <w:r w:rsidRPr="00DA288F">
        <w:rPr>
          <w:lang w:val="fr-FR"/>
        </w:rPr>
        <w:t xml:space="preserve"> est intégré a</w:t>
      </w:r>
      <w:r w:rsidRPr="00DA288F">
        <w:rPr>
          <w:lang w:val="fr-FR"/>
        </w:rPr>
        <w:t xml:space="preserve">u code d’entraînement : lorsque la dépendance est installée, chaque essai consigne les paramètres, métriques et </w:t>
      </w:r>
      <w:proofErr w:type="gramStart"/>
      <w:r w:rsidRPr="00DA288F">
        <w:rPr>
          <w:lang w:val="fr-FR"/>
        </w:rPr>
        <w:t>modèle;</w:t>
      </w:r>
      <w:proofErr w:type="gramEnd"/>
      <w:r w:rsidRPr="00DA288F">
        <w:rPr>
          <w:lang w:val="fr-FR"/>
        </w:rPr>
        <w:t xml:space="preserve"> la comparaison CSV est conservée pour audit reproductible.</w:t>
      </w:r>
    </w:p>
    <w:p w14:paraId="718A3A68" w14:textId="77777777" w:rsidR="00A87456" w:rsidRPr="00DA288F" w:rsidRDefault="00123841">
      <w:pPr>
        <w:pStyle w:val="Titre1"/>
        <w:rPr>
          <w:color w:val="auto"/>
        </w:rPr>
      </w:pPr>
      <w:r w:rsidRPr="00DA288F">
        <w:rPr>
          <w:color w:val="auto"/>
        </w:rPr>
        <w:t>8. Limites et recommandations</w:t>
      </w:r>
    </w:p>
    <w:p w14:paraId="5EEFA848" w14:textId="77777777" w:rsidR="00A87456" w:rsidRPr="00DA288F" w:rsidRDefault="00123841">
      <w:pPr>
        <w:pStyle w:val="Listepuces"/>
        <w:rPr>
          <w:lang w:val="fr-FR"/>
        </w:rPr>
      </w:pPr>
      <w:r w:rsidRPr="00DA288F">
        <w:rPr>
          <w:lang w:val="fr-FR"/>
        </w:rPr>
        <w:t>Les données fournies sont fictives : validation</w:t>
      </w:r>
      <w:r w:rsidRPr="00DA288F">
        <w:rPr>
          <w:lang w:val="fr-FR"/>
        </w:rPr>
        <w:t xml:space="preserve"> sur données réelles et confirmation par les équipes terrain indispensables.</w:t>
      </w:r>
    </w:p>
    <w:p w14:paraId="2B17BFC7" w14:textId="77777777" w:rsidR="00A87456" w:rsidRPr="00DA288F" w:rsidRDefault="00123841">
      <w:pPr>
        <w:pStyle w:val="Listepuces"/>
        <w:rPr>
          <w:lang w:val="fr-FR"/>
        </w:rPr>
      </w:pPr>
      <w:r w:rsidRPr="00DA288F">
        <w:rPr>
          <w:lang w:val="fr-FR"/>
        </w:rPr>
        <w:t>Évaluer les faux négatifs et faux positifs avec la capacité réelle des équipes de maintenance.</w:t>
      </w:r>
    </w:p>
    <w:p w14:paraId="4925052B" w14:textId="77777777" w:rsidR="00A87456" w:rsidRPr="00DA288F" w:rsidRDefault="00123841">
      <w:pPr>
        <w:pStyle w:val="Listepuces"/>
        <w:rPr>
          <w:lang w:val="fr-FR"/>
        </w:rPr>
      </w:pPr>
      <w:r w:rsidRPr="00DA288F">
        <w:rPr>
          <w:lang w:val="fr-FR"/>
        </w:rPr>
        <w:t xml:space="preserve">Calibrer les probabilités et le seuil de décision sur un jeu temporel </w:t>
      </w:r>
      <w:r w:rsidRPr="00DA288F">
        <w:rPr>
          <w:lang w:val="fr-FR"/>
        </w:rPr>
        <w:t>distinct.</w:t>
      </w:r>
    </w:p>
    <w:p w14:paraId="2C440E3A" w14:textId="77777777" w:rsidR="00A87456" w:rsidRPr="00DA288F" w:rsidRDefault="00123841">
      <w:pPr>
        <w:pStyle w:val="Listepuces"/>
        <w:rPr>
          <w:lang w:val="fr-FR"/>
        </w:rPr>
      </w:pPr>
      <w:r w:rsidRPr="00DA288F">
        <w:rPr>
          <w:lang w:val="fr-FR"/>
        </w:rPr>
        <w:t>Suivre les performances par région et type de pompe pour repérer des écarts opérationnels.</w:t>
      </w:r>
    </w:p>
    <w:p w14:paraId="49E2851C" w14:textId="77777777" w:rsidR="00A87456" w:rsidRPr="00DA288F" w:rsidRDefault="00123841">
      <w:pPr>
        <w:pStyle w:val="Listepuces"/>
        <w:rPr>
          <w:lang w:val="fr-FR"/>
        </w:rPr>
      </w:pPr>
      <w:r w:rsidRPr="00DA288F">
        <w:rPr>
          <w:lang w:val="fr-FR"/>
        </w:rPr>
        <w:t xml:space="preserve">Ne jamais déclencher automatiquement une intervention ou un </w:t>
      </w:r>
      <w:proofErr w:type="spellStart"/>
      <w:r w:rsidRPr="00DA288F">
        <w:rPr>
          <w:lang w:val="fr-FR"/>
        </w:rPr>
        <w:t>ré-entraînement</w:t>
      </w:r>
      <w:proofErr w:type="spellEnd"/>
      <w:r w:rsidRPr="00DA288F">
        <w:rPr>
          <w:lang w:val="fr-FR"/>
        </w:rPr>
        <w:t xml:space="preserve"> sans validation métier.</w:t>
      </w:r>
    </w:p>
    <w:p w14:paraId="12196C4D" w14:textId="77777777" w:rsidR="00A87456" w:rsidRPr="00DA288F" w:rsidRDefault="00123841">
      <w:pPr>
        <w:pStyle w:val="Titre1"/>
        <w:rPr>
          <w:color w:val="auto"/>
          <w:lang w:val="fr-FR"/>
        </w:rPr>
      </w:pPr>
      <w:r w:rsidRPr="00DA288F">
        <w:rPr>
          <w:color w:val="auto"/>
          <w:lang w:val="fr-FR"/>
        </w:rPr>
        <w:lastRenderedPageBreak/>
        <w:t>Annexe : livrables techniques</w:t>
      </w:r>
    </w:p>
    <w:p w14:paraId="745C7360" w14:textId="77777777" w:rsidR="00A87456" w:rsidRPr="00DA288F" w:rsidRDefault="00123841">
      <w:pPr>
        <w:rPr>
          <w:lang w:val="fr-FR"/>
        </w:rPr>
      </w:pPr>
      <w:r w:rsidRPr="00DA288F">
        <w:rPr>
          <w:lang w:val="fr-FR"/>
        </w:rPr>
        <w:t xml:space="preserve">Code source, modèle </w:t>
      </w:r>
      <w:r w:rsidRPr="00DA288F">
        <w:rPr>
          <w:lang w:val="fr-FR"/>
        </w:rPr>
        <w:t xml:space="preserve">sérialisé, métadonnées du modèle, comparaison des essais, prédictions </w:t>
      </w:r>
      <w:proofErr w:type="spellStart"/>
      <w:r w:rsidRPr="00DA288F">
        <w:rPr>
          <w:lang w:val="fr-FR"/>
        </w:rPr>
        <w:t>hold</w:t>
      </w:r>
      <w:proofErr w:type="spellEnd"/>
      <w:r w:rsidRPr="00DA288F">
        <w:rPr>
          <w:lang w:val="fr-FR"/>
        </w:rPr>
        <w:t xml:space="preserve">-out, scores du mois récent, rapport de dérive, tests, </w:t>
      </w:r>
      <w:proofErr w:type="spellStart"/>
      <w:r w:rsidRPr="00DA288F">
        <w:rPr>
          <w:lang w:val="fr-FR"/>
        </w:rPr>
        <w:t>Dockerfile</w:t>
      </w:r>
      <w:proofErr w:type="spellEnd"/>
      <w:r w:rsidRPr="00DA288F">
        <w:rPr>
          <w:lang w:val="fr-FR"/>
        </w:rPr>
        <w:t>, docker-compose, CI GitHub Actions, carte du modèle et support de soutenance sont inclus dans l’archive du projet.</w:t>
      </w:r>
    </w:p>
    <w:sectPr w:rsidR="00A87456" w:rsidRPr="00DA288F"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841"/>
    <w:rsid w:val="0015074B"/>
    <w:rsid w:val="0029639D"/>
    <w:rsid w:val="00326F90"/>
    <w:rsid w:val="00A87456"/>
    <w:rsid w:val="00AA1D8D"/>
    <w:rsid w:val="00B47730"/>
    <w:rsid w:val="00CB0664"/>
    <w:rsid w:val="00DA28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75F55"/>
  <w14:defaultImageDpi w14:val="300"/>
  <w15:docId w15:val="{B8D806C3-9FDB-46E7-8DEF-F3E65B78E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94169"/>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709</Words>
  <Characters>3900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IIAB</cp:lastModifiedBy>
  <cp:revision>3</cp:revision>
  <dcterms:created xsi:type="dcterms:W3CDTF">2013-12-23T23:15:00Z</dcterms:created>
  <dcterms:modified xsi:type="dcterms:W3CDTF">2026-10-25T21:28:00Z</dcterms:modified>
  <cp:category/>
</cp:coreProperties>
</file>