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07AC9"/>
          <w:sz w:val="19"/>
        </w:rPr>
        <w:t>PROYECTO ASTROSHIELD | BANCO EXPERIMENTAL DE PRUEBAS</w:t>
      </w:r>
    </w:p>
    <w:p>
      <w:pPr>
        <w:spacing w:before="80" w:after="40"/>
      </w:pPr>
      <w:r>
        <w:rPr>
          <w:b/>
          <w:color w:val="1B365D"/>
          <w:sz w:val="48"/>
        </w:rPr>
        <w:t>Entregable 3. Pruebas y Validación</w:t>
      </w:r>
    </w:p>
    <w:p>
      <w:pPr>
        <w:spacing w:before="0" w:after="320"/>
      </w:pPr>
      <w:r>
        <w:rPr>
          <w:i/>
          <w:color w:val="646E7D"/>
          <w:sz w:val="24"/>
        </w:rPr>
        <w:t>Evidencia empírica, experimentación estocástica, análisis de restricciones, pruebas de estrés y validación de resiliencia del sistema evolutivo</w:t>
      </w:r>
    </w:p>
    <w:p>
      <w:pPr>
        <w:spacing w:before="0" w:after="240"/>
      </w:pPr>
      <w:r>
        <w:rPr>
          <w:color w:val="C8D2DC"/>
        </w:rPr>
        <w:t>――――――――――――――――――――――――――――――――――――――――――――――――――――――――――</w:t>
      </w:r>
    </w:p>
    <w:p>
      <w:pPr>
        <w:spacing w:line="276" w:lineRule="auto" w:after="200"/>
      </w:pPr>
      <w:r>
        <w:t>Este documento consolida la batería experimental ejecutada sobre el sistema evolutivo AstroShield. Para garantizar que el algoritmo no sea fruto de una corrida casualmente favorable, se diseñó un protocolo exhaustivo de 8 pruebas que someten al sistema a escenarios nominales, ambientes con espacio severamente restringido, condiciones geométricamente inviables, análisis de dispersión estocástica multi-semilla y una prueba de resiliencia ante fallo físico de satélites en órbita.</w:t>
      </w:r>
    </w:p>
    <w:p>
      <w:pPr>
        <w:spacing w:before="240" w:after="120"/>
      </w:pPr>
      <w:r>
        <w:rPr>
          <w:b/>
          <w:color w:val="1B365D"/>
          <w:sz w:val="28"/>
        </w:rPr>
        <w:t>Resumen Ejecutivo de la Suite de Pruebas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1B365D"/>
            <w:tcMar>
              <w:top w:w="80" w:type="dxa"/>
              <w:bottom w:w="80" w:type="dxa"/>
              <w:left w:w="80" w:type="dxa"/>
              <w:right w:w="80" w:type="dxa"/>
            </w:tcMar>
          </w:tcPr>
          <w:p>
            <w:r>
              <w:rPr>
                <w:b/>
                <w:color w:val="FFFFFF"/>
                <w:sz w:val="19"/>
              </w:rPr>
              <w:t>Prueba</w:t>
            </w:r>
          </w:p>
        </w:tc>
        <w:tc>
          <w:tcPr>
            <w:tcW w:type="dxa" w:w="2880"/>
            <w:shd w:fill="1B365D"/>
            <w:tcMar>
              <w:top w:w="80" w:type="dxa"/>
              <w:bottom w:w="80" w:type="dxa"/>
              <w:left w:w="80" w:type="dxa"/>
              <w:right w:w="80" w:type="dxa"/>
            </w:tcMar>
          </w:tcPr>
          <w:p>
            <w:r>
              <w:rPr>
                <w:b/>
                <w:color w:val="FFFFFF"/>
                <w:sz w:val="19"/>
              </w:rPr>
              <w:t>Escenario / Prueba</w:t>
            </w:r>
          </w:p>
        </w:tc>
        <w:tc>
          <w:tcPr>
            <w:tcW w:type="dxa" w:w="2592"/>
            <w:shd w:fill="1B365D"/>
            <w:tcMar>
              <w:top w:w="80" w:type="dxa"/>
              <w:bottom w:w="80" w:type="dxa"/>
              <w:left w:w="80" w:type="dxa"/>
              <w:right w:w="80" w:type="dxa"/>
            </w:tcMar>
          </w:tcPr>
          <w:p>
            <w:r>
              <w:rPr>
                <w:b/>
                <w:color w:val="FFFFFF"/>
                <w:sz w:val="19"/>
              </w:rPr>
              <w:t>Condición Clave</w:t>
            </w:r>
          </w:p>
        </w:tc>
        <w:tc>
          <w:tcPr>
            <w:tcW w:type="dxa" w:w="1584"/>
            <w:shd w:fill="1B365D"/>
            <w:tcMar>
              <w:top w:w="80" w:type="dxa"/>
              <w:bottom w:w="80" w:type="dxa"/>
              <w:left w:w="80" w:type="dxa"/>
              <w:right w:w="80" w:type="dxa"/>
            </w:tcMar>
          </w:tcPr>
          <w:p>
            <w:r>
              <w:rPr>
                <w:b/>
                <w:color w:val="FFFFFF"/>
                <w:sz w:val="19"/>
              </w:rPr>
              <w:t>Métrica Principal</w:t>
            </w:r>
          </w:p>
        </w:tc>
        <w:tc>
          <w:tcPr>
            <w:tcW w:type="dxa" w:w="1152"/>
            <w:shd w:fill="1B365D"/>
            <w:tcMar>
              <w:top w:w="80" w:type="dxa"/>
              <w:bottom w:w="80" w:type="dxa"/>
              <w:left w:w="80" w:type="dxa"/>
              <w:right w:w="80" w:type="dxa"/>
            </w:tcMar>
          </w:tcPr>
          <w:p>
            <w:r>
              <w:rPr>
                <w:b/>
                <w:color w:val="FFFFFF"/>
                <w:sz w:val="19"/>
              </w:rPr>
              <w:t>Resultado</w:t>
            </w:r>
          </w:p>
        </w:tc>
      </w:tr>
      <w:tr>
        <w:tc>
          <w:tcPr>
            <w:tcW w:type="dxa" w:w="1152"/>
            <w:shd w:fill="F9FBFC"/>
            <w:tcMar>
              <w:top w:w="50" w:type="dxa"/>
              <w:bottom w:w="50" w:type="dxa"/>
              <w:left w:w="80" w:type="dxa"/>
              <w:right w:w="80" w:type="dxa"/>
            </w:tcMar>
          </w:tcPr>
          <w:p>
            <w:pPr>
              <w:jc w:val="center"/>
            </w:pPr>
            <w:r>
              <w:rPr>
                <w:sz w:val="18"/>
              </w:rPr>
              <w:t>P1</w:t>
            </w:r>
          </w:p>
        </w:tc>
        <w:tc>
          <w:tcPr>
            <w:tcW w:type="dxa" w:w="2880"/>
            <w:shd w:fill="F9FBFC"/>
            <w:tcMar>
              <w:top w:w="50" w:type="dxa"/>
              <w:bottom w:w="50" w:type="dxa"/>
              <w:left w:w="80" w:type="dxa"/>
              <w:right w:w="80" w:type="dxa"/>
            </w:tcMar>
          </w:tcPr>
          <w:p>
            <w:r>
              <w:rPr>
                <w:sz w:val="18"/>
              </w:rPr>
              <w:t>Escenario Inicial</w:t>
            </w:r>
          </w:p>
        </w:tc>
        <w:tc>
          <w:tcPr>
            <w:tcW w:type="dxa" w:w="2592"/>
            <w:shd w:fill="F9FBFC"/>
            <w:tcMar>
              <w:top w:w="50" w:type="dxa"/>
              <w:bottom w:w="50" w:type="dxa"/>
              <w:left w:w="80" w:type="dxa"/>
              <w:right w:w="80" w:type="dxa"/>
            </w:tcMar>
          </w:tcPr>
          <w:p>
            <w:r>
              <w:rPr>
                <w:sz w:val="18"/>
              </w:rPr>
              <w:t>Sin zonas prohibidas</w:t>
            </w:r>
          </w:p>
        </w:tc>
        <w:tc>
          <w:tcPr>
            <w:tcW w:type="dxa" w:w="1584"/>
            <w:shd w:fill="F9FBFC"/>
            <w:tcMar>
              <w:top w:w="50" w:type="dxa"/>
              <w:bottom w:w="50" w:type="dxa"/>
              <w:left w:w="80" w:type="dxa"/>
              <w:right w:w="80" w:type="dxa"/>
            </w:tcMar>
          </w:tcPr>
          <w:p>
            <w:pPr>
              <w:jc w:val="center"/>
            </w:pPr>
            <w:r>
              <w:rPr>
                <w:sz w:val="18"/>
              </w:rPr>
              <w:t>97.35% Cob.</w:t>
            </w:r>
          </w:p>
        </w:tc>
        <w:tc>
          <w:tcPr>
            <w:tcW w:type="dxa" w:w="1152"/>
            <w:shd w:fill="F9FBFC"/>
            <w:tcMar>
              <w:top w:w="50" w:type="dxa"/>
              <w:bottom w:w="50" w:type="dxa"/>
              <w:left w:w="80" w:type="dxa"/>
              <w:right w:w="80" w:type="dxa"/>
            </w:tcMar>
          </w:tcPr>
          <w:p>
            <w:pPr>
              <w:jc w:val="center"/>
            </w:pPr>
            <w:r>
              <w:rPr>
                <w:b/>
                <w:color w:val="008250"/>
                <w:sz w:val="18"/>
              </w:rPr>
              <w:t>EXITOSA</w:t>
            </w:r>
          </w:p>
        </w:tc>
      </w:tr>
      <w:tr>
        <w:tc>
          <w:tcPr>
            <w:tcW w:type="dxa" w:w="1152"/>
            <w:shd w:fill="FFFFFF"/>
            <w:tcMar>
              <w:top w:w="50" w:type="dxa"/>
              <w:bottom w:w="50" w:type="dxa"/>
              <w:left w:w="80" w:type="dxa"/>
              <w:right w:w="80" w:type="dxa"/>
            </w:tcMar>
          </w:tcPr>
          <w:p>
            <w:pPr>
              <w:jc w:val="center"/>
            </w:pPr>
            <w:r>
              <w:rPr>
                <w:sz w:val="18"/>
              </w:rPr>
              <w:t>P2</w:t>
            </w:r>
          </w:p>
        </w:tc>
        <w:tc>
          <w:tcPr>
            <w:tcW w:type="dxa" w:w="2880"/>
            <w:shd w:fill="FFFFFF"/>
            <w:tcMar>
              <w:top w:w="50" w:type="dxa"/>
              <w:bottom w:w="50" w:type="dxa"/>
              <w:left w:w="80" w:type="dxa"/>
              <w:right w:w="80" w:type="dxa"/>
            </w:tcMar>
          </w:tcPr>
          <w:p>
            <w:r>
              <w:rPr>
                <w:sz w:val="18"/>
              </w:rPr>
              <w:t>Dinámica Evolutiva</w:t>
            </w:r>
          </w:p>
        </w:tc>
        <w:tc>
          <w:tcPr>
            <w:tcW w:type="dxa" w:w="2592"/>
            <w:shd w:fill="FFFFFF"/>
            <w:tcMar>
              <w:top w:w="50" w:type="dxa"/>
              <w:bottom w:w="50" w:type="dxa"/>
              <w:left w:w="80" w:type="dxa"/>
              <w:right w:w="80" w:type="dxa"/>
            </w:tcMar>
          </w:tcPr>
          <w:p>
            <w:r>
              <w:rPr>
                <w:sz w:val="18"/>
              </w:rPr>
              <w:t>80 épocas, monitoreo diversidad</w:t>
            </w:r>
          </w:p>
        </w:tc>
        <w:tc>
          <w:tcPr>
            <w:tcW w:type="dxa" w:w="1584"/>
            <w:shd w:fill="FFFFFF"/>
            <w:tcMar>
              <w:top w:w="50" w:type="dxa"/>
              <w:bottom w:w="50" w:type="dxa"/>
              <w:left w:w="80" w:type="dxa"/>
              <w:right w:w="80" w:type="dxa"/>
            </w:tcMar>
          </w:tcPr>
          <w:p>
            <w:pPr>
              <w:jc w:val="center"/>
            </w:pPr>
            <w:r>
              <w:rPr>
                <w:sz w:val="18"/>
              </w:rPr>
              <w:t>Fit: 58→98</w:t>
            </w:r>
          </w:p>
        </w:tc>
        <w:tc>
          <w:tcPr>
            <w:tcW w:type="dxa" w:w="1152"/>
            <w:shd w:fill="FFFFFF"/>
            <w:tcMar>
              <w:top w:w="50" w:type="dxa"/>
              <w:bottom w:w="50" w:type="dxa"/>
              <w:left w:w="80" w:type="dxa"/>
              <w:right w:w="80" w:type="dxa"/>
            </w:tcMar>
          </w:tcPr>
          <w:p>
            <w:pPr>
              <w:jc w:val="center"/>
            </w:pPr>
            <w:r>
              <w:rPr>
                <w:b/>
                <w:color w:val="008250"/>
                <w:sz w:val="18"/>
              </w:rPr>
              <w:t>EXITOSA</w:t>
            </w:r>
          </w:p>
        </w:tc>
      </w:tr>
      <w:tr>
        <w:tc>
          <w:tcPr>
            <w:tcW w:type="dxa" w:w="1152"/>
            <w:shd w:fill="F9FBFC"/>
            <w:tcMar>
              <w:top w:w="50" w:type="dxa"/>
              <w:bottom w:w="50" w:type="dxa"/>
              <w:left w:w="80" w:type="dxa"/>
              <w:right w:w="80" w:type="dxa"/>
            </w:tcMar>
          </w:tcPr>
          <w:p>
            <w:pPr>
              <w:jc w:val="center"/>
            </w:pPr>
            <w:r>
              <w:rPr>
                <w:sz w:val="18"/>
              </w:rPr>
              <w:t>P3</w:t>
            </w:r>
          </w:p>
        </w:tc>
        <w:tc>
          <w:tcPr>
            <w:tcW w:type="dxa" w:w="2880"/>
            <w:shd w:fill="F9FBFC"/>
            <w:tcMar>
              <w:top w:w="50" w:type="dxa"/>
              <w:bottom w:w="50" w:type="dxa"/>
              <w:left w:w="80" w:type="dxa"/>
              <w:right w:w="80" w:type="dxa"/>
            </w:tcMar>
          </w:tcPr>
          <w:p>
            <w:r>
              <w:rPr>
                <w:sz w:val="18"/>
              </w:rPr>
              <w:t>Zonas de Desechos</w:t>
            </w:r>
          </w:p>
        </w:tc>
        <w:tc>
          <w:tcPr>
            <w:tcW w:type="dxa" w:w="2592"/>
            <w:shd w:fill="F9FBFC"/>
            <w:tcMar>
              <w:top w:w="50" w:type="dxa"/>
              <w:bottom w:w="50" w:type="dxa"/>
              <w:left w:w="80" w:type="dxa"/>
              <w:right w:w="80" w:type="dxa"/>
            </w:tcMar>
          </w:tcPr>
          <w:p>
            <w:r>
              <w:rPr>
                <w:sz w:val="18"/>
              </w:rPr>
              <w:t>3 zonas (12°, 10°, 8°)</w:t>
            </w:r>
          </w:p>
        </w:tc>
        <w:tc>
          <w:tcPr>
            <w:tcW w:type="dxa" w:w="1584"/>
            <w:shd w:fill="F9FBFC"/>
            <w:tcMar>
              <w:top w:w="50" w:type="dxa"/>
              <w:bottom w:w="50" w:type="dxa"/>
              <w:left w:w="80" w:type="dxa"/>
              <w:right w:w="80" w:type="dxa"/>
            </w:tcMar>
          </w:tcPr>
          <w:p>
            <w:pPr>
              <w:jc w:val="center"/>
            </w:pPr>
            <w:r>
              <w:rPr>
                <w:sz w:val="18"/>
              </w:rPr>
              <w:t>0 Infracciones</w:t>
            </w:r>
          </w:p>
        </w:tc>
        <w:tc>
          <w:tcPr>
            <w:tcW w:type="dxa" w:w="1152"/>
            <w:shd w:fill="F9FBFC"/>
            <w:tcMar>
              <w:top w:w="50" w:type="dxa"/>
              <w:bottom w:w="50" w:type="dxa"/>
              <w:left w:w="80" w:type="dxa"/>
              <w:right w:w="80" w:type="dxa"/>
            </w:tcMar>
          </w:tcPr>
          <w:p>
            <w:pPr>
              <w:jc w:val="center"/>
            </w:pPr>
            <w:r>
              <w:rPr>
                <w:b/>
                <w:color w:val="008250"/>
                <w:sz w:val="18"/>
              </w:rPr>
              <w:t>EXITOSA</w:t>
            </w:r>
          </w:p>
        </w:tc>
      </w:tr>
      <w:tr>
        <w:tc>
          <w:tcPr>
            <w:tcW w:type="dxa" w:w="1152"/>
            <w:shd w:fill="FFFFFF"/>
            <w:tcMar>
              <w:top w:w="50" w:type="dxa"/>
              <w:bottom w:w="50" w:type="dxa"/>
              <w:left w:w="80" w:type="dxa"/>
              <w:right w:w="80" w:type="dxa"/>
            </w:tcMar>
          </w:tcPr>
          <w:p>
            <w:pPr>
              <w:jc w:val="center"/>
            </w:pPr>
            <w:r>
              <w:rPr>
                <w:sz w:val="18"/>
              </w:rPr>
              <w:t>P4</w:t>
            </w:r>
          </w:p>
        </w:tc>
        <w:tc>
          <w:tcPr>
            <w:tcW w:type="dxa" w:w="2880"/>
            <w:shd w:fill="FFFFFF"/>
            <w:tcMar>
              <w:top w:w="50" w:type="dxa"/>
              <w:bottom w:w="50" w:type="dxa"/>
              <w:left w:w="80" w:type="dxa"/>
              <w:right w:w="80" w:type="dxa"/>
            </w:tcMar>
          </w:tcPr>
          <w:p>
            <w:r>
              <w:rPr>
                <w:sz w:val="18"/>
              </w:rPr>
              <w:t>Posiciones Ocupadas</w:t>
            </w:r>
          </w:p>
        </w:tc>
        <w:tc>
          <w:tcPr>
            <w:tcW w:type="dxa" w:w="2592"/>
            <w:shd w:fill="FFFFFF"/>
            <w:tcMar>
              <w:top w:w="50" w:type="dxa"/>
              <w:bottom w:w="50" w:type="dxa"/>
              <w:left w:w="80" w:type="dxa"/>
              <w:right w:w="80" w:type="dxa"/>
            </w:tcMar>
          </w:tcPr>
          <w:p>
            <w:r>
              <w:rPr>
                <w:sz w:val="18"/>
              </w:rPr>
              <w:t>Objetos A y B (5°)</w:t>
            </w:r>
          </w:p>
        </w:tc>
        <w:tc>
          <w:tcPr>
            <w:tcW w:type="dxa" w:w="1584"/>
            <w:shd w:fill="FFFFFF"/>
            <w:tcMar>
              <w:top w:w="50" w:type="dxa"/>
              <w:bottom w:w="50" w:type="dxa"/>
              <w:left w:w="80" w:type="dxa"/>
              <w:right w:w="80" w:type="dxa"/>
            </w:tcMar>
          </w:tcPr>
          <w:p>
            <w:pPr>
              <w:jc w:val="center"/>
            </w:pPr>
            <w:r>
              <w:rPr>
                <w:sz w:val="18"/>
              </w:rPr>
              <w:t>0 Infracciones</w:t>
            </w:r>
          </w:p>
        </w:tc>
        <w:tc>
          <w:tcPr>
            <w:tcW w:type="dxa" w:w="1152"/>
            <w:shd w:fill="FFFFFF"/>
            <w:tcMar>
              <w:top w:w="50" w:type="dxa"/>
              <w:bottom w:w="50" w:type="dxa"/>
              <w:left w:w="80" w:type="dxa"/>
              <w:right w:w="80" w:type="dxa"/>
            </w:tcMar>
          </w:tcPr>
          <w:p>
            <w:pPr>
              <w:jc w:val="center"/>
            </w:pPr>
            <w:r>
              <w:rPr>
                <w:b/>
                <w:color w:val="008250"/>
                <w:sz w:val="18"/>
              </w:rPr>
              <w:t>EXITOSA</w:t>
            </w:r>
          </w:p>
        </w:tc>
      </w:tr>
      <w:tr>
        <w:tc>
          <w:tcPr>
            <w:tcW w:type="dxa" w:w="1152"/>
            <w:shd w:fill="F9FBFC"/>
            <w:tcMar>
              <w:top w:w="50" w:type="dxa"/>
              <w:bottom w:w="50" w:type="dxa"/>
              <w:left w:w="80" w:type="dxa"/>
              <w:right w:w="80" w:type="dxa"/>
            </w:tcMar>
          </w:tcPr>
          <w:p>
            <w:pPr>
              <w:jc w:val="center"/>
            </w:pPr>
            <w:r>
              <w:rPr>
                <w:sz w:val="18"/>
              </w:rPr>
              <w:t>P5</w:t>
            </w:r>
          </w:p>
        </w:tc>
        <w:tc>
          <w:tcPr>
            <w:tcW w:type="dxa" w:w="2880"/>
            <w:shd w:fill="F9FBFC"/>
            <w:tcMar>
              <w:top w:w="50" w:type="dxa"/>
              <w:bottom w:w="50" w:type="dxa"/>
              <w:left w:w="80" w:type="dxa"/>
              <w:right w:w="80" w:type="dxa"/>
            </w:tcMar>
          </w:tcPr>
          <w:p>
            <w:r>
              <w:rPr>
                <w:sz w:val="18"/>
              </w:rPr>
              <w:t>Espacio Reducido</w:t>
            </w:r>
          </w:p>
        </w:tc>
        <w:tc>
          <w:tcPr>
            <w:tcW w:type="dxa" w:w="2592"/>
            <w:shd w:fill="F9FBFC"/>
            <w:tcMar>
              <w:top w:w="50" w:type="dxa"/>
              <w:bottom w:w="50" w:type="dxa"/>
              <w:left w:w="80" w:type="dxa"/>
              <w:right w:w="80" w:type="dxa"/>
            </w:tcMar>
          </w:tcPr>
          <w:p>
            <w:r>
              <w:rPr>
                <w:sz w:val="18"/>
              </w:rPr>
              <w:t>Radios +50% + Zona Índico</w:t>
            </w:r>
          </w:p>
        </w:tc>
        <w:tc>
          <w:tcPr>
            <w:tcW w:type="dxa" w:w="1584"/>
            <w:shd w:fill="F9FBFC"/>
            <w:tcMar>
              <w:top w:w="50" w:type="dxa"/>
              <w:bottom w:w="50" w:type="dxa"/>
              <w:left w:w="80" w:type="dxa"/>
              <w:right w:w="80" w:type="dxa"/>
            </w:tcMar>
          </w:tcPr>
          <w:p>
            <w:pPr>
              <w:jc w:val="center"/>
            </w:pPr>
            <w:r>
              <w:rPr>
                <w:sz w:val="18"/>
              </w:rPr>
              <w:t>98.38% Cob.</w:t>
            </w:r>
          </w:p>
        </w:tc>
        <w:tc>
          <w:tcPr>
            <w:tcW w:type="dxa" w:w="1152"/>
            <w:shd w:fill="F9FBFC"/>
            <w:tcMar>
              <w:top w:w="50" w:type="dxa"/>
              <w:bottom w:w="50" w:type="dxa"/>
              <w:left w:w="80" w:type="dxa"/>
              <w:right w:w="80" w:type="dxa"/>
            </w:tcMar>
          </w:tcPr>
          <w:p>
            <w:pPr>
              <w:jc w:val="center"/>
            </w:pPr>
            <w:r>
              <w:rPr>
                <w:b/>
                <w:color w:val="008250"/>
                <w:sz w:val="18"/>
              </w:rPr>
              <w:t>EXITOSA</w:t>
            </w:r>
          </w:p>
        </w:tc>
      </w:tr>
      <w:tr>
        <w:tc>
          <w:tcPr>
            <w:tcW w:type="dxa" w:w="1152"/>
            <w:shd w:fill="FFFFFF"/>
            <w:tcMar>
              <w:top w:w="50" w:type="dxa"/>
              <w:bottom w:w="50" w:type="dxa"/>
              <w:left w:w="80" w:type="dxa"/>
              <w:right w:w="80" w:type="dxa"/>
            </w:tcMar>
          </w:tcPr>
          <w:p>
            <w:pPr>
              <w:jc w:val="center"/>
            </w:pPr>
            <w:r>
              <w:rPr>
                <w:sz w:val="18"/>
              </w:rPr>
              <w:t>P6</w:t>
            </w:r>
          </w:p>
        </w:tc>
        <w:tc>
          <w:tcPr>
            <w:tcW w:type="dxa" w:w="2880"/>
            <w:shd w:fill="FFFFFF"/>
            <w:tcMar>
              <w:top w:w="50" w:type="dxa"/>
              <w:bottom w:w="50" w:type="dxa"/>
              <w:left w:w="80" w:type="dxa"/>
              <w:right w:w="80" w:type="dxa"/>
            </w:tcMar>
          </w:tcPr>
          <w:p>
            <w:r>
              <w:rPr>
                <w:sz w:val="18"/>
              </w:rPr>
              <w:t>Condición Inviable</w:t>
            </w:r>
          </w:p>
        </w:tc>
        <w:tc>
          <w:tcPr>
            <w:tcW w:type="dxa" w:w="2592"/>
            <w:shd w:fill="FFFFFF"/>
            <w:tcMar>
              <w:top w:w="50" w:type="dxa"/>
              <w:bottom w:w="50" w:type="dxa"/>
              <w:left w:w="80" w:type="dxa"/>
              <w:right w:w="80" w:type="dxa"/>
            </w:tcMar>
          </w:tcPr>
          <w:p>
            <w:r>
              <w:rPr>
                <w:sz w:val="18"/>
              </w:rPr>
              <w:t>Desechos sobre Amazonía</w:t>
            </w:r>
          </w:p>
        </w:tc>
        <w:tc>
          <w:tcPr>
            <w:tcW w:type="dxa" w:w="1584"/>
            <w:shd w:fill="FFFFFF"/>
            <w:tcMar>
              <w:top w:w="50" w:type="dxa"/>
              <w:bottom w:w="50" w:type="dxa"/>
              <w:left w:w="80" w:type="dxa"/>
              <w:right w:w="80" w:type="dxa"/>
            </w:tcMar>
          </w:tcPr>
          <w:p>
            <w:pPr>
              <w:jc w:val="center"/>
            </w:pPr>
            <w:r>
              <w:rPr>
                <w:sz w:val="18"/>
              </w:rPr>
              <w:t>0 Infracc. / Tang.</w:t>
            </w:r>
          </w:p>
        </w:tc>
        <w:tc>
          <w:tcPr>
            <w:tcW w:type="dxa" w:w="1152"/>
            <w:shd w:fill="FFFFFF"/>
            <w:tcMar>
              <w:top w:w="50" w:type="dxa"/>
              <w:bottom w:w="50" w:type="dxa"/>
              <w:left w:w="80" w:type="dxa"/>
              <w:right w:w="80" w:type="dxa"/>
            </w:tcMar>
          </w:tcPr>
          <w:p>
            <w:pPr>
              <w:jc w:val="center"/>
            </w:pPr>
            <w:r>
              <w:rPr>
                <w:b/>
                <w:color w:val="008250"/>
                <w:sz w:val="18"/>
              </w:rPr>
              <w:t>EXITOSA</w:t>
            </w:r>
          </w:p>
        </w:tc>
      </w:tr>
      <w:tr>
        <w:tc>
          <w:tcPr>
            <w:tcW w:type="dxa" w:w="1152"/>
            <w:shd w:fill="F9FBFC"/>
            <w:tcMar>
              <w:top w:w="50" w:type="dxa"/>
              <w:bottom w:w="50" w:type="dxa"/>
              <w:left w:w="80" w:type="dxa"/>
              <w:right w:w="80" w:type="dxa"/>
            </w:tcMar>
          </w:tcPr>
          <w:p>
            <w:pPr>
              <w:jc w:val="center"/>
            </w:pPr>
            <w:r>
              <w:rPr>
                <w:sz w:val="18"/>
              </w:rPr>
              <w:t>P7</w:t>
            </w:r>
          </w:p>
        </w:tc>
        <w:tc>
          <w:tcPr>
            <w:tcW w:type="dxa" w:w="2880"/>
            <w:shd w:fill="F9FBFC"/>
            <w:tcMar>
              <w:top w:w="50" w:type="dxa"/>
              <w:bottom w:w="50" w:type="dxa"/>
              <w:left w:w="80" w:type="dxa"/>
              <w:right w:w="80" w:type="dxa"/>
            </w:tcMar>
          </w:tcPr>
          <w:p>
            <w:r>
              <w:rPr>
                <w:sz w:val="18"/>
              </w:rPr>
              <w:t>Variación Estocástica</w:t>
            </w:r>
          </w:p>
        </w:tc>
        <w:tc>
          <w:tcPr>
            <w:tcW w:type="dxa" w:w="2592"/>
            <w:shd w:fill="F9FBFC"/>
            <w:tcMar>
              <w:top w:w="50" w:type="dxa"/>
              <w:bottom w:w="50" w:type="dxa"/>
              <w:left w:w="80" w:type="dxa"/>
              <w:right w:w="80" w:type="dxa"/>
            </w:tcMar>
          </w:tcPr>
          <w:p>
            <w:r>
              <w:rPr>
                <w:sz w:val="18"/>
              </w:rPr>
              <w:t>10 semillas independientes</w:t>
            </w:r>
          </w:p>
        </w:tc>
        <w:tc>
          <w:tcPr>
            <w:tcW w:type="dxa" w:w="1584"/>
            <w:shd w:fill="F9FBFC"/>
            <w:tcMar>
              <w:top w:w="50" w:type="dxa"/>
              <w:bottom w:w="50" w:type="dxa"/>
              <w:left w:w="80" w:type="dxa"/>
              <w:right w:w="80" w:type="dxa"/>
            </w:tcMar>
          </w:tcPr>
          <w:p>
            <w:pPr>
              <w:jc w:val="center"/>
            </w:pPr>
            <w:r>
              <w:rPr>
                <w:sz w:val="18"/>
              </w:rPr>
              <w:t>97.46% ± 0.57%</w:t>
            </w:r>
          </w:p>
        </w:tc>
        <w:tc>
          <w:tcPr>
            <w:tcW w:type="dxa" w:w="1152"/>
            <w:shd w:fill="F9FBFC"/>
            <w:tcMar>
              <w:top w:w="50" w:type="dxa"/>
              <w:bottom w:w="50" w:type="dxa"/>
              <w:left w:w="80" w:type="dxa"/>
              <w:right w:w="80" w:type="dxa"/>
            </w:tcMar>
          </w:tcPr>
          <w:p>
            <w:pPr>
              <w:jc w:val="center"/>
            </w:pPr>
            <w:r>
              <w:rPr>
                <w:b/>
                <w:color w:val="008250"/>
                <w:sz w:val="18"/>
              </w:rPr>
              <w:t>EXITOSA</w:t>
            </w:r>
          </w:p>
        </w:tc>
      </w:tr>
      <w:tr>
        <w:tc>
          <w:tcPr>
            <w:tcW w:type="dxa" w:w="1152"/>
            <w:shd w:fill="FFFFFF"/>
            <w:tcMar>
              <w:top w:w="50" w:type="dxa"/>
              <w:bottom w:w="50" w:type="dxa"/>
              <w:left w:w="80" w:type="dxa"/>
              <w:right w:w="80" w:type="dxa"/>
            </w:tcMar>
          </w:tcPr>
          <w:p>
            <w:pPr>
              <w:jc w:val="center"/>
            </w:pPr>
            <w:r>
              <w:rPr>
                <w:sz w:val="18"/>
              </w:rPr>
              <w:t>P8</w:t>
            </w:r>
          </w:p>
        </w:tc>
        <w:tc>
          <w:tcPr>
            <w:tcW w:type="dxa" w:w="2880"/>
            <w:shd w:fill="FFFFFF"/>
            <w:tcMar>
              <w:top w:w="50" w:type="dxa"/>
              <w:bottom w:w="50" w:type="dxa"/>
              <w:left w:w="80" w:type="dxa"/>
              <w:right w:w="80" w:type="dxa"/>
            </w:tcMar>
          </w:tcPr>
          <w:p>
            <w:r>
              <w:rPr>
                <w:sz w:val="18"/>
              </w:rPr>
              <w:t>Fallo de Satélites (Propia)</w:t>
            </w:r>
          </w:p>
        </w:tc>
        <w:tc>
          <w:tcPr>
            <w:tcW w:type="dxa" w:w="2592"/>
            <w:shd w:fill="FFFFFF"/>
            <w:tcMar>
              <w:top w:w="50" w:type="dxa"/>
              <w:bottom w:w="50" w:type="dxa"/>
              <w:left w:w="80" w:type="dxa"/>
              <w:right w:w="80" w:type="dxa"/>
            </w:tcMar>
          </w:tcPr>
          <w:p>
            <w:r>
              <w:rPr>
                <w:sz w:val="18"/>
              </w:rPr>
              <w:t>Pérdida orbital de 1 y 2 satélites</w:t>
            </w:r>
          </w:p>
        </w:tc>
        <w:tc>
          <w:tcPr>
            <w:tcW w:type="dxa" w:w="1584"/>
            <w:shd w:fill="FFFFFF"/>
            <w:tcMar>
              <w:top w:w="50" w:type="dxa"/>
              <w:bottom w:w="50" w:type="dxa"/>
              <w:left w:w="80" w:type="dxa"/>
              <w:right w:w="80" w:type="dxa"/>
            </w:tcMar>
          </w:tcPr>
          <w:p>
            <w:pPr>
              <w:jc w:val="center"/>
            </w:pPr>
            <w:r>
              <w:rPr>
                <w:sz w:val="18"/>
              </w:rPr>
              <w:t>Graceful deg.</w:t>
            </w:r>
          </w:p>
        </w:tc>
        <w:tc>
          <w:tcPr>
            <w:tcW w:type="dxa" w:w="1152"/>
            <w:shd w:fill="FFFFFF"/>
            <w:tcMar>
              <w:top w:w="50" w:type="dxa"/>
              <w:bottom w:w="50" w:type="dxa"/>
              <w:left w:w="80" w:type="dxa"/>
              <w:right w:w="80" w:type="dxa"/>
            </w:tcMar>
          </w:tcPr>
          <w:p>
            <w:pPr>
              <w:jc w:val="center"/>
            </w:pPr>
            <w:r>
              <w:rPr>
                <w:b/>
                <w:color w:val="008250"/>
                <w:sz w:val="18"/>
              </w:rPr>
              <w:t>EXITOSA</w:t>
            </w:r>
          </w:p>
        </w:tc>
      </w:tr>
    </w:tbl>
    <w:p>
      <w:pPr>
        <w:spacing w:before="160"/>
      </w:pPr>
    </w:p>
    <w:p>
      <w:pPr>
        <w:spacing w:before="280" w:after="80"/>
      </w:pPr>
      <w:r>
        <w:rPr>
          <w:b/>
          <w:color w:val="1B365D"/>
          <w:sz w:val="26"/>
        </w:rPr>
        <w:t>1. Prueba 1: Escenario Inicial (Configuración y Cobertura Base)</w:t>
      </w:r>
    </w:p>
    <w:p>
      <w:pPr>
        <w:spacing w:line="276" w:lineRule="auto" w:after="80"/>
      </w:pPr>
      <w:r>
        <w:rPr>
          <w:b/>
        </w:rPr>
        <w:t xml:space="preserve">• Condiciones utilizadas: </w:t>
      </w:r>
      <w:r>
        <w:t>Flota nominal de 8 satélites, 6 regiones de interés con sus prioridades oficiales, sin zonas de exclusión ni desechos espaciales (espacio libre). Parámetros: N_pop = 60, Generaciones = 60, Pc = 0.85, Pm = 0.25.</w:t>
      </w:r>
    </w:p>
    <w:p>
      <w:pPr>
        <w:spacing w:line="276" w:lineRule="auto" w:after="80"/>
      </w:pPr>
      <w:r>
        <w:rPr>
          <w:b/>
        </w:rPr>
        <w:t xml:space="preserve">• Resultados cuantitativos: </w:t>
      </w:r>
      <w:r>
        <w:t>Puntaje de cobertura ponderada alcanzado: 97.35%. Regiones cubiertas: 6 de 6 (100%). Fitness neto: 97.35. Infracciones: 0.</w:t>
      </w:r>
    </w:p>
    <w:p>
      <w:pPr>
        <w:spacing w:line="276" w:lineRule="auto" w:after="120"/>
      </w:pPr>
      <w:r>
        <w:rPr>
          <w:b/>
        </w:rPr>
        <w:t xml:space="preserve">• Interpretación: </w:t>
      </w:r>
      <w:r>
        <w:t>El algoritmo explora libremente y ubica satélites en posiciones casi cenitales sobre las 6 regiones, logrando cobertura superior al 95%.</w:t>
      </w:r>
    </w:p>
    <w:p>
      <w:pPr>
        <w:spacing w:before="280" w:after="80"/>
      </w:pPr>
      <w:r>
        <w:rPr>
          <w:b/>
          <w:color w:val="1B365D"/>
          <w:sz w:val="26"/>
        </w:rPr>
        <w:t>2. Prueba 2: Evolución y Dinámica Generacional de Calidad</w:t>
      </w:r>
    </w:p>
    <w:p>
      <w:pPr>
        <w:spacing w:line="276" w:lineRule="auto" w:after="80"/>
      </w:pPr>
      <w:r>
        <w:rPr>
          <w:b/>
        </w:rPr>
        <w:t xml:space="preserve">• Condiciones utilizadas: </w:t>
      </w:r>
      <w:r>
        <w:t>Ejecución monitoreada durante 80 generaciones registrando en cada época: mejor fitness, fitness promedio, porcentaje de cobertura y diversidad genética poblacional (desviación estándar media angular).</w:t>
      </w:r>
    </w:p>
    <w:p>
      <w:pPr>
        <w:spacing w:line="276" w:lineRule="auto" w:after="80"/>
      </w:pPr>
      <w:r>
        <w:rPr>
          <w:b/>
        </w:rPr>
        <w:t xml:space="preserve">• Resultados cuantitativos: </w:t>
      </w:r>
      <w:r>
        <w:t>Fitness inicial: 58.28 → Fitness final: 98.05. Cobertura final: 98.05%. Dispersión poblacional final: 19.95°.</w:t>
      </w:r>
    </w:p>
    <w:p>
      <w:pPr>
        <w:spacing w:line="276" w:lineRule="auto" w:after="120"/>
      </w:pPr>
      <w:r>
        <w:rPr>
          <w:b/>
        </w:rPr>
        <w:t xml:space="preserve">• Interpretación: </w:t>
      </w:r>
      <w:r>
        <w:t>Se observa una fase de ascenso rápido (gen 0-30), estabilización asintótica (gen 40-70) y preservación de diversidad sin convergencia prematura. La gráfica generada automáticamente ('prueba_2_evolucion.png') corrobora que no ocurre estancamiento prematuro.</w:t>
      </w:r>
    </w:p>
    <w:p>
      <w:pPr>
        <w:spacing w:before="280" w:after="80"/>
      </w:pPr>
      <w:r>
        <w:rPr>
          <w:b/>
          <w:color w:val="1B365D"/>
          <w:sz w:val="26"/>
        </w:rPr>
        <w:t>3. Prueba 3: Cumplimiento de Zonas Restringidas por Desechos</w:t>
      </w:r>
    </w:p>
    <w:p>
      <w:pPr>
        <w:spacing w:line="276" w:lineRule="auto" w:after="80"/>
      </w:pPr>
      <w:r>
        <w:rPr>
          <w:b/>
        </w:rPr>
        <w:t xml:space="preserve">• Condiciones utilizadas: </w:t>
      </w:r>
      <w:r>
        <w:t>Inclusión de las 3 zonas de acumulación de basura espacial: Atlántico Norte (45°, -35°, r=12°), Pacífico Sur (-30°, -120°, r=10°) y Región Polar Norte (78°, 30°, r=8°).</w:t>
      </w:r>
    </w:p>
    <w:p>
      <w:pPr>
        <w:spacing w:line="276" w:lineRule="auto" w:after="80"/>
      </w:pPr>
      <w:r>
        <w:rPr>
          <w:b/>
        </w:rPr>
        <w:t xml:space="preserve">• Resultados cuantitativos: </w:t>
      </w:r>
      <w:r>
        <w:t>Infracciones detectadas a zonas de desechos: 0. Todas las distancias angulares de los 8 satélites a los centros de las nubes de desechos superan el radio de peligro respectivo con márgenes de seguridad &gt; 3.5°.</w:t>
      </w:r>
    </w:p>
    <w:p>
      <w:pPr>
        <w:spacing w:line="276" w:lineRule="auto" w:after="120"/>
      </w:pPr>
      <w:r>
        <w:rPr>
          <w:b/>
        </w:rPr>
        <w:t xml:space="preserve">• Interpretación: </w:t>
      </w:r>
      <w:r>
        <w:t>El 100% de los satélites se ubica fuera de los 3 casquetes de desechos espaciales (Atlántico Norte, Pacífico Sur y Polar Norte).</w:t>
      </w:r>
    </w:p>
    <w:p>
      <w:pPr>
        <w:spacing w:before="280" w:after="80"/>
      </w:pPr>
      <w:r>
        <w:rPr>
          <w:b/>
          <w:color w:val="1B365D"/>
          <w:sz w:val="26"/>
        </w:rPr>
        <w:t>4. Prueba 4: Cumplimiento de Posiciones Ocupadas y Exclusión</w:t>
      </w:r>
    </w:p>
    <w:p>
      <w:pPr>
        <w:spacing w:line="276" w:lineRule="auto" w:after="80"/>
      </w:pPr>
      <w:r>
        <w:rPr>
          <w:b/>
        </w:rPr>
        <w:t xml:space="preserve">• Condiciones utilizadas: </w:t>
      </w:r>
      <w:r>
        <w:t>Inclusión de los objetos espaciales preexistentes: Objeto A (10°, 45°, radio exclusión 5°) y Objeto B (-15°, 110°, radio exclusión 5°).</w:t>
      </w:r>
    </w:p>
    <w:p>
      <w:pPr>
        <w:spacing w:line="276" w:lineRule="auto" w:after="80"/>
      </w:pPr>
      <w:r>
        <w:rPr>
          <w:b/>
        </w:rPr>
        <w:t xml:space="preserve">• Resultados cuantitativos: </w:t>
      </w:r>
      <w:r>
        <w:t>Infracciones a zonas de exclusión: 0. Distancia mínima registrada a Objeto A: &gt; 8.4°. Distancia mínima registrada a Objeto B: &gt; 9.1°.</w:t>
      </w:r>
    </w:p>
    <w:p>
      <w:pPr>
        <w:spacing w:line="276" w:lineRule="auto" w:after="120"/>
      </w:pPr>
      <w:r>
        <w:rPr>
          <w:b/>
        </w:rPr>
        <w:t xml:space="preserve">• Interpretación: </w:t>
      </w:r>
      <w:r>
        <w:t>Ningún satélite penetra los radios de exclusión de 5° de los objetos existentes A y B.</w:t>
      </w:r>
    </w:p>
    <w:p>
      <w:pPr>
        <w:spacing w:before="280" w:after="80"/>
      </w:pPr>
      <w:r>
        <w:rPr>
          <w:b/>
          <w:color w:val="1B365D"/>
          <w:sz w:val="26"/>
        </w:rPr>
        <w:t>5. Prueba 5: Escenario de Espacio Reducido y Constreñimiento Severo</w:t>
      </w:r>
    </w:p>
    <w:p>
      <w:pPr>
        <w:spacing w:line="276" w:lineRule="auto" w:after="80"/>
      </w:pPr>
      <w:r>
        <w:rPr>
          <w:b/>
        </w:rPr>
        <w:t xml:space="preserve">• Condiciones utilizadas: </w:t>
      </w:r>
      <w:r>
        <w:t>Radios de desechos incrementados a 18°, 15°, 12° y nueva zona de 14° en el Índico</w:t>
      </w:r>
    </w:p>
    <w:p>
      <w:pPr>
        <w:spacing w:line="276" w:lineRule="auto" w:after="80"/>
      </w:pPr>
      <w:r>
        <w:rPr>
          <w:b/>
        </w:rPr>
        <w:t xml:space="preserve">• Resultados cuantitativos: </w:t>
      </w:r>
      <w:r>
        <w:t>Cobertura ponderada obtenida: 98.38%. Infracciones: 0. Regiones cubiertas: 6/6.</w:t>
      </w:r>
    </w:p>
    <w:p>
      <w:pPr>
        <w:spacing w:line="276" w:lineRule="auto" w:after="120"/>
      </w:pPr>
      <w:r>
        <w:rPr>
          <w:b/>
        </w:rPr>
        <w:t xml:space="preserve">• Interpretación: </w:t>
      </w:r>
      <w:r>
        <w:t>A pesar de reducir drásticamente los corredores seguros, el sistema encuentra configuraciones viables sin infracciones con cobertura del 90%+.</w:t>
      </w:r>
    </w:p>
    <w:p>
      <w:pPr>
        <w:spacing w:before="280" w:after="80"/>
      </w:pPr>
      <w:r>
        <w:rPr>
          <w:b/>
          <w:color w:val="1B365D"/>
          <w:sz w:val="26"/>
        </w:rPr>
        <w:t>6. Prueba 6: Condición Difícil o Inviable (Conflicto Directo de Seguridad)</w:t>
      </w:r>
    </w:p>
    <w:p>
      <w:pPr>
        <w:spacing w:line="276" w:lineRule="auto" w:after="80"/>
      </w:pPr>
      <w:r>
        <w:rPr>
          <w:b/>
        </w:rPr>
        <w:t xml:space="preserve">• Condiciones utilizadas: </w:t>
      </w:r>
      <w:r>
        <w:t>Zona de desechos de radio 16° colocada intencionalmente en el centro de la Amazonía (-3.5°, -62.0°)</w:t>
      </w:r>
    </w:p>
    <w:p>
      <w:pPr>
        <w:spacing w:line="276" w:lineRule="auto" w:after="80"/>
      </w:pPr>
      <w:r>
        <w:rPr>
          <w:b/>
        </w:rPr>
        <w:t xml:space="preserve">• Resultados cuantitativos: </w:t>
      </w:r>
      <w:r>
        <w:t>Infracciones de seguridad: 0. Comportamiento ante la Amazonía: Cubierta Tangencialmente a una distancia de 1786.2 km (calidad cenital: 61.2%).</w:t>
      </w:r>
    </w:p>
    <w:p>
      <w:pPr>
        <w:spacing w:line="276" w:lineRule="auto" w:after="120"/>
      </w:pPr>
      <w:r>
        <w:rPr>
          <w:b/>
        </w:rPr>
        <w:t xml:space="preserve">• Análisis del fallo e impacto sobre la validez: </w:t>
      </w:r>
      <w:r>
        <w:t>Cuando un objetivo estratégico queda físicamente cubierto por una zona prohibida, es matemáticamente imposible obtener observación cenital pura sin destruir la nave. El algoritmo resuelve este dilema de manera óptima: la penalización de seguridad (-200 pts) tiene jerarquía absoluta sobre la ganancia de cobertura (+30 pts), por lo que el satélite se ubica en el límite exterior seguro observando tangencialmente la región. La solución resultante es operativamente válida y prioriza la supervivencia de la constelación.</w:t>
      </w:r>
    </w:p>
    <w:p>
      <w:pPr>
        <w:spacing w:before="280" w:after="80"/>
      </w:pPr>
      <w:r>
        <w:rPr>
          <w:b/>
          <w:color w:val="1B365D"/>
          <w:sz w:val="26"/>
        </w:rPr>
        <w:t>7. Prueba 7: Variación de la Ejecución (Estudio Multi-Semilla)</w:t>
      </w:r>
    </w:p>
    <w:p>
      <w:pPr>
        <w:spacing w:line="276" w:lineRule="auto" w:after="80"/>
      </w:pPr>
      <w:r>
        <w:rPr>
          <w:b/>
        </w:rPr>
        <w:t xml:space="preserve">• Condiciones utilizadas: </w:t>
      </w:r>
      <w:r>
        <w:t>10 ejecuciones independientes del algoritmo genético con semillas aleatorias diferentes (10, 25, 42, 57, 73, 88, 101, 120, 145, 199) bajo idénticos parámetros nominales.</w:t>
      </w:r>
    </w:p>
    <w:p>
      <w:pPr>
        <w:spacing w:line="276" w:lineRule="auto" w:after="80"/>
      </w:pPr>
      <w:r>
        <w:rPr>
          <w:b/>
        </w:rPr>
        <w:t xml:space="preserve">• Resultados cuantitativos: </w:t>
      </w:r>
      <w:r>
        <w:t>Media de Cobertura: 97.46% | Desviación Estándar: ±0.57% | Mínimo: 96.75% | Máximo: 98.54%. Infracciones en las 10 corridas: 0 (0 en el 100% de los casos).</w:t>
      </w:r>
    </w:p>
    <w:p>
      <w:pPr>
        <w:spacing w:line="276" w:lineRule="auto" w:after="120"/>
      </w:pPr>
      <w:r>
        <w:rPr>
          <w:b/>
        </w:rPr>
        <w:t xml:space="preserve">• Interpretación: </w:t>
      </w:r>
      <w:r>
        <w:t>Baja dispersión estadística (Media: 97.46% ± 0.57%), demostrando consistencia algorítmica sin dependencia de una semilla afortunada.</w:t>
      </w:r>
    </w:p>
    <w:p>
      <w:pPr>
        <w:spacing w:before="280" w:after="80"/>
      </w:pPr>
      <w:r>
        <w:rPr>
          <w:b/>
          <w:color w:val="1B365D"/>
          <w:sz w:val="26"/>
        </w:rPr>
        <w:t>8. Prueba 8 (Prueba Adicional Propia): Tolerancia a Fallos Orbitales de Hardware</w:t>
      </w:r>
    </w:p>
    <w:p>
      <w:pPr>
        <w:spacing w:line="276" w:lineRule="auto" w:after="80"/>
      </w:pPr>
      <w:r>
        <w:rPr>
          <w:b/>
        </w:rPr>
        <w:t xml:space="preserve">• Justificación de la prueba propia: </w:t>
      </w:r>
      <w:r>
        <w:t>En misiones satelitales reales, las fallas mecánicas o electrónicas imprevistas pueden inutilizar satélites. Esta prueba analiza la resiliencia y degradación graciosa (graceful degradation) de la constelación ante la pérdida súbita de 1 y 2 satélites en órbita.</w:t>
      </w:r>
    </w:p>
    <w:p>
      <w:pPr>
        <w:spacing w:line="276" w:lineRule="auto" w:after="80"/>
      </w:pPr>
      <w:r>
        <w:rPr>
          <w:b/>
        </w:rPr>
        <w:t xml:space="preserve">• Resultados cuantitativos: </w:t>
      </w:r>
      <w:r>
        <w:t>• Constelación Nominal (8 Satélites): 98.05% Cobertura Ponderada (6/6 regiones).</w:t>
        <w:br/>
        <w:t>• Pérdida de 1 Satélite (Flota de 7): 82.93% Cobertura (degradación leve de 15.12%).</w:t>
        <w:br/>
        <w:t>• Pérdida de 2 Satélites (Flota de 6): 59.98% Cobertura (degradación de 38.07%).</w:t>
      </w:r>
    </w:p>
    <w:p>
      <w:pPr>
        <w:spacing w:line="276" w:lineRule="auto" w:after="120"/>
      </w:pPr>
      <w:r>
        <w:rPr>
          <w:b/>
        </w:rPr>
        <w:t xml:space="preserve">• Interpretación: </w:t>
      </w:r>
      <w:r>
        <w:t>La constelación no colapsa catastróficamente ante fallos de hardware. Incluso tras perder 1 satélite, la cobertura ponderada se mantiene sobre el 82%, preservando la vigilancia ininterrumpida de los objetivos de prioridad Alta (Yucatán y Amazonía).</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36" w:space="0" w:color="1B365D"/>
              <w:top w:val="none"/>
              <w:right w:val="none"/>
              <w:bottom w:val="none"/>
            </w:tcBorders>
          </w:tcPr>
          <w:p>
            <w:pPr>
              <w:spacing w:before="40" w:after="40" w:line="276" w:lineRule="auto"/>
            </w:pPr>
            <w:r>
              <w:rPr>
                <w:rFonts w:ascii="Calibri" w:hAnsi="Calibri"/>
                <w:b/>
                <w:color w:val="1B365D"/>
                <w:sz w:val="20"/>
              </w:rPr>
              <w:t xml:space="preserve">📌 DICTAMEN DE VALIDACIÓN: </w:t>
            </w:r>
            <w:r>
              <w:rPr>
                <w:rFonts w:ascii="Calibri" w:hAnsi="Calibri"/>
                <w:color w:val="333333"/>
                <w:sz w:val="20"/>
              </w:rPr>
              <w:t>La batería experimental demuestra formalmente que AstroShield es un sistema evolutivo robusto, reproducible, altamente restrictivo con la seguridad espacial y resiliente ante perturbaciones operativas y de hardware.</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