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 Strategy Memorandum</w:t>
      </w:r>
    </w:p>
    <w:p>
      <w:r>
        <w:t>**Case Strategy Memorandum**</w:t>
      </w:r>
    </w:p>
    <w:p>
      <w:r>
        <w:t>---</w:t>
      </w:r>
    </w:p>
    <w:p>
      <w:r>
        <w:t>### 1. Facts</w:t>
      </w:r>
    </w:p>
    <w:p>
      <w:r>
        <w:t>| Date | Event | Key Details |</w:t>
      </w:r>
    </w:p>
    <w:p>
      <w:r>
        <w:t>|------|-------|-------------|</w:t>
      </w:r>
    </w:p>
    <w:p>
      <w:r>
        <w:t>| **15 March 2023** | Contract signed with XYZ Builders | • Agreement to construct a residential house in Delhi.</w:t>
      </w:r>
    </w:p>
    <w:p>
      <w:r>
        <w:t>| | | • Advance payment of INR 10 Lakhs received by the builder.</w:t>
      </w:r>
    </w:p>
    <w:p>
      <w:r>
        <w:t>| | | • Completion date stipulated as 1 December 2023.</w:t>
      </w:r>
    </w:p>
    <w:p>
      <w:r>
        <w:t>| **Post‑15 March 2023 – Present** | Construction status | • Foundation has not been laid; construction has not commenced.</w:t>
      </w:r>
    </w:p>
    <w:p>
      <w:r>
        <w:t>| | | • Builder refuses to refund the advance, citing a “minor cement shortage” as a force‑majeure excuse.</w:t>
      </w:r>
    </w:p>
    <w:p>
      <w:r>
        <w:t>| | | • Other builders in the same area are operating normally, suggesting the shortage claim is questionable.</w:t>
      </w:r>
    </w:p>
    <w:p>
      <w:r>
        <w:t>| **Present** | Legal action intent | • Client intends to file a lawsuit for breach of contract.</w:t>
      </w:r>
    </w:p>
    <w:p>
      <w:r>
        <w:t>**Missing Evidence**</w:t>
      </w:r>
    </w:p>
    <w:p>
      <w:r>
        <w:t>- Signed contract (or copy) detailing scope, milestones, payment schedule, and force‑majeure clauses.</w:t>
      </w:r>
    </w:p>
    <w:p>
      <w:r>
        <w:t>- Payment receipt / bank transfer confirmation for the INR 10 Lakhs advance.</w:t>
      </w:r>
    </w:p>
    <w:p>
      <w:r>
        <w:t>- Correspondence between client and builder regarding project status or the cement shortage claim.</w:t>
      </w:r>
    </w:p>
    <w:p>
      <w:r>
        <w:t>- Photographic or documentary proof that the foundation has not been laid.</w:t>
      </w:r>
    </w:p>
    <w:p>
      <w:r>
        <w:t>- Evidence (e.g., supplier invoices, delivery notes) supporting or refuting the cement shortage claim.</w:t>
      </w:r>
    </w:p>
    <w:p>
      <w:r>
        <w:t>---</w:t>
      </w:r>
    </w:p>
    <w:p>
      <w:r>
        <w:t>### 2. Core Arguments</w:t>
      </w:r>
    </w:p>
    <w:p>
      <w:r>
        <w:t>| Issue | Argument | Legal Basis | Supporting Evidence Needed |</w:t>
      </w:r>
    </w:p>
    <w:p>
      <w:r>
        <w:t>|-------|----------|-------------|---------------------------|</w:t>
      </w:r>
    </w:p>
    <w:p>
      <w:r>
        <w:t>| **Existence of a valid contract** | The parties entered into a binding agreement with consideration and a clear performance schedule. | Indian Contract Act, 1872 – § 10 (contract is an agreement enforceable by law). | Signed contract, payment receipt. |</w:t>
      </w:r>
    </w:p>
    <w:p>
      <w:r>
        <w:t>| **Material breach by XYZ Builders** | Builder failed to commence construction (foundation not laid) by the agreed completion date and refuses to refund the advance. | ICA – § 73 (breach of contract). | Photographs, correspondence, absence of construction activity. |</w:t>
      </w:r>
    </w:p>
    <w:p>
      <w:r>
        <w:t>| **Invalid force‑majeure claim** | The “minor cement shortage” is not unforeseeable, unavoidable, or commercially impracticable; other builders are operating normally. | Common‑law doctrine of force‑majeure; ICA – § 73(1) (exemption). | Supplier invoices, delivery notes, third‑party verification, industry reports. |</w:t>
      </w:r>
    </w:p>
    <w:p>
      <w:r>
        <w:t>| **Damages** | Client is entitled to recover the advance payment and any consequential losses. | ICA – § 73(1) (compensation for loss or damage). | Payment receipt, cost of alternative construction, loss of opportunity. |</w:t>
      </w:r>
    </w:p>
    <w:p>
      <w:r>
        <w:t>**Strategic Steps**</w:t>
      </w:r>
    </w:p>
    <w:p>
      <w:r>
        <w:t>1. **Collect and authenticate all missing evidence** – contract, receipts, correspondence, photographs, supplier documents.</w:t>
      </w:r>
    </w:p>
    <w:p>
      <w:r>
        <w:t>2. **File a civil suit** in the appropriate Delhi court (or Delhi High Court if amount exceeds jurisdictional limits) under the Civil Procedure Code, 1908.</w:t>
      </w:r>
    </w:p>
    <w:p>
      <w:r>
        <w:t>3. **Demand refund of the advance** and/or specific performance (completion of the house) with a suitable injunction.</w:t>
      </w:r>
    </w:p>
    <w:p>
      <w:r>
        <w:t>4. **Prepare for counter‑arguments** – anticipate builder’s force‑majeure defense and be ready to present evidence disproving it.</w:t>
      </w:r>
    </w:p>
    <w:p>
      <w:r>
        <w:t>5. **Consider mediation** as a preliminary step to potentially recover the advance without protracted litigation.</w:t>
      </w:r>
    </w:p>
    <w:p>
      <w:r>
        <w:t>---</w:t>
      </w:r>
    </w:p>
    <w:p>
      <w:r>
        <w:t>### 3. Risks &amp; Critiques</w:t>
      </w:r>
    </w:p>
    <w:p>
      <w:r>
        <w:t>| Risk | Potential Impact | Mitigation |</w:t>
      </w:r>
    </w:p>
    <w:p>
      <w:r>
        <w:t>|------|------------------|------------|</w:t>
      </w:r>
    </w:p>
    <w:p>
      <w:r>
        <w:t>| **Insufficient evidence** | Weak claim for breach or damages; risk of dismissal. | Prioritize gathering all missing documents; use affidavits if necessary. |</w:t>
      </w:r>
    </w:p>
    <w:p>
      <w:r>
        <w:t>| **Builder’s force‑majeure defense** | Could reduce liability or lead to dismissal. | Collect concrete evidence of cement availability and industry norms; obtain expert testimony if needed. |</w:t>
      </w:r>
    </w:p>
    <w:p>
      <w:r>
        <w:t>| **Jurisdictional limits** | If the claim amount is below the court’s threshold, case may be dismissed or transferred. | Verify jurisdictional limits; consider filing in a higher court if necessary. |</w:t>
      </w:r>
    </w:p>
    <w:p>
      <w:r>
        <w:t>| **Delay in construction** | Prolonged litigation may increase costs and delay recovery. | Seek interim relief (injunction) to compel construction or refund. |</w:t>
      </w:r>
    </w:p>
    <w:p>
      <w:r>
        <w:t>| **Reputational damage** | Public litigation may affect client’s standing. | Maintain confidentiality; consider settlement if advantageous. |</w:t>
      </w:r>
    </w:p>
    <w:p>
      <w:r>
        <w:t>**Conclusion**</w:t>
      </w:r>
    </w:p>
    <w:p>
      <w:r>
        <w:t>The client’s case is strong provided that the missing evidence is secured and the builder’s force‑majeure claim is effectively rebutted. The strategy focuses on establishing a clear breach, invalidating the builder’s excuse, and securing damages through a civil suit in Delhi.</w:t>
      </w:r>
    </w:p>
    <w:p>
      <w:r>
        <w:t>---</w:t>
      </w:r>
    </w:p>
    <w:p>
      <w:r>
        <w:t>*Prepared by: Primary Counsel*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