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276" w:lineRule="auto"/>
        <w:jc w:val="center"/>
      </w:pPr>
      <w:r>
        <w:rPr>
          <w:rFonts w:ascii="Calibri" w:hAnsi="Calibri"/>
          <w:b/>
          <w:color w:val="0F766E"/>
          <w:sz w:val="26"/>
        </w:rPr>
        <w:t>INFRALYNX ENTERPRISE PLATFORM</w:t>
        <w:br/>
      </w:r>
    </w:p>
    <w:p>
      <w:pPr>
        <w:spacing w:before="120" w:after="160" w:line="276" w:lineRule="auto"/>
        <w:jc w:val="center"/>
      </w:pPr>
      <w:r>
        <w:rPr>
          <w:rFonts w:ascii="Calibri" w:hAnsi="Calibri"/>
          <w:b/>
          <w:color w:val="1E3A8A"/>
          <w:sz w:val="52"/>
        </w:rPr>
        <w:t>TIMS</w:t>
        <w:br/>
        <w:t>Township Infrastructure Management System</w:t>
      </w:r>
    </w:p>
    <w:p>
      <w:pPr>
        <w:spacing w:before="80" w:after="480" w:line="276" w:lineRule="auto"/>
        <w:jc w:val="center"/>
      </w:pPr>
      <w:r>
        <w:rPr>
          <w:rFonts w:ascii="Calibri" w:hAnsi="Calibri"/>
          <w:color w:val="475569"/>
          <w:sz w:val="30"/>
        </w:rPr>
        <w:t>Software Requirements Specification (SRS)</w:t>
        <w:br/>
      </w:r>
      <w:r>
        <w:rPr>
          <w:rFonts w:ascii="Calibri" w:hAnsi="Calibri"/>
          <w:i/>
          <w:color w:val="64748B"/>
          <w:sz w:val="22"/>
        </w:rPr>
        <w:t>Comprehensive Actor Roles, Responsibilities, Data Models &amp; End-to-End Governance Workflow</w:t>
      </w:r>
    </w:p>
    <w:tbl>
      <w:tblPr>
        <w:tblW w:type="auto" w:w="0"/>
        <w:jc w:val="center"/>
        <w:tblLook w:firstColumn="1" w:firstRow="1" w:lastColumn="0" w:lastRow="0" w:noHBand="0" w:noVBand="1" w:val="04A0"/>
      </w:tblPr>
      <w:tblGrid>
        <w:gridCol w:w="4680"/>
        <w:gridCol w:w="4680"/>
      </w:tblGrid>
      <w:tr>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Document Attribute</w:t>
            </w:r>
          </w:p>
        </w:tc>
        <w:tc>
          <w:tcPr>
            <w:tcW w:type="dxa" w:w="6480"/>
            <w:shd w:fill="1E3A8A"/>
            <w:tcMar>
              <w:top w:w="100" w:type="dxa"/>
              <w:bottom w:w="100" w:type="dxa"/>
              <w:left w:w="120" w:type="dxa"/>
              <w:right w:w="120" w:type="dxa"/>
            </w:tcMar>
          </w:tcPr>
          <w:p>
            <w:pPr>
              <w:spacing w:before="0" w:after="0" w:line="276" w:lineRule="auto"/>
            </w:pPr>
            <w:r>
              <w:rPr>
                <w:rFonts w:ascii="Calibri" w:hAnsi="Calibri"/>
                <w:b/>
                <w:color w:val="FFFFFF"/>
                <w:sz w:val="18"/>
              </w:rPr>
              <w:t>Specification Details</w:t>
            </w:r>
          </w:p>
        </w:tc>
      </w:tr>
      <w:tr>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System Name</w:t>
            </w:r>
          </w:p>
        </w:tc>
        <w:tc>
          <w:tcPr>
            <w:tcW w:type="dxa" w:w="64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TIMS (Township Infrastructure Management System) / InfraLynx</w:t>
            </w:r>
          </w:p>
        </w:tc>
      </w:tr>
      <w:tr>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Document Standard</w:t>
            </w:r>
          </w:p>
        </w:tc>
        <w:tc>
          <w:tcPr>
            <w:tcW w:type="dxa" w:w="64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ISO/IEC/IEEE 29148 / IEEE 830-1998 Software Requirements Standard</w:t>
            </w:r>
          </w:p>
        </w:tc>
      </w:tr>
      <w:tr>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Document Version</w:t>
            </w:r>
          </w:p>
        </w:tc>
        <w:tc>
          <w:tcPr>
            <w:tcW w:type="dxa" w:w="64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2.0 (PostgreSQL Architecture &amp; AMC Workflow Production Baseline)</w:t>
            </w:r>
          </w:p>
        </w:tc>
      </w:tr>
      <w:tr>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Supersedes</w:t>
            </w:r>
          </w:p>
        </w:tc>
        <w:tc>
          <w:tcPr>
            <w:tcW w:type="dxa" w:w="64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CRIMS SRS Version 1.0 (Legacy City Model)</w:t>
            </w:r>
          </w:p>
        </w:tc>
      </w:tr>
      <w:tr>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Database Engine</w:t>
            </w:r>
          </w:p>
        </w:tc>
        <w:tc>
          <w:tcPr>
            <w:tcW w:type="dxa" w:w="64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PostgreSQL 16 (Neon Cloud Serverless, Strictly Typed Schema)</w:t>
            </w:r>
          </w:p>
        </w:tc>
      </w:tr>
      <w:tr>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System Architecture</w:t>
            </w:r>
          </w:p>
        </w:tc>
        <w:tc>
          <w:tcPr>
            <w:tcW w:type="dxa" w:w="64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Multi-Tenant Township SaaS (React 18 Frontend, Express.js Backend)</w:t>
            </w:r>
          </w:p>
        </w:tc>
      </w:tr>
      <w:tr>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Status / Phase</w:t>
            </w:r>
          </w:p>
        </w:tc>
        <w:tc>
          <w:tcPr>
            <w:tcW w:type="dxa" w:w="64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Production Baseline / Operational Review</w:t>
            </w:r>
          </w:p>
        </w:tc>
      </w:tr>
      <w:tr>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Release Date</w:t>
            </w:r>
          </w:p>
        </w:tc>
        <w:tc>
          <w:tcPr>
            <w:tcW w:type="dxa" w:w="64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October 2026</w:t>
            </w:r>
          </w:p>
        </w:tc>
      </w:tr>
    </w:tbl>
    <w:p/>
    <w:p>
      <w:r>
        <w:br w:type="page"/>
      </w:r>
    </w:p>
    <w:p>
      <w:pPr>
        <w:pStyle w:val="Heading1"/>
        <w:keepNext/>
        <w:spacing w:before="360" w:after="120"/>
        <w:pBdr>
          <w:bottom w:val="single" w:sz="12" w:space="4" w:color="1E3A8A"/>
        </w:pBdr>
      </w:pPr>
      <w:r>
        <w:rPr>
          <w:rFonts w:ascii="Calibri" w:hAnsi="Calibri"/>
          <w:b/>
          <w:color w:val="1E3A8A"/>
          <w:sz w:val="32"/>
        </w:rPr>
        <w:t>Document Revision History</w:t>
      </w:r>
    </w:p>
    <w:tbl>
      <w:tblPr>
        <w:tblW w:type="auto" w:w="0"/>
        <w:jc w:val="center"/>
        <w:tblLook w:firstColumn="1" w:firstRow="1" w:lastColumn="0" w:lastRow="0" w:noHBand="0" w:noVBand="1" w:val="04A0"/>
      </w:tblPr>
      <w:tblGrid>
        <w:gridCol w:w="2340"/>
        <w:gridCol w:w="2340"/>
        <w:gridCol w:w="2340"/>
        <w:gridCol w:w="2340"/>
      </w:tblGrid>
      <w:tr>
        <w:tc>
          <w:tcPr>
            <w:tcW w:type="dxa" w:w="1296"/>
            <w:shd w:fill="1E3A8A"/>
            <w:tcMar>
              <w:top w:w="100" w:type="dxa"/>
              <w:bottom w:w="100" w:type="dxa"/>
              <w:left w:w="120" w:type="dxa"/>
              <w:right w:w="120" w:type="dxa"/>
            </w:tcMar>
          </w:tcPr>
          <w:p>
            <w:pPr>
              <w:spacing w:before="0" w:after="0" w:line="276" w:lineRule="auto"/>
            </w:pPr>
            <w:r>
              <w:rPr>
                <w:rFonts w:ascii="Calibri" w:hAnsi="Calibri"/>
                <w:b/>
                <w:color w:val="FFFFFF"/>
                <w:sz w:val="18"/>
              </w:rPr>
              <w:t>Version</w:t>
            </w:r>
          </w:p>
        </w:tc>
        <w:tc>
          <w:tcPr>
            <w:tcW w:type="dxa" w:w="1584"/>
            <w:shd w:fill="1E3A8A"/>
            <w:tcMar>
              <w:top w:w="100" w:type="dxa"/>
              <w:bottom w:w="100" w:type="dxa"/>
              <w:left w:w="120" w:type="dxa"/>
              <w:right w:w="120" w:type="dxa"/>
            </w:tcMar>
          </w:tcPr>
          <w:p>
            <w:pPr>
              <w:spacing w:before="0" w:after="0" w:line="276" w:lineRule="auto"/>
            </w:pPr>
            <w:r>
              <w:rPr>
                <w:rFonts w:ascii="Calibri" w:hAnsi="Calibri"/>
                <w:b/>
                <w:color w:val="FFFFFF"/>
                <w:sz w:val="18"/>
              </w:rPr>
              <w:t>Date</w:t>
            </w:r>
          </w:p>
        </w:tc>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Author / Role</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Summary of Major Revisions</w:t>
            </w:r>
          </w:p>
        </w:tc>
      </w:tr>
      <w:tr>
        <w:tc>
          <w:tcPr>
            <w:tcW w:type="dxa" w:w="1296"/>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1.0</w:t>
            </w:r>
          </w:p>
        </w:tc>
        <w:tc>
          <w:tcPr>
            <w:tcW w:type="dxa" w:w="15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Jan 30, 2026</w:t>
            </w:r>
          </w:p>
        </w:tc>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Domain Expert Team</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Initial generic municipal specification (CRIMS legacy draft).</w:t>
            </w:r>
          </w:p>
        </w:tc>
      </w:tr>
      <w:tr>
        <w:tc>
          <w:tcPr>
            <w:tcW w:type="dxa" w:w="1296"/>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1.5</w:t>
            </w:r>
          </w:p>
        </w:tc>
        <w:tc>
          <w:tcPr>
            <w:tcW w:type="dxa" w:w="15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Oct 05, 2026</w:t>
            </w:r>
          </w:p>
        </w:tc>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Engineering Architecture</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Restructured from municipal hierarchy to multi-township model (TIMS); introduced AMC rate contracts and RWA roles.</w:t>
            </w:r>
          </w:p>
        </w:tc>
      </w:tr>
      <w:tr>
        <w:tc>
          <w:tcPr>
            <w:tcW w:type="dxa" w:w="1296"/>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2.0</w:t>
            </w:r>
          </w:p>
        </w:tc>
        <w:tc>
          <w:tcPr>
            <w:tcW w:type="dxa" w:w="15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Oct 15, 2026</w:t>
            </w:r>
          </w:p>
        </w:tc>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TIMS System Core Team</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Full alignment with live PostgreSQL schema, 7 actor portals, 12-step lifecycle, 3-way invoice reconciliation, and snake_case API harmonization.</w:t>
            </w:r>
          </w:p>
        </w:tc>
      </w:tr>
    </w:tbl>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60" w:type="dxa"/>
            </w:tcMar>
            <w:tcBorders>
              <w:top w:val="nil"/>
              <w:left w:val="single" w:sz="24" w:space="0" w:color="0F766E"/>
              <w:bottom w:val="nil"/>
              <w:right w:val="nil"/>
            </w:tcBorders>
          </w:tcPr>
          <w:p>
            <w:pPr>
              <w:spacing w:before="0" w:after="80" w:line="276" w:lineRule="auto"/>
            </w:pPr>
            <w:r>
              <w:rPr>
                <w:rFonts w:ascii="Calibri" w:hAnsi="Calibri"/>
                <w:b/>
                <w:color w:val="0F766E"/>
                <w:sz w:val="20"/>
              </w:rPr>
              <w:t>📌 Executive Summary: Scope &amp; Architectural Realignment</w:t>
              <w:br/>
            </w:r>
          </w:p>
          <w:p>
            <w:pPr>
              <w:spacing w:before="20" w:after="40" w:line="276" w:lineRule="auto"/>
            </w:pPr>
            <w:r>
              <w:rPr>
                <w:rFonts w:ascii="Calibri" w:hAnsi="Calibri"/>
                <w:b/>
                <w:color w:val="1E293B"/>
                <w:sz w:val="18"/>
              </w:rPr>
              <w:t xml:space="preserve">Core Purpose: </w:t>
            </w:r>
            <w:r>
              <w:rPr>
                <w:rFonts w:ascii="Calibri" w:hAnsi="Calibri"/>
                <w:color w:val="334155"/>
                <w:sz w:val="18"/>
              </w:rPr>
              <w:t>TIMS is an enterprise-grade, multi-township infrastructure maintenance and governance platform that automates the complete operational lifecycle from citizen complaint submission, departmental triage, contractor technical inspection, AMC-based rate-card estimation, multi-tier approvals, repair execution, citizen quality verification, finance 3-way reconciliation audit, to staged disbursement.</w:t>
            </w:r>
          </w:p>
          <w:p>
            <w:pPr>
              <w:spacing w:before="20" w:after="40" w:line="276" w:lineRule="auto"/>
            </w:pPr>
            <w:r>
              <w:rPr>
                <w:rFonts w:ascii="Calibri" w:hAnsi="Calibri"/>
                <w:b/>
                <w:color w:val="1E293B"/>
                <w:sz w:val="18"/>
              </w:rPr>
              <w:t xml:space="preserve">Key Paradigm Shift: </w:t>
            </w:r>
            <w:r>
              <w:rPr>
                <w:rFonts w:ascii="Calibri" w:hAnsi="Calibri"/>
                <w:color w:val="334155"/>
                <w:sz w:val="18"/>
              </w:rPr>
              <w:t>Unlike legacy municipal models relying on open vendor tenders or warehouse inventory management, TIMS utilizes predefined Annual Maintenance Contracts (AMCs) with immutable rate-card schedules. Billed amounts are derived strictly by multiplying verified work quantities against contractual rates.</w:t>
            </w:r>
          </w:p>
          <w:p>
            <w:pPr>
              <w:spacing w:before="20" w:after="40" w:line="276" w:lineRule="auto"/>
            </w:pPr>
            <w:r>
              <w:rPr>
                <w:rFonts w:ascii="Calibri" w:hAnsi="Calibri"/>
                <w:b/>
                <w:color w:val="1E293B"/>
                <w:sz w:val="18"/>
              </w:rPr>
              <w:t xml:space="preserve">Hard Quality &amp; Financial Gates: </w:t>
            </w:r>
            <w:r>
              <w:rPr>
                <w:rFonts w:ascii="Calibri" w:hAnsi="Calibri"/>
                <w:color w:val="334155"/>
                <w:sz w:val="18"/>
              </w:rPr>
              <w:t>Resident/RWA on-ground quality verification is a non-bypassable prerequisite before Finance can authorize payment. Disputed tickets trigger an automated rework loop without financial release.</w:t>
            </w:r>
          </w:p>
        </w:tc>
      </w:tr>
    </w:tbl>
    <w:p/>
    <w:p>
      <w:pPr>
        <w:pStyle w:val="Heading1"/>
        <w:keepNext/>
        <w:spacing w:before="360" w:after="120"/>
        <w:pBdr>
          <w:bottom w:val="single" w:sz="12" w:space="4" w:color="1E3A8A"/>
        </w:pBdr>
      </w:pPr>
      <w:r>
        <w:rPr>
          <w:rFonts w:ascii="Calibri" w:hAnsi="Calibri"/>
          <w:b/>
          <w:color w:val="1E3A8A"/>
          <w:sz w:val="32"/>
        </w:rPr>
        <w:t>1. Introduction</w:t>
      </w:r>
    </w:p>
    <w:p>
      <w:pPr>
        <w:pStyle w:val="Heading2"/>
        <w:keepNext/>
        <w:spacing w:before="280" w:after="80"/>
      </w:pPr>
      <w:r>
        <w:rPr>
          <w:rFonts w:ascii="Calibri" w:hAnsi="Calibri"/>
          <w:b/>
          <w:color w:val="0F766E"/>
          <w:sz w:val="26"/>
        </w:rPr>
        <w:t>1.1 Purpose</w:t>
      </w:r>
    </w:p>
    <w:p>
      <w:pPr>
        <w:spacing w:before="40" w:after="80" w:line="276" w:lineRule="auto"/>
      </w:pPr>
      <w:r>
        <w:rPr>
          <w:rFonts w:ascii="Calibri" w:hAnsi="Calibri"/>
          <w:i w:val="0"/>
          <w:color w:val="334155"/>
          <w:sz w:val="20"/>
        </w:rPr>
        <w:t>This Software Requirements Specification (SRS) establishes the definitive functional, architectural, non-functional, and data requirements for the Township Infrastructure Management System (TIMS), commercially referred to as InfraLynx. This document serves as the formal contractual and technical baseline for system engineers, backend and frontend developers, quality assurance analysts, township chief operating officers (COOs), and audit personnel.</w:t>
      </w:r>
    </w:p>
    <w:p>
      <w:pPr>
        <w:pStyle w:val="Heading2"/>
        <w:keepNext/>
        <w:spacing w:before="280" w:after="80"/>
      </w:pPr>
      <w:r>
        <w:rPr>
          <w:rFonts w:ascii="Calibri" w:hAnsi="Calibri"/>
          <w:b/>
          <w:color w:val="0F766E"/>
          <w:sz w:val="26"/>
        </w:rPr>
        <w:t>1.2 Document Conventions</w:t>
      </w:r>
    </w:p>
    <w:p>
      <w:pPr>
        <w:spacing w:before="40" w:after="80" w:line="276" w:lineRule="auto"/>
      </w:pPr>
      <w:r>
        <w:rPr>
          <w:rFonts w:ascii="Calibri" w:hAnsi="Calibri"/>
          <w:i w:val="0"/>
          <w:color w:val="334155"/>
          <w:sz w:val="20"/>
        </w:rPr>
        <w:t>This specification adheres to IEEE 830 / ISO/IEC/IEEE 29148 requirements standards. The following typographic conventions are enforced throughout:</w:t>
      </w:r>
    </w:p>
    <w:p>
      <w:pPr>
        <w:pStyle w:val="ListBullet"/>
        <w:spacing w:before="20" w:after="60" w:line="269" w:lineRule="auto"/>
      </w:pPr>
      <w:r>
        <w:rPr>
          <w:rFonts w:ascii="Calibri" w:hAnsi="Calibri"/>
          <w:b/>
          <w:color w:val="0F172A"/>
          <w:sz w:val="19"/>
        </w:rPr>
        <w:t xml:space="preserve">Requirement Identifiers: </w:t>
      </w:r>
      <w:r>
        <w:rPr>
          <w:rFonts w:ascii="Calibri" w:hAnsi="Calibri"/>
          <w:color w:val="334155"/>
          <w:sz w:val="19"/>
        </w:rPr>
        <w:t>Requirements labels follow the hierarchical format [FR-&lt;ACTOR&gt;-&lt;NUMBER&gt;] for Functional Requirements and [NFR-&lt;CATEGORY&gt;-&lt;NUMBER&gt;] for Non-Functional Requirements.</w:t>
      </w:r>
    </w:p>
    <w:p>
      <w:pPr>
        <w:pStyle w:val="ListBullet"/>
        <w:spacing w:before="20" w:after="60" w:line="269" w:lineRule="auto"/>
      </w:pPr>
      <w:r>
        <w:rPr>
          <w:rFonts w:ascii="Calibri" w:hAnsi="Calibri"/>
          <w:b/>
          <w:color w:val="0F172A"/>
          <w:sz w:val="19"/>
        </w:rPr>
        <w:t xml:space="preserve">Requirement Modality: </w:t>
      </w:r>
      <w:r>
        <w:rPr>
          <w:rFonts w:ascii="Calibri" w:hAnsi="Calibri"/>
          <w:color w:val="334155"/>
          <w:sz w:val="19"/>
        </w:rPr>
        <w:t>The keywords SHALL (mandatory requirement), SHOULD (recommended best practice), and MAY (optional feature) are interpreted strictly in accordance with RFC 2119.</w:t>
      </w:r>
    </w:p>
    <w:p>
      <w:pPr>
        <w:pStyle w:val="ListBullet"/>
        <w:spacing w:before="20" w:after="60" w:line="269" w:lineRule="auto"/>
      </w:pPr>
      <w:r>
        <w:rPr>
          <w:rFonts w:ascii="Calibri" w:hAnsi="Calibri"/>
          <w:b/>
          <w:color w:val="0F172A"/>
          <w:sz w:val="19"/>
        </w:rPr>
        <w:t xml:space="preserve">Case Standardization: </w:t>
      </w:r>
      <w:r>
        <w:rPr>
          <w:rFonts w:ascii="Calibri" w:hAnsi="Calibri"/>
          <w:color w:val="334155"/>
          <w:sz w:val="19"/>
        </w:rPr>
        <w:t>All database tables, column names, foreign keys, and API payload properties are standardized in snake_case matching the underlying PostgreSQL schema.</w:t>
      </w:r>
    </w:p>
    <w:p>
      <w:pPr>
        <w:pStyle w:val="Heading2"/>
        <w:keepNext/>
        <w:spacing w:before="280" w:after="80"/>
      </w:pPr>
      <w:r>
        <w:rPr>
          <w:rFonts w:ascii="Calibri" w:hAnsi="Calibri"/>
          <w:b/>
          <w:color w:val="0F766E"/>
          <w:sz w:val="26"/>
        </w:rPr>
        <w:t>1.3 Intended Audience &amp; Reading Suggestions</w:t>
      </w:r>
    </w:p>
    <w:p>
      <w:pPr>
        <w:spacing w:before="40" w:after="80" w:line="276" w:lineRule="auto"/>
      </w:pPr>
      <w:r>
        <w:rPr>
          <w:rFonts w:ascii="Calibri" w:hAnsi="Calibri"/>
          <w:i w:val="0"/>
          <w:color w:val="334155"/>
          <w:sz w:val="20"/>
        </w:rPr>
        <w:t>This document is designed for the following stakeholder groups:</w:t>
      </w:r>
    </w:p>
    <w:p>
      <w:pPr>
        <w:pStyle w:val="ListBullet"/>
        <w:spacing w:before="20" w:after="60" w:line="269" w:lineRule="auto"/>
      </w:pPr>
      <w:r>
        <w:rPr>
          <w:rFonts w:ascii="Calibri" w:hAnsi="Calibri"/>
          <w:b/>
          <w:color w:val="0F172A"/>
          <w:sz w:val="19"/>
        </w:rPr>
        <w:t xml:space="preserve">Executive Stakeholders: </w:t>
      </w:r>
      <w:r>
        <w:rPr>
          <w:rFonts w:ascii="Calibri" w:hAnsi="Calibri"/>
          <w:color w:val="334155"/>
          <w:sz w:val="19"/>
        </w:rPr>
        <w:t>Township COOs and Municipal Boards seeking understanding of governance workflows, financial limits, and SLA management.</w:t>
      </w:r>
    </w:p>
    <w:p>
      <w:pPr>
        <w:pStyle w:val="ListBullet"/>
        <w:spacing w:before="20" w:after="60" w:line="269" w:lineRule="auto"/>
      </w:pPr>
      <w:r>
        <w:rPr>
          <w:rFonts w:ascii="Calibri" w:hAnsi="Calibri"/>
          <w:b/>
          <w:color w:val="0F172A"/>
          <w:sz w:val="19"/>
        </w:rPr>
        <w:t xml:space="preserve">Software Engineers: </w:t>
      </w:r>
      <w:r>
        <w:rPr>
          <w:rFonts w:ascii="Calibri" w:hAnsi="Calibri"/>
          <w:color w:val="334155"/>
          <w:sz w:val="19"/>
        </w:rPr>
        <w:t>Full-stack engineers implementing REST API contracts, database migrations, authentication, and user interfaces.</w:t>
      </w:r>
    </w:p>
    <w:p>
      <w:pPr>
        <w:pStyle w:val="ListBullet"/>
        <w:spacing w:before="20" w:after="60" w:line="269" w:lineRule="auto"/>
      </w:pPr>
      <w:r>
        <w:rPr>
          <w:rFonts w:ascii="Calibri" w:hAnsi="Calibri"/>
          <w:b/>
          <w:color w:val="0F172A"/>
          <w:sz w:val="19"/>
        </w:rPr>
        <w:t xml:space="preserve">Auditors &amp; Domain Specialists: </w:t>
      </w:r>
      <w:r>
        <w:rPr>
          <w:rFonts w:ascii="Calibri" w:hAnsi="Calibri"/>
          <w:color w:val="334155"/>
          <w:sz w:val="19"/>
        </w:rPr>
        <w:t>Finance Officers, Internal Auditors, and RWA Representatives reviewing 3-way invoice matching and quality verification gates.</w:t>
      </w:r>
    </w:p>
    <w:p>
      <w:pPr>
        <w:pStyle w:val="Heading2"/>
        <w:keepNext/>
        <w:spacing w:before="280" w:after="80"/>
      </w:pPr>
      <w:r>
        <w:rPr>
          <w:rFonts w:ascii="Calibri" w:hAnsi="Calibri"/>
          <w:b/>
          <w:color w:val="0F766E"/>
          <w:sz w:val="26"/>
        </w:rPr>
        <w:t>1.4 Product Scope</w:t>
      </w:r>
    </w:p>
    <w:p>
      <w:pPr>
        <w:spacing w:before="40" w:after="80" w:line="276" w:lineRule="auto"/>
      </w:pPr>
      <w:r>
        <w:rPr>
          <w:rFonts w:ascii="Calibri" w:hAnsi="Calibri"/>
          <w:i w:val="0"/>
          <w:color w:val="334155"/>
          <w:sz w:val="20"/>
        </w:rPr>
        <w:t>TIMS provides a multi-tenant, cloud-based platform for modern managed townships, residential enclaves, and private municipal developments. The platform governs six critical infrastructural domains:</w:t>
      </w:r>
    </w:p>
    <w:p>
      <w:pPr>
        <w:pStyle w:val="ListBullet"/>
        <w:spacing w:before="20" w:after="60" w:line="269" w:lineRule="auto"/>
      </w:pPr>
      <w:r>
        <w:rPr>
          <w:rFonts w:ascii="Calibri" w:hAnsi="Calibri"/>
          <w:b/>
          <w:color w:val="0F172A"/>
          <w:sz w:val="19"/>
        </w:rPr>
        <w:t xml:space="preserve">Civil Infrastructure &amp; Roads: </w:t>
      </w:r>
      <w:r>
        <w:rPr>
          <w:rFonts w:ascii="Calibri" w:hAnsi="Calibri"/>
          <w:color w:val="334155"/>
          <w:sz w:val="19"/>
        </w:rPr>
        <w:t>Arterial asphalt roads, stormwater drains, pedestrian walkways, manhole chambers, footpaths, and structural road fixtures.</w:t>
      </w:r>
    </w:p>
    <w:p>
      <w:pPr>
        <w:pStyle w:val="ListBullet"/>
        <w:spacing w:before="20" w:after="60" w:line="269" w:lineRule="auto"/>
      </w:pPr>
      <w:r>
        <w:rPr>
          <w:rFonts w:ascii="Calibri" w:hAnsi="Calibri"/>
          <w:b/>
          <w:color w:val="0F172A"/>
          <w:sz w:val="19"/>
        </w:rPr>
        <w:t xml:space="preserve">Electrical &amp; Power Distribution: </w:t>
      </w:r>
      <w:r>
        <w:rPr>
          <w:rFonts w:ascii="Calibri" w:hAnsi="Calibri"/>
          <w:color w:val="334155"/>
          <w:sz w:val="19"/>
        </w:rPr>
        <w:t>11kV transformers, feeder pillars, underground armored cabling, high-mast towers, and automated streetlight grids.</w:t>
      </w:r>
    </w:p>
    <w:p>
      <w:pPr>
        <w:pStyle w:val="ListBullet"/>
        <w:spacing w:before="20" w:after="60" w:line="269" w:lineRule="auto"/>
      </w:pPr>
      <w:r>
        <w:rPr>
          <w:rFonts w:ascii="Calibri" w:hAnsi="Calibri"/>
          <w:b/>
          <w:color w:val="0F172A"/>
          <w:sz w:val="19"/>
        </w:rPr>
        <w:t xml:space="preserve">Water Supply &amp; Drainage Sanitation: </w:t>
      </w:r>
      <w:r>
        <w:rPr>
          <w:rFonts w:ascii="Calibri" w:hAnsi="Calibri"/>
          <w:color w:val="334155"/>
          <w:sz w:val="19"/>
        </w:rPr>
        <w:t>Potable drinking water networks, 150mm DI pipelines, sluice valves, sewage treatment lines, and hydro-pneumatic pumping stations.</w:t>
      </w:r>
    </w:p>
    <w:p>
      <w:pPr>
        <w:pStyle w:val="ListBullet"/>
        <w:spacing w:before="20" w:after="60" w:line="269" w:lineRule="auto"/>
      </w:pPr>
      <w:r>
        <w:rPr>
          <w:rFonts w:ascii="Calibri" w:hAnsi="Calibri"/>
          <w:b/>
          <w:color w:val="0F172A"/>
          <w:sz w:val="19"/>
        </w:rPr>
        <w:t xml:space="preserve">Horticulture &amp; Urban Waste Management: </w:t>
      </w:r>
      <w:r>
        <w:rPr>
          <w:rFonts w:ascii="Calibri" w:hAnsi="Calibri"/>
          <w:color w:val="334155"/>
          <w:sz w:val="19"/>
        </w:rPr>
        <w:t>Central parks, community green belts, mechanical tree pruning, green-waste shredding, and solid-waste segregation.</w:t>
      </w:r>
    </w:p>
    <w:p>
      <w:pPr>
        <w:pStyle w:val="Heading2"/>
        <w:keepNext/>
        <w:spacing w:before="280" w:after="80"/>
      </w:pPr>
      <w:r>
        <w:rPr>
          <w:rFonts w:ascii="Calibri" w:hAnsi="Calibri"/>
          <w:b/>
          <w:color w:val="0F766E"/>
          <w:sz w:val="26"/>
        </w:rPr>
        <w:t>1.5 Scope Boundary &amp; Exclusions</w:t>
      </w:r>
    </w:p>
    <w:p>
      <w:pPr>
        <w:spacing w:before="40" w:after="80" w:line="276" w:lineRule="auto"/>
      </w:pPr>
      <w:r>
        <w:rPr>
          <w:rFonts w:ascii="Calibri" w:hAnsi="Calibri"/>
          <w:i w:val="0"/>
          <w:color w:val="334155"/>
          <w:sz w:val="20"/>
        </w:rPr>
        <w:t>To maintain high operational focus and prevent architectural bloat, the following areas are explicitly excluded from the current TIMS scope:</w:t>
      </w:r>
    </w:p>
    <w:p>
      <w:pPr>
        <w:pStyle w:val="ListBullet"/>
        <w:spacing w:before="20" w:after="60" w:line="269" w:lineRule="auto"/>
      </w:pPr>
      <w:r>
        <w:rPr>
          <w:rFonts w:ascii="Calibri" w:hAnsi="Calibri"/>
          <w:b/>
          <w:color w:val="0F172A"/>
          <w:sz w:val="19"/>
        </w:rPr>
        <w:t xml:space="preserve">Warehouse &amp; Stock Inventory: </w:t>
      </w:r>
      <w:r>
        <w:rPr>
          <w:rFonts w:ascii="Calibri" w:hAnsi="Calibri"/>
          <w:color w:val="334155"/>
          <w:sz w:val="19"/>
        </w:rPr>
        <w:t>TIMS does not manage township-owned warehouses or inventory stock. Material procurement is handled externally by empanelled contractors under AMC terms.</w:t>
      </w:r>
    </w:p>
    <w:p>
      <w:pPr>
        <w:pStyle w:val="ListBullet"/>
        <w:spacing w:before="20" w:after="60" w:line="269" w:lineRule="auto"/>
      </w:pPr>
      <w:r>
        <w:rPr>
          <w:rFonts w:ascii="Calibri" w:hAnsi="Calibri"/>
          <w:b/>
          <w:color w:val="0F172A"/>
          <w:sz w:val="19"/>
        </w:rPr>
        <w:t xml:space="preserve">Real-Time GPS Tracking: </w:t>
      </w:r>
      <w:r>
        <w:rPr>
          <w:rFonts w:ascii="Calibri" w:hAnsi="Calibri"/>
          <w:color w:val="334155"/>
          <w:sz w:val="19"/>
        </w:rPr>
        <w:t>Real-time satellite GPS tracking of personnel is deferred to future releases. Location is strictly captured via Township -&gt; Sector -&gt; Block -&gt; Street hierarchy.</w:t>
      </w:r>
    </w:p>
    <w:p>
      <w:pPr>
        <w:pStyle w:val="ListBullet"/>
        <w:spacing w:before="20" w:after="60" w:line="269" w:lineRule="auto"/>
      </w:pPr>
      <w:r>
        <w:rPr>
          <w:rFonts w:ascii="Calibri" w:hAnsi="Calibri"/>
          <w:b/>
          <w:color w:val="0F172A"/>
          <w:sz w:val="19"/>
        </w:rPr>
        <w:t xml:space="preserve">Direct Escrow Settlement: </w:t>
      </w:r>
      <w:r>
        <w:rPr>
          <w:rFonts w:ascii="Calibri" w:hAnsi="Calibri"/>
          <w:color w:val="334155"/>
          <w:sz w:val="19"/>
        </w:rPr>
        <w:t>TIMS generates payment authorizations, vouchers, and UTR references; direct banking gateway settlement is performed via external escrow/RTGS channels.</w:t>
      </w:r>
    </w:p>
    <w:p>
      <w:pPr>
        <w:pStyle w:val="Heading1"/>
        <w:keepNext/>
        <w:spacing w:before="360" w:after="120"/>
        <w:pBdr>
          <w:bottom w:val="single" w:sz="12" w:space="4" w:color="1E3A8A"/>
        </w:pBdr>
      </w:pPr>
      <w:r>
        <w:rPr>
          <w:rFonts w:ascii="Calibri" w:hAnsi="Calibri"/>
          <w:b/>
          <w:color w:val="1E3A8A"/>
          <w:sz w:val="32"/>
        </w:rPr>
        <w:t>2. Overall System Description</w:t>
      </w:r>
    </w:p>
    <w:p>
      <w:pPr>
        <w:pStyle w:val="Heading2"/>
        <w:keepNext/>
        <w:spacing w:before="280" w:after="80"/>
      </w:pPr>
      <w:r>
        <w:rPr>
          <w:rFonts w:ascii="Calibri" w:hAnsi="Calibri"/>
          <w:b/>
          <w:color w:val="0F766E"/>
          <w:sz w:val="26"/>
        </w:rPr>
        <w:t>2.1 Product Perspective &amp; Multi-Township Architecture</w:t>
      </w:r>
    </w:p>
    <w:p>
      <w:pPr>
        <w:spacing w:before="40" w:after="80" w:line="276" w:lineRule="auto"/>
      </w:pPr>
      <w:r>
        <w:rPr>
          <w:rFonts w:ascii="Calibri" w:hAnsi="Calibri"/>
          <w:i w:val="0"/>
          <w:color w:val="334155"/>
          <w:sz w:val="20"/>
        </w:rPr>
        <w:t>TIMS operates as a secure, cloud-hosted SaaS platform serving multiple townships on a shared database with strict tenant isolation. The platform separates operational authority across seven distinct actor roles: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spacing w:before="0" w:after="0" w:line="276" w:lineRule="auto"/>
            </w:pPr>
            <w:r>
              <w:rPr>
                <w:rFonts w:ascii="Calibri" w:hAnsi="Calibri"/>
                <w:b/>
                <w:color w:val="FFFFFF"/>
                <w:sz w:val="18"/>
              </w:rPr>
              <w:t>System Actor</w:t>
            </w:r>
          </w:p>
        </w:tc>
        <w:tc>
          <w:tcPr>
            <w:tcW w:type="dxa" w:w="1584"/>
            <w:shd w:fill="1E3A8A"/>
            <w:tcMar>
              <w:top w:w="100" w:type="dxa"/>
              <w:bottom w:w="100" w:type="dxa"/>
              <w:left w:w="120" w:type="dxa"/>
              <w:right w:w="120" w:type="dxa"/>
            </w:tcMar>
          </w:tcPr>
          <w:p>
            <w:pPr>
              <w:spacing w:before="0" w:after="0" w:line="276" w:lineRule="auto"/>
            </w:pPr>
            <w:r>
              <w:rPr>
                <w:rFonts w:ascii="Calibri" w:hAnsi="Calibri"/>
                <w:b/>
                <w:color w:val="FFFFFF"/>
                <w:sz w:val="18"/>
              </w:rPr>
              <w:t>Actor Type</w:t>
            </w:r>
          </w:p>
        </w:tc>
        <w:tc>
          <w:tcPr>
            <w:tcW w:type="dxa" w:w="5184"/>
            <w:shd w:fill="1E3A8A"/>
            <w:tcMar>
              <w:top w:w="100" w:type="dxa"/>
              <w:bottom w:w="100" w:type="dxa"/>
              <w:left w:w="120" w:type="dxa"/>
              <w:right w:w="120" w:type="dxa"/>
            </w:tcMar>
          </w:tcPr>
          <w:p>
            <w:pPr>
              <w:spacing w:before="0" w:after="0" w:line="276" w:lineRule="auto"/>
            </w:pPr>
            <w:r>
              <w:rPr>
                <w:rFonts w:ascii="Calibri" w:hAnsi="Calibri"/>
                <w:b/>
                <w:color w:val="FFFFFF"/>
                <w:sz w:val="18"/>
              </w:rPr>
              <w:t>Core Operational Responsibilities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1. RWA Representative</w:t>
            </w:r>
          </w:p>
        </w:tc>
        <w:tc>
          <w:tcPr>
            <w:tcW w:type="dxa" w:w="15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External / Resident</w:t>
            </w:r>
          </w:p>
        </w:tc>
        <w:tc>
          <w:tcPr>
            <w:tcW w:type="dxa" w:w="51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Submit infrastructure complaints with location details and photos; track progress; verify completed work; dispute unsatisfactory repairs.</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2. Desk Clerk</w:t>
            </w:r>
          </w:p>
        </w:tc>
        <w:tc>
          <w:tcPr>
            <w:tcW w:type="dxa" w:w="15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Internal / Operations</w:t>
            </w:r>
          </w:p>
        </w:tc>
        <w:tc>
          <w:tcPr>
            <w:tcW w:type="dxa" w:w="51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Triage departmental queues; execute 100m duplicate checks; validate tickets; create Work Orders; dispatch empanelled AMC contractors.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3. Field Contractor</w:t>
            </w:r>
          </w:p>
        </w:tc>
        <w:tc>
          <w:tcPr>
            <w:tcW w:type="dxa" w:w="15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External / Field Crew</w:t>
            </w:r>
          </w:p>
        </w:tc>
        <w:tc>
          <w:tcPr>
            <w:tcW w:type="dxa" w:w="51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Conduct on-site technical inspection; record findings; generate AMC rate-card estimates; execute repairs; submit mandatory after-work photos.</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4. Department Head</w:t>
            </w:r>
          </w:p>
        </w:tc>
        <w:tc>
          <w:tcPr>
            <w:tcW w:type="dxa" w:w="15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Internal / Management</w:t>
            </w:r>
          </w:p>
        </w:tc>
        <w:tc>
          <w:tcPr>
            <w:tcW w:type="dxa" w:w="51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Manage departmental staff; create Desk Clerks; review and approve/reject estimates; participate in COO joint escalations; monitor SLAs.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5. Finance Clerk / Team</w:t>
            </w:r>
          </w:p>
        </w:tc>
        <w:tc>
          <w:tcPr>
            <w:tcW w:type="dxa" w:w="15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Internal / Fiscal Audit</w:t>
            </w:r>
          </w:p>
        </w:tc>
        <w:tc>
          <w:tcPr>
            <w:tcW w:type="dxa" w:w="51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Administer contractor AMC contracts &amp; rate cards; perform 3-way reconciliation audit; flag variances; authorize payments post-RWA confirmation; record UTR disbursements.</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6. Township COO</w:t>
            </w:r>
          </w:p>
        </w:tc>
        <w:tc>
          <w:tcPr>
            <w:tcW w:type="dxa" w:w="15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Internal / Executive</w:t>
            </w:r>
          </w:p>
        </w:tc>
        <w:tc>
          <w:tcPr>
            <w:tcW w:type="dxa" w:w="5184"/>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Township-wide executive dashboard; configure departments &amp; department heads; approve major expenditure (&gt; ₹100,000); review audit logs.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7. Platform Super Admin</w:t>
            </w:r>
          </w:p>
        </w:tc>
        <w:tc>
          <w:tcPr>
            <w:tcW w:type="dxa" w:w="15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Global SaaS Operator</w:t>
            </w:r>
          </w:p>
        </w:tc>
        <w:tc>
          <w:tcPr>
            <w:tcW w:type="dxa" w:w="5184"/>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Onboard new township tenants; manage subscription tiers; configure global SLA and financial approval thresholds; enforce security kill-switches.</w:t>
            </w:r>
          </w:p>
        </w:tc>
      </w:tr>
    </w:tbl>
    <w:p/>
    <w:p>
      <w:pPr>
        <w:pStyle w:val="Heading2"/>
        <w:keepNext/>
        <w:spacing w:before="280" w:after="80"/>
      </w:pPr>
      <w:r>
        <w:rPr>
          <w:rFonts w:ascii="Calibri" w:hAnsi="Calibri"/>
          <w:b/>
          <w:color w:val="0F766E"/>
          <w:sz w:val="26"/>
        </w:rPr>
        <w:t>2.2 Operating Environment &amp; Technology Stack</w:t>
      </w:r>
    </w:p>
    <w:p>
      <w:pPr>
        <w:pStyle w:val="ListBullet"/>
        <w:spacing w:before="20" w:after="60" w:line="269" w:lineRule="auto"/>
      </w:pPr>
      <w:r>
        <w:rPr>
          <w:rFonts w:ascii="Calibri" w:hAnsi="Calibri"/>
          <w:b/>
          <w:color w:val="0F172A"/>
          <w:sz w:val="19"/>
        </w:rPr>
        <w:t xml:space="preserve">Frontend Layer: </w:t>
      </w:r>
      <w:r>
        <w:rPr>
          <w:rFonts w:ascii="Calibri" w:hAnsi="Calibri"/>
          <w:color w:val="334155"/>
          <w:sz w:val="19"/>
        </w:rPr>
        <w:t>React 18 Single Page Application (SPA), Vite build system, Tailwind CSS / Vanilla CSS modern tokens, Lucide icon system, and Responsive Role Portals.</w:t>
      </w:r>
    </w:p>
    <w:p>
      <w:pPr>
        <w:pStyle w:val="ListBullet"/>
        <w:spacing w:before="20" w:after="60" w:line="269" w:lineRule="auto"/>
      </w:pPr>
      <w:r>
        <w:rPr>
          <w:rFonts w:ascii="Calibri" w:hAnsi="Calibri"/>
          <w:b/>
          <w:color w:val="0F172A"/>
          <w:sz w:val="19"/>
        </w:rPr>
        <w:t xml:space="preserve">Backend Layer: </w:t>
      </w:r>
      <w:r>
        <w:rPr>
          <w:rFonts w:ascii="Calibri" w:hAnsi="Calibri"/>
          <w:color w:val="334155"/>
          <w:sz w:val="19"/>
        </w:rPr>
        <w:t>Node.js (v20+ LTS), Express.js (v4.19+), RESTful JSON micro-routes, Multer multipart upload parser, and JWT security middleware.</w:t>
      </w:r>
    </w:p>
    <w:p>
      <w:pPr>
        <w:pStyle w:val="ListBullet"/>
        <w:spacing w:before="20" w:after="60" w:line="269" w:lineRule="auto"/>
      </w:pPr>
      <w:r>
        <w:rPr>
          <w:rFonts w:ascii="Calibri" w:hAnsi="Calibri"/>
          <w:b/>
          <w:color w:val="0F172A"/>
          <w:sz w:val="19"/>
        </w:rPr>
        <w:t xml:space="preserve">Database Engine: </w:t>
      </w:r>
      <w:r>
        <w:rPr>
          <w:rFonts w:ascii="Calibri" w:hAnsi="Calibri"/>
          <w:color w:val="334155"/>
          <w:sz w:val="19"/>
        </w:rPr>
        <w:t>Neon Cloud Serverless PostgreSQL 16, pg connection pooling, parameterized queries, and strict relational foreign keys.</w:t>
      </w:r>
    </w:p>
    <w:p>
      <w:pPr>
        <w:pStyle w:val="ListBullet"/>
        <w:spacing w:before="20" w:after="60" w:line="269" w:lineRule="auto"/>
      </w:pPr>
      <w:r>
        <w:rPr>
          <w:rFonts w:ascii="Calibri" w:hAnsi="Calibri"/>
          <w:b/>
          <w:color w:val="0F172A"/>
          <w:sz w:val="19"/>
        </w:rPr>
        <w:t xml:space="preserve">Network Protocol: </w:t>
      </w:r>
      <w:r>
        <w:rPr>
          <w:rFonts w:ascii="Calibri" w:hAnsi="Calibri"/>
          <w:color w:val="334155"/>
          <w:sz w:val="19"/>
        </w:rPr>
        <w:t>Standard HTTP/HTTPS (port 443/5000), JSON payloads, Bearer JWT authorization tokens.</w:t>
      </w:r>
    </w:p>
    <w:p>
      <w:pPr>
        <w:pStyle w:val="Heading2"/>
        <w:keepNext/>
        <w:spacing w:before="280" w:after="80"/>
      </w:pPr>
      <w:r>
        <w:rPr>
          <w:rFonts w:ascii="Calibri" w:hAnsi="Calibri"/>
          <w:b/>
          <w:color w:val="0F766E"/>
          <w:sz w:val="26"/>
        </w:rPr>
        <w:t>2.3 Design &amp; Implementation Constraints</w:t>
      </w:r>
    </w:p>
    <w:p>
      <w:pPr>
        <w:pStyle w:val="ListBullet"/>
        <w:spacing w:before="20" w:after="60" w:line="269" w:lineRule="auto"/>
      </w:pPr>
      <w:r>
        <w:rPr>
          <w:rFonts w:ascii="Calibri" w:hAnsi="Calibri"/>
          <w:b/>
          <w:color w:val="0F172A"/>
          <w:sz w:val="19"/>
        </w:rPr>
        <w:t xml:space="preserve">Tenant Isolation Constraint: </w:t>
      </w:r>
      <w:r>
        <w:rPr>
          <w:rFonts w:ascii="Calibri" w:hAnsi="Calibri"/>
          <w:color w:val="334155"/>
          <w:sz w:val="19"/>
        </w:rPr>
        <w:t>All database queries MUST enforce WHERE township_id = req.user.township_id. Cross-township leakage is strictly prohibited.</w:t>
      </w:r>
    </w:p>
    <w:p>
      <w:pPr>
        <w:pStyle w:val="ListBullet"/>
        <w:spacing w:before="20" w:after="60" w:line="269" w:lineRule="auto"/>
      </w:pPr>
      <w:r>
        <w:rPr>
          <w:rFonts w:ascii="Calibri" w:hAnsi="Calibri"/>
          <w:b/>
          <w:color w:val="0F172A"/>
          <w:sz w:val="19"/>
        </w:rPr>
        <w:t xml:space="preserve">Department Scoping Constraint: </w:t>
      </w:r>
      <w:r>
        <w:rPr>
          <w:rFonts w:ascii="Calibri" w:hAnsi="Calibri"/>
          <w:color w:val="334155"/>
          <w:sz w:val="19"/>
        </w:rPr>
        <w:t>Desk Clerks and Department Heads CANNOT view or authorize tickets belonging to another department.</w:t>
      </w:r>
    </w:p>
    <w:p>
      <w:pPr>
        <w:pStyle w:val="ListBullet"/>
        <w:spacing w:before="20" w:after="60" w:line="269" w:lineRule="auto"/>
      </w:pPr>
      <w:r>
        <w:rPr>
          <w:rFonts w:ascii="Calibri" w:hAnsi="Calibri"/>
          <w:b/>
          <w:color w:val="0F172A"/>
          <w:sz w:val="19"/>
        </w:rPr>
        <w:t xml:space="preserve">AMC Rate Integrity Constraint: </w:t>
      </w:r>
      <w:r>
        <w:rPr>
          <w:rFonts w:ascii="Calibri" w:hAnsi="Calibri"/>
          <w:color w:val="334155"/>
          <w:sz w:val="19"/>
        </w:rPr>
        <w:t>Estimates cannot use arbitrary contractor-submitted rates. The backend fetches official rates from amc_rates and calculates quantity × rate.</w:t>
      </w:r>
    </w:p>
    <w:p>
      <w:pPr>
        <w:pStyle w:val="ListBullet"/>
        <w:spacing w:before="20" w:after="60" w:line="269" w:lineRule="auto"/>
      </w:pPr>
      <w:r>
        <w:rPr>
          <w:rFonts w:ascii="Calibri" w:hAnsi="Calibri"/>
          <w:b/>
          <w:color w:val="0F172A"/>
          <w:sz w:val="19"/>
        </w:rPr>
        <w:t xml:space="preserve">Verification Gate Constraint: </w:t>
      </w:r>
      <w:r>
        <w:rPr>
          <w:rFonts w:ascii="Calibri" w:hAnsi="Calibri"/>
          <w:color w:val="334155"/>
          <w:sz w:val="19"/>
        </w:rPr>
        <w:t>Finance cannot release payment until the RWA Representative confirms on-ground quality (status = CLOSED/VERIFIED).</w:t>
      </w:r>
    </w:p>
    <w:p>
      <w:pPr>
        <w:pStyle w:val="ListBullet"/>
        <w:spacing w:before="20" w:after="60" w:line="269" w:lineRule="auto"/>
      </w:pPr>
      <w:r>
        <w:rPr>
          <w:rFonts w:ascii="Calibri" w:hAnsi="Calibri"/>
          <w:b/>
          <w:color w:val="0F172A"/>
          <w:sz w:val="19"/>
        </w:rPr>
        <w:t xml:space="preserve">Decoupled Status Lifecycles: </w:t>
      </w:r>
      <w:r>
        <w:rPr>
          <w:rFonts w:ascii="Calibri" w:hAnsi="Calibri"/>
          <w:color w:val="334155"/>
          <w:sz w:val="19"/>
        </w:rPr>
        <w:t>Complaint status, Work Order status, Invoice status, and Payment status MUST be tracked separately.</w:t>
      </w:r>
    </w:p>
    <w:p>
      <w:pPr>
        <w:pStyle w:val="Heading1"/>
        <w:keepNext/>
        <w:spacing w:before="360" w:after="120"/>
        <w:pBdr>
          <w:bottom w:val="single" w:sz="12" w:space="4" w:color="1E3A8A"/>
        </w:pBdr>
      </w:pPr>
      <w:r>
        <w:rPr>
          <w:rFonts w:ascii="Calibri" w:hAnsi="Calibri"/>
          <w:b/>
          <w:color w:val="1E3A8A"/>
          <w:sz w:val="32"/>
        </w:rPr>
        <w:t>3. System Features &amp; Functional Requirements</w:t>
      </w:r>
    </w:p>
    <w:p>
      <w:pPr>
        <w:pStyle w:val="Heading2"/>
        <w:keepNext/>
        <w:spacing w:before="280" w:after="80"/>
      </w:pPr>
      <w:r>
        <w:rPr>
          <w:rFonts w:ascii="Calibri" w:hAnsi="Calibri"/>
          <w:b/>
          <w:color w:val="0F766E"/>
          <w:sz w:val="26"/>
        </w:rPr>
        <w:t>3.1 RWA Representative Functions</w:t>
      </w:r>
    </w:p>
    <w:p>
      <w:pPr>
        <w:spacing w:before="40" w:after="80" w:line="276" w:lineRule="auto"/>
      </w:pPr>
      <w:r>
        <w:rPr>
          <w:rFonts w:ascii="Calibri" w:hAnsi="Calibri"/>
          <w:i w:val="0"/>
          <w:color w:val="334155"/>
          <w:sz w:val="20"/>
        </w:rPr>
        <w:t>The Resident Welfare Association (RWA) Representative acts as the primary liaison between community residents and township engineering operations.</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FR-RWA-01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Complaint Submission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RWA users to file infrastructure complaints specifying category, subcategory, severity, sector, block, street, landmark, and photo evidence.</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FR-RWA-02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Public Reference Code</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automatically generate a unique public tracking code (format: CMP-YYYY-XXXX) upon successful complaint registration.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FR-RWA-03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Complaint Tracking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RWA users to view real-time ticket status, SLA countdown, assigned contractor details, and before/after photo evidence.</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FR-RWA-04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Citizen Quality Verification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require the RWA representative to inspect completed work and record a rating (1-5 stars) and verification remarks.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FR-RWA-05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Dispute &amp; Rework Loop</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RWA users to dispute unsatisfactory repairs with mandatory reasoning, transitioning the ticket to DISPUTED and triggering contractor rework.</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FR-RWA-06</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Auto-Closure Policy</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automatically close tickets if the RWA does not respond within the township's configured auto_close_hours (default: 72 hours).</w:t>
            </w:r>
          </w:p>
        </w:tc>
      </w:tr>
    </w:tbl>
    <w:p/>
    <w:p>
      <w:pPr>
        <w:pStyle w:val="Heading2"/>
        <w:keepNext/>
        <w:spacing w:before="280" w:after="80"/>
      </w:pPr>
      <w:r>
        <w:rPr>
          <w:rFonts w:ascii="Calibri" w:hAnsi="Calibri"/>
          <w:b/>
          <w:color w:val="0F766E"/>
          <w:sz w:val="26"/>
        </w:rPr>
        <w:t>3.2 Desk Clerk Functions</w:t>
      </w:r>
    </w:p>
    <w:p>
      <w:pPr>
        <w:spacing w:before="40" w:after="80" w:line="276" w:lineRule="auto"/>
      </w:pPr>
      <w:r>
        <w:rPr>
          <w:rFonts w:ascii="Calibri" w:hAnsi="Calibri"/>
          <w:i w:val="0"/>
          <w:color w:val="334155"/>
          <w:sz w:val="20"/>
        </w:rPr>
        <w:t>Desk Clerks are operational coordinators managing departmental triage queues, deduplication, and contractor dispatch.</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Triage Queue Review</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present incoming complaints in a departmental triage queue strictly filtered by the clerk's assigned department and township.</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100m Duplicate Detection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automatically calculate spatial proximity and identify existing active complaints within a 100-meter radius of the reported location.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Duplicate Linking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clerks to link confirmed duplicates to a master complaint, marking child complaints as LINKED_AS_DUPLICATE.</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Validation &amp; Rerouting</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clerks to validate legitimate issues, reject false reports with reasoning, or reroute misclassified complaints to the correct department.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Work Order Generation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convert validated complaints into formal Work Orders with auto-generated identifiers (format: WO-YYYY-XXXX).</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FR-CLK-06</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Assignment</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validate contractor eligibility (active status, township authorization, valid AMC contract) before permitting work order assignment.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FR-CLK-07</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Escalation Engine</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clerks to escalate delayed work orders or critical safety emergencies directly to the Department Head.</w:t>
            </w:r>
          </w:p>
        </w:tc>
      </w:tr>
    </w:tbl>
    <w:p/>
    <w:p>
      <w:pPr>
        <w:pStyle w:val="Heading2"/>
        <w:keepNext/>
        <w:spacing w:before="280" w:after="80"/>
      </w:pPr>
      <w:r>
        <w:rPr>
          <w:rFonts w:ascii="Calibri" w:hAnsi="Calibri"/>
          <w:b/>
          <w:color w:val="0F766E"/>
          <w:sz w:val="26"/>
        </w:rPr>
        <w:t>3.3 Field Contractor Functions</w:t>
      </w:r>
    </w:p>
    <w:p>
      <w:pPr>
        <w:spacing w:before="40" w:after="80" w:line="276" w:lineRule="auto"/>
      </w:pPr>
      <w:r>
        <w:rPr>
          <w:rFonts w:ascii="Calibri" w:hAnsi="Calibri"/>
          <w:i w:val="0"/>
          <w:color w:val="334155"/>
          <w:sz w:val="20"/>
        </w:rPr>
        <w:t>Empanelled contractors carry out physical on-ground inspections, estimate preparations, and remedial maintenance.</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Inspection Task List</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display assigned work orders in the contractor's inspection queue with priority, location, and SLA deadlines.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Mandatory Site Inspection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enforce physical site inspection and before-work photo upload before allowing the contractor to generate a financial estimate.</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AMC Rate-Card Estimation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require contractors to select line items from active AMC rate cards. The system calculates quantity × rate and prevents client-side price tampering.</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Historical Rate Snapshot</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store an immutable rate snapshot in estimate_items so subsequent AMC contract renewals do not retroactively alter historic estimates.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Execution State Transitions</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contractors to transition approved work orders to IN_PROGRESS upon field mobilization.</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FR-CNT-06</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Completion Proof Submission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mandate the upload of after-repair photographs and actual work logs before allowing transition to COMPLETED.</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FR-CNT-07</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Dispute Remediation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automatically re-queue disputed tickets in the contractor's active jobs list with resident dispute remarks for mandatory corrective action.</w:t>
            </w:r>
          </w:p>
        </w:tc>
      </w:tr>
    </w:tbl>
    <w:p/>
    <w:p>
      <w:pPr>
        <w:pStyle w:val="Heading2"/>
        <w:keepNext/>
        <w:spacing w:before="280" w:after="80"/>
      </w:pPr>
      <w:r>
        <w:rPr>
          <w:rFonts w:ascii="Calibri" w:hAnsi="Calibri"/>
          <w:b/>
          <w:color w:val="0F766E"/>
          <w:sz w:val="26"/>
        </w:rPr>
        <w:t>3.4 Department Head Functions</w:t>
      </w:r>
    </w:p>
    <w:p>
      <w:pPr>
        <w:spacing w:before="40" w:after="80" w:line="276" w:lineRule="auto"/>
      </w:pPr>
      <w:r>
        <w:rPr>
          <w:rFonts w:ascii="Calibri" w:hAnsi="Calibri"/>
          <w:i w:val="0"/>
          <w:color w:val="334155"/>
          <w:sz w:val="20"/>
        </w:rPr>
        <w:t>Department Heads govern departmental personnel, supervise SLA compliance, and authorize expenditures.</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Staff Account Provisioning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Department Heads to create Desk Clerk accounts strictly locked to their own department and township.</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Staff Status Management</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Department Heads to activate, suspend, or terminate employee accounts under their departmental jurisdiction.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Estimate Sign-Off</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present all contractor-submitted estimates for Department Head approval, revision request, or rejection.</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Mandatory Rejection Reason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require mandatory explanatory notes whenever an estimate is rejected or returned for revision.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COO Joint Escalation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forward estimates exceeding the departmental approval threshold (&gt; ₹10,000) to the Township COO for executive co-approval.</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FR-DHD-06</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Department Analytics</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display real-time departmental KPIs: ticket volume, SLA compliance %, total expenditure, and contractor scorecard.</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FR-DHD-07</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Cross-Department Isolation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strictly block Department Heads from viewing, approving, or modifying records belonging to other departments (HTTP 403 Forbidden).</w:t>
            </w:r>
          </w:p>
        </w:tc>
      </w:tr>
    </w:tbl>
    <w:p/>
    <w:p>
      <w:pPr>
        <w:pStyle w:val="Heading2"/>
        <w:keepNext/>
        <w:spacing w:before="280" w:after="80"/>
      </w:pPr>
      <w:r>
        <w:rPr>
          <w:rFonts w:ascii="Calibri" w:hAnsi="Calibri"/>
          <w:b/>
          <w:color w:val="0F766E"/>
          <w:sz w:val="26"/>
        </w:rPr>
        <w:t>3.5 Finance Clerk / Team Functions</w:t>
      </w:r>
    </w:p>
    <w:p>
      <w:pPr>
        <w:spacing w:before="40" w:after="80" w:line="276" w:lineRule="auto"/>
      </w:pPr>
      <w:r>
        <w:rPr>
          <w:rFonts w:ascii="Calibri" w:hAnsi="Calibri"/>
          <w:i w:val="0"/>
          <w:color w:val="334155"/>
          <w:sz w:val="20"/>
        </w:rPr>
        <w:t>The Finance Team oversees contractor contracts, audits billing against contractual AMC rate cards, and manages staged payment releases.</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AMC Contract Administration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Finance to register contractors, establish AMC validity periods, and define itemized rate cards.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Automated 3-Way Check</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execute an automated 3-way reconciliation comparing: (1) Approved Estimate, (2) Actual Work/Evidence, and (3) Contractor Invoice.</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Variance Detection &amp; Flagging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automatically detect cost or quantity discrepancies exceeding tolerance thresholds and mark invoices as VARIANCE_FLAGGED.</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Variance Justification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Finance officers to record audit notes justifying legitimate material overruns before authorization.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Pre-Payment Verification Gate</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block invoice authorization if RWA quality verification is pending or disputed (HTTP 400 RWA_VERIFICATION_REQUIRED).</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FR-FIN-06</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Payment Authorization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Finance to authorize verified invoices, transitioning them to AUTHORIZED.</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FR-FIN-07</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Disbursement &amp; UTR Logging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record actual bank disbursement details: payment mode (RTGS/Escrow), banking UTR reference, and disbursement timestamp.</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FR-FIN-08</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Separate Status Tracking</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maintain decoupled lifecycles: work_order_status, invoice_status, and payment_status shall never be conflated.</w:t>
            </w:r>
          </w:p>
        </w:tc>
      </w:tr>
    </w:tbl>
    <w:p/>
    <w:p>
      <w:pPr>
        <w:pStyle w:val="Heading2"/>
        <w:keepNext/>
        <w:spacing w:before="280" w:after="80"/>
      </w:pPr>
      <w:r>
        <w:rPr>
          <w:rFonts w:ascii="Calibri" w:hAnsi="Calibri"/>
          <w:b/>
          <w:color w:val="0F766E"/>
          <w:sz w:val="26"/>
        </w:rPr>
        <w:t>3.6 Township COO Functions</w:t>
      </w:r>
    </w:p>
    <w:p>
      <w:pPr>
        <w:spacing w:before="40" w:after="80" w:line="276" w:lineRule="auto"/>
      </w:pPr>
      <w:r>
        <w:rPr>
          <w:rFonts w:ascii="Calibri" w:hAnsi="Calibri"/>
          <w:i w:val="0"/>
          <w:color w:val="334155"/>
          <w:sz w:val="20"/>
        </w:rPr>
        <w:t>The Township Chief Operating Officer (COO) holds top-level executive governance across all departments within the township.</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FR-COO-01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Executive Command Center</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display township-wide operational summaries: total complaints, open work orders, departmental budgets, and SLA breach rates.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FR-COO-02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Department Administration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the COO to create departments, modify operational budgets, and activate/deactivate departments.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FR-COO-03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Department Head Assignment</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the COO to assign Department Heads to departments, enforcing a strict 1-to-1 head occupancy rule.</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FR-COO-04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Major Expenditure Approval</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present estimates exceeding the major capital threshold (&gt; ₹100,000) or escalated from departments for executive sign-off.</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FR-COO-05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Deep Dossier Inspection</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provide a unified Work Order Dossier displaying complaint history, evidence photos, audit log, AMC rate cards, and financial status.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FR-COO-06</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Emergency Intervention</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the COO to intervene and escalate critical life-safety tickets directly to executive status.</w:t>
            </w:r>
          </w:p>
        </w:tc>
      </w:tr>
    </w:tbl>
    <w:p/>
    <w:p>
      <w:pPr>
        <w:pStyle w:val="Heading2"/>
        <w:keepNext/>
        <w:spacing w:before="280" w:after="80"/>
      </w:pPr>
      <w:r>
        <w:rPr>
          <w:rFonts w:ascii="Calibri" w:hAnsi="Calibri"/>
          <w:b/>
          <w:color w:val="0F766E"/>
          <w:sz w:val="26"/>
        </w:rPr>
        <w:t>3.7 Platform Super Administrator Functions</w:t>
      </w:r>
    </w:p>
    <w:p>
      <w:pPr>
        <w:spacing w:before="40" w:after="80" w:line="276" w:lineRule="auto"/>
      </w:pPr>
      <w:r>
        <w:rPr>
          <w:rFonts w:ascii="Calibri" w:hAnsi="Calibri"/>
          <w:i w:val="0"/>
          <w:color w:val="334155"/>
          <w:sz w:val="20"/>
        </w:rPr>
        <w:t>The Platform Super Admin operates outside individual townships, managing multi-tenant SaaS health, billing tiers, and global system parameters.</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Requirement ID</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Feature / Function</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Functional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FR-ADM-01</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Township Tenant Onboarding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permit Super Admins to provision new township instances with assigned subscription plans and initial admin credentials.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FR-ADM-02</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Tenant Suspension Kill-Switch</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Super Admins to suspend delinquent townships, instantly revoking all active JWT user tokens across that tenant.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FR-ADM-03</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Global Workflow Rules</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allow Super Admins to configure global SLA thresholds and approval limits across the entire platform.</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FR-ADM-04</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Storage &amp; DB Health Monitoring</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provide real-time connection telemetry for PostgreSQL storage, active connections, and table row counts.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FR-ADM-05</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Platform Super Audit Log</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record an immutable super_audit_logs record for every administrative configuration change with before/after state.</w:t>
            </w:r>
          </w:p>
        </w:tc>
      </w:tr>
    </w:tbl>
    <w:p/>
    <w:p>
      <w:pPr>
        <w:pStyle w:val="Heading1"/>
        <w:keepNext/>
        <w:spacing w:before="360" w:after="120"/>
        <w:pBdr>
          <w:bottom w:val="single" w:sz="12" w:space="4" w:color="1E3A8A"/>
        </w:pBdr>
      </w:pPr>
      <w:r>
        <w:rPr>
          <w:rFonts w:ascii="Calibri" w:hAnsi="Calibri"/>
          <w:b/>
          <w:color w:val="1E3A8A"/>
          <w:sz w:val="32"/>
        </w:rPr>
        <w:t>4. End-to-End Operational Workflow</w:t>
      </w:r>
    </w:p>
    <w:p>
      <w:pPr>
        <w:spacing w:before="40" w:after="80" w:line="276" w:lineRule="auto"/>
      </w:pPr>
      <w:r>
        <w:rPr>
          <w:rFonts w:ascii="Calibri" w:hAnsi="Calibri"/>
          <w:i w:val="0"/>
          <w:color w:val="334155"/>
          <w:sz w:val="20"/>
        </w:rPr>
        <w:t>TIMS executes a highly coordinated, 12-step governance workflow that synchronizes field repairs with financial accountability:</w:t>
      </w:r>
    </w:p>
    <w:p>
      <w:pPr>
        <w:pStyle w:val="Heading2"/>
        <w:keepNext/>
        <w:spacing w:before="280" w:after="80"/>
      </w:pPr>
      <w:r>
        <w:rPr>
          <w:rFonts w:ascii="Calibri" w:hAnsi="Calibri"/>
          <w:b/>
          <w:color w:val="0F766E"/>
          <w:sz w:val="26"/>
        </w:rPr>
        <w:t>Step 1 — Complaint Submission (RWA Representative)</w:t>
      </w:r>
    </w:p>
    <w:p>
      <w:pPr>
        <w:spacing w:before="40" w:after="80" w:line="276" w:lineRule="auto"/>
      </w:pPr>
      <w:r>
        <w:rPr>
          <w:rFonts w:ascii="Calibri" w:hAnsi="Calibri"/>
          <w:i w:val="0"/>
          <w:color w:val="334155"/>
          <w:sz w:val="20"/>
        </w:rPr>
        <w:t>A resident or RWA Representative observes an infrastructure defect and submits a complaint via the portal. The complaint captures category, subcategory, severity (LOW, MEDIUM, HIGH, EMERGENCY), sector, block, street, landmark, and initial photos. The system generates a tracking code (CMP-YYYY-XXXX) and calculates the SLA deadline.</w:t>
      </w:r>
    </w:p>
    <w:p>
      <w:pPr>
        <w:pStyle w:val="Heading2"/>
        <w:keepNext/>
        <w:spacing w:before="280" w:after="80"/>
      </w:pPr>
      <w:r>
        <w:rPr>
          <w:rFonts w:ascii="Calibri" w:hAnsi="Calibri"/>
          <w:b/>
          <w:color w:val="0F766E"/>
          <w:sz w:val="26"/>
        </w:rPr>
        <w:t>Step 2 — Triage and Duplicate Review (Desk Clerk)</w:t>
      </w:r>
    </w:p>
    <w:p>
      <w:pPr>
        <w:spacing w:before="40" w:after="80" w:line="276" w:lineRule="auto"/>
      </w:pPr>
      <w:r>
        <w:rPr>
          <w:rFonts w:ascii="Calibri" w:hAnsi="Calibri"/>
          <w:i w:val="0"/>
          <w:color w:val="334155"/>
          <w:sz w:val="20"/>
        </w:rPr>
        <w:t>The complaint enters the relevant department triage queue. The Desk Clerk verifies photo clarity and executes a 100-meter duplicate check. If nearby duplicate tickets exist, the clerk links them to the master ticket. Invalid or prank complaints are rejected with mandatory notes.</w:t>
      </w:r>
    </w:p>
    <w:p>
      <w:pPr>
        <w:pStyle w:val="Heading2"/>
        <w:keepNext/>
        <w:spacing w:before="280" w:after="80"/>
      </w:pPr>
      <w:r>
        <w:rPr>
          <w:rFonts w:ascii="Calibri" w:hAnsi="Calibri"/>
          <w:b/>
          <w:color w:val="0F766E"/>
          <w:sz w:val="26"/>
        </w:rPr>
        <w:t>Step 3 — Validate and Create Work Order (Desk Clerk)</w:t>
      </w:r>
    </w:p>
    <w:p>
      <w:pPr>
        <w:spacing w:before="40" w:after="80" w:line="276" w:lineRule="auto"/>
      </w:pPr>
      <w:r>
        <w:rPr>
          <w:rFonts w:ascii="Calibri" w:hAnsi="Calibri"/>
          <w:i w:val="0"/>
          <w:color w:val="334155"/>
          <w:sz w:val="20"/>
        </w:rPr>
        <w:t>Once validated, the clerk converts the complaint into an official Work Order (WO-YYYY-XXXX). The clerk selects an eligible empanelled contractor based on active status, township jurisdiction, and valid AMC coverage.</w:t>
      </w:r>
    </w:p>
    <w:p>
      <w:pPr>
        <w:pStyle w:val="Heading2"/>
        <w:keepNext/>
        <w:spacing w:before="280" w:after="80"/>
      </w:pPr>
      <w:r>
        <w:rPr>
          <w:rFonts w:ascii="Calibri" w:hAnsi="Calibri"/>
          <w:b/>
          <w:color w:val="0F766E"/>
          <w:sz w:val="26"/>
        </w:rPr>
        <w:t>Step 4 — Technical Site Inspection (Field Contractor)</w:t>
      </w:r>
    </w:p>
    <w:p>
      <w:pPr>
        <w:spacing w:before="40" w:after="80" w:line="276" w:lineRule="auto"/>
      </w:pPr>
      <w:r>
        <w:rPr>
          <w:rFonts w:ascii="Calibri" w:hAnsi="Calibri"/>
          <w:i w:val="0"/>
          <w:color w:val="334155"/>
          <w:sz w:val="20"/>
        </w:rPr>
        <w:t>The assigned work order appears in the contractor's inspection list. The contractor visits the physical location, identifies the root cause, calculates required labor hours and materials, and uploads mandatory 'BEFORE' condition photos.</w:t>
      </w:r>
    </w:p>
    <w:p>
      <w:pPr>
        <w:pStyle w:val="Heading2"/>
        <w:keepNext/>
        <w:spacing w:before="280" w:after="80"/>
      </w:pPr>
      <w:r>
        <w:rPr>
          <w:rFonts w:ascii="Calibri" w:hAnsi="Calibri"/>
          <w:b/>
          <w:color w:val="0F766E"/>
          <w:sz w:val="26"/>
        </w:rPr>
        <w:t>Step 5 — AMC-Based Estimate Preparation (Field Contractor)</w:t>
      </w:r>
    </w:p>
    <w:p>
      <w:pPr>
        <w:spacing w:before="40" w:after="80" w:line="276" w:lineRule="auto"/>
      </w:pPr>
      <w:r>
        <w:rPr>
          <w:rFonts w:ascii="Calibri" w:hAnsi="Calibri"/>
          <w:i w:val="0"/>
          <w:color w:val="334155"/>
          <w:sz w:val="20"/>
        </w:rPr>
        <w:t>The contractor selects line items from the official AMC rate card. The system automatically retrieves contractual unit rates, computes line-item totals (quantity × rate), and stores an immutable rate snapshot. The contractor cannot enter arbitrary custom unit rates.</w:t>
      </w:r>
    </w:p>
    <w:p>
      <w:pPr>
        <w:pStyle w:val="Heading2"/>
        <w:keepNext/>
        <w:spacing w:before="280" w:after="80"/>
      </w:pPr>
      <w:r>
        <w:rPr>
          <w:rFonts w:ascii="Calibri" w:hAnsi="Calibri"/>
          <w:b/>
          <w:color w:val="0F766E"/>
          <w:sz w:val="26"/>
        </w:rPr>
        <w:t>Step 6 — Estimate Approval (Department Head and COO)</w:t>
      </w:r>
    </w:p>
    <w:p>
      <w:pPr>
        <w:spacing w:before="40" w:after="80" w:line="276" w:lineRule="auto"/>
      </w:pPr>
      <w:r>
        <w:rPr>
          <w:rFonts w:ascii="Calibri" w:hAnsi="Calibri"/>
          <w:i w:val="0"/>
          <w:color w:val="334155"/>
          <w:sz w:val="20"/>
        </w:rPr>
        <w:t>The contractor submits the estimate. It is routed to the Department Head for review. Under configurable threshold rules: estimates up to ₹10,000 are approved by Department Head; estimates between ₹10,000 and ₹100,000 require Department Head approval; estimates above ₹100,000 require joint COO sign-off. Rejected estimates return to the contractor for revision.</w:t>
      </w:r>
    </w:p>
    <w:p>
      <w:pPr>
        <w:pStyle w:val="Heading2"/>
        <w:keepNext/>
        <w:spacing w:before="280" w:after="80"/>
      </w:pPr>
      <w:r>
        <w:rPr>
          <w:rFonts w:ascii="Calibri" w:hAnsi="Calibri"/>
          <w:b/>
          <w:color w:val="0F766E"/>
          <w:sz w:val="26"/>
        </w:rPr>
        <w:t>Step 7 — Work Execution (Field Contractor)</w:t>
      </w:r>
    </w:p>
    <w:p>
      <w:pPr>
        <w:spacing w:before="40" w:after="80" w:line="276" w:lineRule="auto"/>
      </w:pPr>
      <w:r>
        <w:rPr>
          <w:rFonts w:ascii="Calibri" w:hAnsi="Calibri"/>
          <w:i w:val="0"/>
          <w:color w:val="334155"/>
          <w:sz w:val="20"/>
        </w:rPr>
        <w:t>Upon final approval, the work order status changes to ASSIGNED / IN_PROGRESS. The contractor mobilizes field crews, procures materials under AMC terms, and carries out physical repairs.</w:t>
      </w:r>
    </w:p>
    <w:p>
      <w:pPr>
        <w:pStyle w:val="Heading2"/>
        <w:keepNext/>
        <w:spacing w:before="280" w:after="80"/>
      </w:pPr>
      <w:r>
        <w:rPr>
          <w:rFonts w:ascii="Calibri" w:hAnsi="Calibri"/>
          <w:b/>
          <w:color w:val="0F766E"/>
          <w:sz w:val="26"/>
        </w:rPr>
        <w:t>Step 8 — Completion Submission &amp; Evidence (Field Contractor)</w:t>
      </w:r>
    </w:p>
    <w:p>
      <w:pPr>
        <w:spacing w:before="40" w:after="80" w:line="276" w:lineRule="auto"/>
      </w:pPr>
      <w:r>
        <w:rPr>
          <w:rFonts w:ascii="Calibri" w:hAnsi="Calibri"/>
          <w:i w:val="0"/>
          <w:color w:val="334155"/>
          <w:sz w:val="20"/>
        </w:rPr>
        <w:t>When repairs are completed, the contractor records actual quantities consumed, enters completion remarks, uploads mandatory 'AFTER' completion photos, and marks the work order COMPLETED.</w:t>
      </w:r>
    </w:p>
    <w:p>
      <w:pPr>
        <w:pStyle w:val="Heading2"/>
        <w:keepNext/>
        <w:spacing w:before="280" w:after="80"/>
      </w:pPr>
      <w:r>
        <w:rPr>
          <w:rFonts w:ascii="Calibri" w:hAnsi="Calibri"/>
          <w:b/>
          <w:color w:val="0F766E"/>
          <w:sz w:val="26"/>
        </w:rPr>
        <w:t>Step 9 — Citizen Quality Verification &amp; Dispute Loop (RWA)</w:t>
      </w:r>
    </w:p>
    <w:p>
      <w:pPr>
        <w:spacing w:before="40" w:after="80" w:line="276" w:lineRule="auto"/>
      </w:pPr>
      <w:r>
        <w:rPr>
          <w:rFonts w:ascii="Calibri" w:hAnsi="Calibri"/>
          <w:i w:val="0"/>
          <w:color w:val="334155"/>
          <w:sz w:val="20"/>
        </w:rPr>
        <w:t>The work order transitions to PENDING_VERIFICATION. The RWA Representative visits the site. If satisfied, they confirm the fix (rating 1-5 stars), transitioning the complaint to CLOSED. If unsatisfied, the RWA submits a dispute reason, which reopens the ticket to IN_PROGRESS for contractor rework.</w:t>
      </w:r>
    </w:p>
    <w:p>
      <w:pPr>
        <w:pStyle w:val="Heading2"/>
        <w:keepNext/>
        <w:spacing w:before="280" w:after="80"/>
      </w:pPr>
      <w:r>
        <w:rPr>
          <w:rFonts w:ascii="Calibri" w:hAnsi="Calibri"/>
          <w:b/>
          <w:color w:val="0F766E"/>
          <w:sz w:val="26"/>
        </w:rPr>
        <w:t>Step 10 — Invoice Audit &amp; 3-Way Reconciliation (Finance)</w:t>
      </w:r>
    </w:p>
    <w:p>
      <w:pPr>
        <w:spacing w:before="40" w:after="80" w:line="276" w:lineRule="auto"/>
      </w:pPr>
      <w:r>
        <w:rPr>
          <w:rFonts w:ascii="Calibri" w:hAnsi="Calibri"/>
          <w:i w:val="0"/>
          <w:color w:val="334155"/>
          <w:sz w:val="20"/>
        </w:rPr>
        <w:t>The contractor submits their billing invoice. Finance performs an automated 3-way check comparing: (1) Approved Estimate, (2) Actual Work Evidence, and (3) Contractor Invoice. Cost variances exceeding tolerances are flagged for justification.</w:t>
      </w:r>
    </w:p>
    <w:p>
      <w:pPr>
        <w:pStyle w:val="Heading2"/>
        <w:keepNext/>
        <w:spacing w:before="280" w:after="80"/>
      </w:pPr>
      <w:r>
        <w:rPr>
          <w:rFonts w:ascii="Calibri" w:hAnsi="Calibri"/>
          <w:b/>
          <w:color w:val="0F766E"/>
          <w:sz w:val="26"/>
        </w:rPr>
        <w:t>Step 11 — Payment Authorization &amp; Disbursement (Finance)</w:t>
      </w:r>
    </w:p>
    <w:p>
      <w:pPr>
        <w:spacing w:before="40" w:after="80" w:line="276" w:lineRule="auto"/>
      </w:pPr>
      <w:r>
        <w:rPr>
          <w:rFonts w:ascii="Calibri" w:hAnsi="Calibri"/>
          <w:i w:val="0"/>
          <w:color w:val="334155"/>
          <w:sz w:val="20"/>
        </w:rPr>
        <w:t>Strict Quality Gate: Finance is blocked from authorizing payment until RWA verification is confirmed (status = CLOSED). Once verified and 3-way audit passes, Finance authorizes the invoice and logs the bank disbursement with UTR reference number.</w:t>
      </w:r>
    </w:p>
    <w:p>
      <w:pPr>
        <w:pStyle w:val="Heading2"/>
        <w:keepNext/>
        <w:spacing w:before="280" w:after="80"/>
      </w:pPr>
      <w:r>
        <w:rPr>
          <w:rFonts w:ascii="Calibri" w:hAnsi="Calibri"/>
          <w:b/>
          <w:color w:val="0F766E"/>
          <w:sz w:val="26"/>
        </w:rPr>
        <w:t>Step 12 — Closure and Comprehensive Recordkeeping</w:t>
      </w:r>
    </w:p>
    <w:p>
      <w:pPr>
        <w:spacing w:before="40" w:after="80" w:line="276" w:lineRule="auto"/>
      </w:pPr>
      <w:r>
        <w:rPr>
          <w:rFonts w:ascii="Calibri" w:hAnsi="Calibri"/>
          <w:i w:val="0"/>
          <w:color w:val="334155"/>
          <w:sz w:val="20"/>
        </w:rPr>
        <w:t>The work order is closed. The system preserves a permanent, tamper-evident audit history linking complaint, work order, estimates, evidence photos, RWA ratings, invoice, and payment disbursement.</w:t>
      </w:r>
    </w:p>
    <w:p>
      <w:pPr>
        <w:pStyle w:val="Heading1"/>
        <w:keepNext/>
        <w:spacing w:before="360" w:after="120"/>
        <w:pBdr>
          <w:bottom w:val="single" w:sz="12" w:space="4" w:color="1E3A8A"/>
        </w:pBdr>
      </w:pPr>
      <w:r>
        <w:rPr>
          <w:rFonts w:ascii="Calibri" w:hAnsi="Calibri"/>
          <w:b/>
          <w:color w:val="1E3A8A"/>
          <w:sz w:val="32"/>
        </w:rPr>
        <w:t>5. Lifecycle State Models &amp; State Transitions</w:t>
      </w:r>
    </w:p>
    <w:p>
      <w:pPr>
        <w:spacing w:before="40" w:after="80" w:line="276" w:lineRule="auto"/>
      </w:pPr>
      <w:r>
        <w:rPr>
          <w:rFonts w:ascii="Calibri" w:hAnsi="Calibri"/>
          <w:i w:val="0"/>
          <w:color w:val="334155"/>
          <w:sz w:val="20"/>
        </w:rPr>
        <w:t>TIMS decouples operational tracking across four independent state machines to ensure financial and technical integrity:</w:t>
      </w:r>
    </w:p>
    <w:p>
      <w:pPr>
        <w:pStyle w:val="Heading2"/>
        <w:keepNext/>
        <w:spacing w:before="280" w:after="80"/>
      </w:pPr>
      <w:r>
        <w:rPr>
          <w:rFonts w:ascii="Calibri" w:hAnsi="Calibri"/>
          <w:b/>
          <w:color w:val="0F766E"/>
          <w:sz w:val="26"/>
        </w:rPr>
        <w:t>5.1 Complaint Lifecycle States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spacing w:before="0" w:after="0" w:line="276" w:lineRule="auto"/>
            </w:pPr>
            <w:r>
              <w:rPr>
                <w:rFonts w:ascii="Calibri" w:hAnsi="Calibri"/>
                <w:b/>
                <w:color w:val="FFFFFF"/>
                <w:sz w:val="18"/>
              </w:rPr>
              <w:t>Complaint State</w:t>
            </w:r>
          </w:p>
        </w:tc>
        <w:tc>
          <w:tcPr>
            <w:tcW w:type="dxa" w:w="3168"/>
            <w:shd w:fill="1E3A8A"/>
            <w:tcMar>
              <w:top w:w="100" w:type="dxa"/>
              <w:bottom w:w="100" w:type="dxa"/>
              <w:left w:w="120" w:type="dxa"/>
              <w:right w:w="120" w:type="dxa"/>
            </w:tcMar>
          </w:tcPr>
          <w:p>
            <w:pPr>
              <w:spacing w:before="0" w:after="0" w:line="276" w:lineRule="auto"/>
            </w:pPr>
            <w:r>
              <w:rPr>
                <w:rFonts w:ascii="Calibri" w:hAnsi="Calibri"/>
                <w:b/>
                <w:color w:val="FFFFFF"/>
                <w:sz w:val="18"/>
              </w:rPr>
              <w:t>Allowed Next States</w:t>
            </w:r>
          </w:p>
        </w:tc>
        <w:tc>
          <w:tcPr>
            <w:tcW w:type="dxa" w:w="3600"/>
            <w:shd w:fill="1E3A8A"/>
            <w:tcMar>
              <w:top w:w="100" w:type="dxa"/>
              <w:bottom w:w="100" w:type="dxa"/>
              <w:left w:w="120" w:type="dxa"/>
              <w:right w:w="120" w:type="dxa"/>
            </w:tcMar>
          </w:tcPr>
          <w:p>
            <w:pPr>
              <w:spacing w:before="0" w:after="0" w:line="276" w:lineRule="auto"/>
            </w:pPr>
            <w:r>
              <w:rPr>
                <w:rFonts w:ascii="Calibri" w:hAnsi="Calibri"/>
                <w:b/>
                <w:color w:val="FFFFFF"/>
                <w:sz w:val="18"/>
              </w:rPr>
              <w:t>Triggering Event / Actor</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REPORTED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UNDER_REVIEW, REJECTED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RWA files complaint / Desk Clerk opens triage.</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UNDER_REVIEW</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VALIDATED, REJECTED, LINKED_AS_DUPLICATE</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Desk Clerk checks 100m radius and verifies photos.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VALIDATED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WORK_ORDER_CREATED, AWAITING_DEPT_HEAD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Desk Clerk converts issue to Work Order.</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WORK_ORDER_CREATED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IN_PROGRESS, AWAITING_DEPT_HEAD</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assigned; estimate routed.</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IN_PROGRESS</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COMPLETED, PENDING_VERIFICATION</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finishes on-ground repair.</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PENDING_VERIFICATION</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CLOSED, DISPUTED, VERIFIED</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uploads AFTER photos; awaiting RWA review.</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DISPUTED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IN_PROGRESS</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RWA rejects quality; ticket reopened for contractor rework.</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CLOSED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None (Terminal State)</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RWA confirms fix or auto-closure timer expires.</w:t>
            </w:r>
          </w:p>
        </w:tc>
      </w:tr>
    </w:tbl>
    <w:p/>
    <w:p>
      <w:pPr>
        <w:pStyle w:val="Heading2"/>
        <w:keepNext/>
        <w:spacing w:before="280" w:after="80"/>
      </w:pPr>
      <w:r>
        <w:rPr>
          <w:rFonts w:ascii="Calibri" w:hAnsi="Calibri"/>
          <w:b/>
          <w:color w:val="0F766E"/>
          <w:sz w:val="26"/>
        </w:rPr>
        <w:t>5.2 Work Order Lifecycle States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spacing w:before="0" w:after="0" w:line="276" w:lineRule="auto"/>
            </w:pPr>
            <w:r>
              <w:rPr>
                <w:rFonts w:ascii="Calibri" w:hAnsi="Calibri"/>
                <w:b/>
                <w:color w:val="FFFFFF"/>
                <w:sz w:val="18"/>
              </w:rPr>
              <w:t>Work Order State</w:t>
            </w:r>
          </w:p>
        </w:tc>
        <w:tc>
          <w:tcPr>
            <w:tcW w:type="dxa" w:w="3168"/>
            <w:shd w:fill="1E3A8A"/>
            <w:tcMar>
              <w:top w:w="100" w:type="dxa"/>
              <w:bottom w:w="100" w:type="dxa"/>
              <w:left w:w="120" w:type="dxa"/>
              <w:right w:w="120" w:type="dxa"/>
            </w:tcMar>
          </w:tcPr>
          <w:p>
            <w:pPr>
              <w:spacing w:before="0" w:after="0" w:line="276" w:lineRule="auto"/>
            </w:pPr>
            <w:r>
              <w:rPr>
                <w:rFonts w:ascii="Calibri" w:hAnsi="Calibri"/>
                <w:b/>
                <w:color w:val="FFFFFF"/>
                <w:sz w:val="18"/>
              </w:rPr>
              <w:t>Allowed Next States</w:t>
            </w:r>
          </w:p>
        </w:tc>
        <w:tc>
          <w:tcPr>
            <w:tcW w:type="dxa" w:w="3600"/>
            <w:shd w:fill="1E3A8A"/>
            <w:tcMar>
              <w:top w:w="100" w:type="dxa"/>
              <w:bottom w:w="100" w:type="dxa"/>
              <w:left w:w="120" w:type="dxa"/>
              <w:right w:w="120" w:type="dxa"/>
            </w:tcMar>
          </w:tcPr>
          <w:p>
            <w:pPr>
              <w:spacing w:before="0" w:after="0" w:line="276" w:lineRule="auto"/>
            </w:pPr>
            <w:r>
              <w:rPr>
                <w:rFonts w:ascii="Calibri" w:hAnsi="Calibri"/>
                <w:b/>
                <w:color w:val="FFFFFF"/>
                <w:sz w:val="18"/>
              </w:rPr>
              <w:t>Triggering Event / Actor</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ASSIGNED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INSPECTION_PENDING, ESTIMATE_SUBMITTED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deployed to site.</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INSPECTION_PENDING</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ESTIMATE_SUBMITTED</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completes site survey.</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ESTIMATE_SUBMITTED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AWAITING_DEPT_HEAD, PENDING_APPROVAL</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submits AMC rate estimate.</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AWAITING_DEPT_HEAD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APPROVED, REVISION_REQUESTED, REJECTED, AWAITING_COO</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Department Head reviews estimate.</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AWAITING_COO</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APPROVED, REVISION_REQUESTED, REJECTED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COO reviews major capital expenditure.</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APPROVED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IN_PROGRESS</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Required sign-offs complete; crew mobilizes.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IN_PROGRESS</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COMPLETED, REWORK_REQUESTED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executes repair work.</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COMPLETED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CLOSED, REWORK_REQUESTED</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Work verified; ready for final archival.</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CLOSED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None (Terminal State)</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Final payment released and work settled.</w:t>
            </w:r>
          </w:p>
        </w:tc>
      </w:tr>
    </w:tbl>
    <w:p/>
    <w:p>
      <w:pPr>
        <w:pStyle w:val="Heading2"/>
        <w:keepNext/>
        <w:spacing w:before="280" w:after="80"/>
      </w:pPr>
      <w:r>
        <w:rPr>
          <w:rFonts w:ascii="Calibri" w:hAnsi="Calibri"/>
          <w:b/>
          <w:color w:val="0F766E"/>
          <w:sz w:val="26"/>
        </w:rPr>
        <w:t>5.3 Invoice &amp; Payment Lifecycle States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spacing w:before="0" w:after="0" w:line="276" w:lineRule="auto"/>
            </w:pPr>
            <w:r>
              <w:rPr>
                <w:rFonts w:ascii="Calibri" w:hAnsi="Calibri"/>
                <w:b/>
                <w:color w:val="FFFFFF"/>
                <w:sz w:val="18"/>
              </w:rPr>
              <w:t>Entity &amp; State</w:t>
            </w:r>
          </w:p>
        </w:tc>
        <w:tc>
          <w:tcPr>
            <w:tcW w:type="dxa" w:w="3168"/>
            <w:shd w:fill="1E3A8A"/>
            <w:tcMar>
              <w:top w:w="100" w:type="dxa"/>
              <w:bottom w:w="100" w:type="dxa"/>
              <w:left w:w="120" w:type="dxa"/>
              <w:right w:w="120" w:type="dxa"/>
            </w:tcMar>
          </w:tcPr>
          <w:p>
            <w:pPr>
              <w:spacing w:before="0" w:after="0" w:line="276" w:lineRule="auto"/>
            </w:pPr>
            <w:r>
              <w:rPr>
                <w:rFonts w:ascii="Calibri" w:hAnsi="Calibri"/>
                <w:b/>
                <w:color w:val="FFFFFF"/>
                <w:sz w:val="18"/>
              </w:rPr>
              <w:t>Allowed Next States</w:t>
            </w:r>
          </w:p>
        </w:tc>
        <w:tc>
          <w:tcPr>
            <w:tcW w:type="dxa" w:w="3600"/>
            <w:shd w:fill="1E3A8A"/>
            <w:tcMar>
              <w:top w:w="100" w:type="dxa"/>
              <w:bottom w:w="100" w:type="dxa"/>
              <w:left w:w="120" w:type="dxa"/>
              <w:right w:w="120" w:type="dxa"/>
            </w:tcMar>
          </w:tcPr>
          <w:p>
            <w:pPr>
              <w:spacing w:before="0" w:after="0" w:line="276" w:lineRule="auto"/>
            </w:pPr>
            <w:r>
              <w:rPr>
                <w:rFonts w:ascii="Calibri" w:hAnsi="Calibri"/>
                <w:b/>
                <w:color w:val="FFFFFF"/>
                <w:sz w:val="18"/>
              </w:rPr>
              <w:t>Governance Rules</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Invoice: PENDING_AUDIT</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VARIANCE_FLAGGED, AUTHORIZED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Finance conducts 3-way rate reconciliation.</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Invoice: VARIANCE_FLAGGED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AUTHORIZED, REJECTED</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Requires officer justification notes to proceed.</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Invoice: AUTHORIZED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PAID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RWA verification MUST be confirmed prior to payment.</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Invoice: PAID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None (Terminal State)</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Bank UTR logged; ledger settled.</w:t>
            </w:r>
          </w:p>
        </w:tc>
      </w:tr>
      <w:tr>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Payment: SCHEDULED</w:t>
            </w:r>
          </w:p>
        </w:tc>
        <w:tc>
          <w:tcPr>
            <w:tcW w:type="dxa" w:w="316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PROCESSING, DISBURSED</w:t>
            </w:r>
          </w:p>
        </w:tc>
        <w:tc>
          <w:tcPr>
            <w:tcW w:type="dxa" w:w="36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Payment queued in escrow batch.</w:t>
            </w:r>
          </w:p>
        </w:tc>
      </w:tr>
      <w:tr>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Payment: DISBURSED</w:t>
            </w:r>
          </w:p>
        </w:tc>
        <w:tc>
          <w:tcPr>
            <w:tcW w:type="dxa" w:w="316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None (Terminal State)</w:t>
            </w:r>
          </w:p>
        </w:tc>
        <w:tc>
          <w:tcPr>
            <w:tcW w:type="dxa" w:w="36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RTGS transfer confirmed; voucher archived.</w:t>
            </w:r>
          </w:p>
        </w:tc>
      </w:tr>
    </w:tbl>
    <w:p/>
    <w:p>
      <w:pPr>
        <w:pStyle w:val="Heading1"/>
        <w:keepNext/>
        <w:spacing w:before="360" w:after="120"/>
        <w:pBdr>
          <w:bottom w:val="single" w:sz="12" w:space="4" w:color="1E3A8A"/>
        </w:pBdr>
      </w:pPr>
      <w:r>
        <w:rPr>
          <w:rFonts w:ascii="Calibri" w:hAnsi="Calibri"/>
          <w:b/>
          <w:color w:val="1E3A8A"/>
          <w:sz w:val="32"/>
        </w:rPr>
        <w:t>6. Key Business Rules &amp; Verification Gates</w:t>
      </w:r>
    </w:p>
    <w:p>
      <w:pPr>
        <w:spacing w:before="40" w:after="80" w:line="276" w:lineRule="auto"/>
      </w:pPr>
      <w:r>
        <w:rPr>
          <w:rFonts w:ascii="Calibri" w:hAnsi="Calibri"/>
          <w:b/>
          <w:color w:val="1E293B"/>
          <w:sz w:val="20"/>
        </w:rPr>
        <w:t xml:space="preserve">BR-01: Strict Multi-Tenant Isolation: </w:t>
      </w:r>
      <w:r>
        <w:rPr>
          <w:rFonts w:ascii="Calibri" w:hAnsi="Calibri"/>
          <w:i w:val="0"/>
          <w:color w:val="334155"/>
          <w:sz w:val="20"/>
        </w:rPr>
        <w:t>All database transactions and API endpoints must scope queries by req.user.township_id. A user from Township A cannot view, edit, or authorize records from Township B. Violations result in immediate HTTP 403 Forbidden responses.</w:t>
      </w:r>
    </w:p>
    <w:p>
      <w:pPr>
        <w:spacing w:before="40" w:after="80" w:line="276" w:lineRule="auto"/>
      </w:pPr>
      <w:r>
        <w:rPr>
          <w:rFonts w:ascii="Calibri" w:hAnsi="Calibri"/>
          <w:b/>
          <w:color w:val="1E293B"/>
          <w:sz w:val="20"/>
        </w:rPr>
        <w:t xml:space="preserve">BR-02: Departmental Boundary Enforcement: </w:t>
      </w:r>
      <w:r>
        <w:rPr>
          <w:rFonts w:ascii="Calibri" w:hAnsi="Calibri"/>
          <w:i w:val="0"/>
          <w:color w:val="334155"/>
          <w:sz w:val="20"/>
        </w:rPr>
        <w:t>Department Heads and Desk Clerks are restricted strictly to their assigned department (e.g., Civil, Electrical, Water). Cross-department authorization attempts are denied by middleware, with exceptions granted only to the Township COO.</w:t>
      </w:r>
    </w:p>
    <w:p>
      <w:pPr>
        <w:spacing w:before="40" w:after="80" w:line="276" w:lineRule="auto"/>
      </w:pPr>
      <w:r>
        <w:rPr>
          <w:rFonts w:ascii="Calibri" w:hAnsi="Calibri"/>
          <w:b/>
          <w:color w:val="1E293B"/>
          <w:sz w:val="20"/>
        </w:rPr>
        <w:t xml:space="preserve">BR-03: AMC Rate Integrity &amp; Snapshotting: </w:t>
      </w:r>
      <w:r>
        <w:rPr>
          <w:rFonts w:ascii="Calibri" w:hAnsi="Calibri"/>
          <w:i w:val="0"/>
          <w:color w:val="334155"/>
          <w:sz w:val="20"/>
        </w:rPr>
        <w:t>Contractors cannot submit arbitrary unit prices. The backend retrieves official rates from amc_rates and calculates totals. When an estimate is stored, line-item rate snapshots are permanently frozen so subsequent contract renewals never alter past financials.</w:t>
      </w:r>
    </w:p>
    <w:p>
      <w:pPr>
        <w:spacing w:before="40" w:after="80" w:line="276" w:lineRule="auto"/>
      </w:pPr>
      <w:r>
        <w:rPr>
          <w:rFonts w:ascii="Calibri" w:hAnsi="Calibri"/>
          <w:b/>
          <w:color w:val="1E293B"/>
          <w:sz w:val="20"/>
        </w:rPr>
        <w:t xml:space="preserve">BR-04: Mandatory Site Inspection Before Estimate: </w:t>
      </w:r>
      <w:r>
        <w:rPr>
          <w:rFonts w:ascii="Calibri" w:hAnsi="Calibri"/>
          <w:i w:val="0"/>
          <w:color w:val="334155"/>
          <w:sz w:val="20"/>
        </w:rPr>
        <w:t>A contractor is strictly prohibited from submitting a financial estimate without first submitting physical site inspection notes and 'BEFORE' condition evidence.</w:t>
      </w:r>
    </w:p>
    <w:p>
      <w:pPr>
        <w:spacing w:before="40" w:after="80" w:line="276" w:lineRule="auto"/>
      </w:pPr>
      <w:r>
        <w:rPr>
          <w:rFonts w:ascii="Calibri" w:hAnsi="Calibri"/>
          <w:b/>
          <w:color w:val="1E293B"/>
          <w:sz w:val="20"/>
        </w:rPr>
        <w:t xml:space="preserve">BR-05: Mandatory RWA Verification Payment Gate: </w:t>
      </w:r>
      <w:r>
        <w:rPr>
          <w:rFonts w:ascii="Calibri" w:hAnsi="Calibri"/>
          <w:i w:val="0"/>
          <w:color w:val="334155"/>
          <w:sz w:val="20"/>
        </w:rPr>
        <w:t>Finance is programmatically blocked from authorizing invoice payment while RWA quality verification is pending, disputed, or unconfirmed. Citizen satisfaction on the ground is an immovable fiscal gate.</w:t>
      </w:r>
    </w:p>
    <w:p>
      <w:pPr>
        <w:spacing w:before="40" w:after="80" w:line="276" w:lineRule="auto"/>
      </w:pPr>
      <w:r>
        <w:rPr>
          <w:rFonts w:ascii="Calibri" w:hAnsi="Calibri"/>
          <w:b/>
          <w:color w:val="1E293B"/>
          <w:sz w:val="20"/>
        </w:rPr>
        <w:t xml:space="preserve">BR-06: 3-Way Reconciliation Audit Gate: </w:t>
      </w:r>
      <w:r>
        <w:rPr>
          <w:rFonts w:ascii="Calibri" w:hAnsi="Calibri"/>
          <w:i w:val="0"/>
          <w:color w:val="334155"/>
          <w:sz w:val="20"/>
        </w:rPr>
        <w:t>Every contractor invoice must be reconciled against the approved estimate, field evidence, and official AMC rates. Any financial variance exceeding configured tolerances requires written officer justification before payment approval.</w:t>
      </w:r>
    </w:p>
    <w:p>
      <w:pPr>
        <w:spacing w:before="40" w:after="80" w:line="276" w:lineRule="auto"/>
      </w:pPr>
      <w:r>
        <w:rPr>
          <w:rFonts w:ascii="Calibri" w:hAnsi="Calibri"/>
          <w:b/>
          <w:color w:val="1E293B"/>
          <w:sz w:val="20"/>
        </w:rPr>
        <w:t xml:space="preserve">BR-07: Separate Status Lifecycles: </w:t>
      </w:r>
      <w:r>
        <w:rPr>
          <w:rFonts w:ascii="Calibri" w:hAnsi="Calibri"/>
          <w:i w:val="0"/>
          <w:color w:val="334155"/>
          <w:sz w:val="20"/>
        </w:rPr>
        <w:t>Under no circumstances shall Work Order progress, Invoice audit status, and Payment disbursement be collapsed into a single status field. Each entity maintains its own independent state machine.</w:t>
      </w:r>
    </w:p>
    <w:p>
      <w:pPr>
        <w:spacing w:before="40" w:after="80" w:line="276" w:lineRule="auto"/>
      </w:pPr>
      <w:r>
        <w:rPr>
          <w:rFonts w:ascii="Calibri" w:hAnsi="Calibri"/>
          <w:b/>
          <w:color w:val="1E293B"/>
          <w:sz w:val="20"/>
        </w:rPr>
        <w:t xml:space="preserve">BR-08: Complete Auditability: </w:t>
      </w:r>
      <w:r>
        <w:rPr>
          <w:rFonts w:ascii="Calibri" w:hAnsi="Calibri"/>
          <w:i w:val="0"/>
          <w:color w:val="334155"/>
          <w:sz w:val="20"/>
        </w:rPr>
        <w:t>Every status modification, financial approval, dispute, and administrative reconfiguration must be logged in audit_logs or super_audit_logs with user ID, timestamps, before/after snapshots, and client IP.</w:t>
      </w:r>
    </w:p>
    <w:p>
      <w:pPr>
        <w:pStyle w:val="Heading1"/>
        <w:keepNext/>
        <w:spacing w:before="360" w:after="120"/>
        <w:pBdr>
          <w:bottom w:val="single" w:sz="12" w:space="4" w:color="1E3A8A"/>
        </w:pBdr>
      </w:pPr>
      <w:r>
        <w:rPr>
          <w:rFonts w:ascii="Calibri" w:hAnsi="Calibri"/>
          <w:b/>
          <w:color w:val="1E3A8A"/>
          <w:sz w:val="32"/>
        </w:rPr>
        <w:t>7. Non-Functional Requirements (NFRs)</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NFR Identifier</w:t>
            </w:r>
          </w:p>
        </w:tc>
        <w:tc>
          <w:tcPr>
            <w:tcW w:type="dxa" w:w="2592"/>
            <w:shd w:fill="1E3A8A"/>
            <w:tcMar>
              <w:top w:w="100" w:type="dxa"/>
              <w:bottom w:w="100" w:type="dxa"/>
              <w:left w:w="120" w:type="dxa"/>
              <w:right w:w="120" w:type="dxa"/>
            </w:tcMar>
          </w:tcPr>
          <w:p>
            <w:pPr>
              <w:spacing w:before="0" w:after="0" w:line="276" w:lineRule="auto"/>
            </w:pPr>
            <w:r>
              <w:rPr>
                <w:rFonts w:ascii="Calibri" w:hAnsi="Calibri"/>
                <w:b/>
                <w:color w:val="FFFFFF"/>
                <w:sz w:val="18"/>
              </w:rPr>
              <w:t>Category</w:t>
            </w:r>
          </w:p>
        </w:tc>
        <w:tc>
          <w:tcPr>
            <w:tcW w:type="dxa" w:w="4608"/>
            <w:shd w:fill="1E3A8A"/>
            <w:tcMar>
              <w:top w:w="100" w:type="dxa"/>
              <w:bottom w:w="100" w:type="dxa"/>
              <w:left w:w="120" w:type="dxa"/>
              <w:right w:w="120" w:type="dxa"/>
            </w:tcMar>
          </w:tcPr>
          <w:p>
            <w:pPr>
              <w:spacing w:before="0" w:after="0" w:line="276" w:lineRule="auto"/>
            </w:pPr>
            <w:r>
              <w:rPr>
                <w:rFonts w:ascii="Calibri" w:hAnsi="Calibri"/>
                <w:b/>
                <w:color w:val="FFFFFF"/>
                <w:sz w:val="18"/>
              </w:rPr>
              <w:t>Quality Attribute Specification</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NFR-PERF-01</w:t>
            </w:r>
          </w:p>
        </w:tc>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Performance &amp; Latency</w:t>
            </w:r>
          </w:p>
        </w:tc>
        <w:tc>
          <w:tcPr>
            <w:tcW w:type="dxa" w:w="460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API endpoints shall respond within 300 milliseconds under normal operating loads (50 concurrent requests per township).</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NFR-PERF-02</w:t>
            </w:r>
          </w:p>
        </w:tc>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Database Query Limits</w:t>
            </w:r>
          </w:p>
        </w:tc>
        <w:tc>
          <w:tcPr>
            <w:tcW w:type="dxa" w:w="460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Parameterized PostgreSQL queries shall execute in under 50 milliseconds utilizing primary keys, UUID indexes, and compound foreign keys.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NFR-SEC-01</w:t>
            </w:r>
          </w:p>
        </w:tc>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Password Security</w:t>
            </w:r>
          </w:p>
        </w:tc>
        <w:tc>
          <w:tcPr>
            <w:tcW w:type="dxa" w:w="460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User passwords shall be salted and hashed using Bcrypt with a work factor of 12 rounds before database persistence.</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NFR-SEC-02</w:t>
            </w:r>
          </w:p>
        </w:tc>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Token Authentication</w:t>
            </w:r>
          </w:p>
        </w:tc>
        <w:tc>
          <w:tcPr>
            <w:tcW w:type="dxa" w:w="460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System access shall require signed JSON Web Tokens (JWT) with configurable expiration (default: 24 hours), carrying user ID, role, township_id, and department_id.</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NFR-SEC-03</w:t>
            </w:r>
          </w:p>
        </w:tc>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Injection Prevention</w:t>
            </w:r>
          </w:p>
        </w:tc>
        <w:tc>
          <w:tcPr>
            <w:tcW w:type="dxa" w:w="460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All database operations shall use parameterized queries ($1, $2) to eliminate SQL injection vulnerabilities.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NFR-SEC-04</w:t>
            </w:r>
          </w:p>
        </w:tc>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File Upload Safety</w:t>
            </w:r>
          </w:p>
        </w:tc>
        <w:tc>
          <w:tcPr>
            <w:tcW w:type="dxa" w:w="460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Uploaded photo evidence shall be validated against mime types (image/jpeg, image/png, image/webp) with file sizes capped at 10MB.</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NFR-REL-01</w:t>
            </w:r>
          </w:p>
        </w:tc>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High Availability</w:t>
            </w:r>
          </w:p>
        </w:tc>
        <w:tc>
          <w:tcPr>
            <w:tcW w:type="dxa" w:w="460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The system shall achieve 99.9% uptime during operational business hours, backed by serverless Neon PostgreSQL autoscaling.</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NFR-DATA-01</w:t>
            </w:r>
          </w:p>
        </w:tc>
        <w:tc>
          <w:tcPr>
            <w:tcW w:type="dxa" w:w="2592"/>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Relational Integrity</w:t>
            </w:r>
          </w:p>
        </w:tc>
        <w:tc>
          <w:tcPr>
            <w:tcW w:type="dxa" w:w="4608"/>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All database tables shall enforce strict foreign key constraints (ON DELETE RESTRICT / CASCADE) to prevent orphaned records.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NFR-AUD-01</w:t>
            </w:r>
          </w:p>
        </w:tc>
        <w:tc>
          <w:tcPr>
            <w:tcW w:type="dxa" w:w="2592"/>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Audit Immutability</w:t>
            </w:r>
          </w:p>
        </w:tc>
        <w:tc>
          <w:tcPr>
            <w:tcW w:type="dxa" w:w="4608"/>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Audit trail records (audit_logs) shall be append-only with no UPDATE or DELETE permissions granted to standard operational roles.</w:t>
            </w:r>
          </w:p>
        </w:tc>
      </w:tr>
    </w:tbl>
    <w:p/>
    <w:p>
      <w:pPr>
        <w:pStyle w:val="Heading1"/>
        <w:keepNext/>
        <w:spacing w:before="360" w:after="120"/>
        <w:pBdr>
          <w:bottom w:val="single" w:sz="12" w:space="4" w:color="1E3A8A"/>
        </w:pBdr>
      </w:pPr>
      <w:r>
        <w:rPr>
          <w:rFonts w:ascii="Calibri" w:hAnsi="Calibri"/>
          <w:b/>
          <w:color w:val="1E3A8A"/>
          <w:sz w:val="32"/>
        </w:rPr>
        <w:t>8. Data Architecture &amp; Database Schema Overview</w:t>
      </w:r>
    </w:p>
    <w:p>
      <w:pPr>
        <w:spacing w:before="40" w:after="80" w:line="276" w:lineRule="auto"/>
      </w:pPr>
      <w:r>
        <w:rPr>
          <w:rFonts w:ascii="Calibri" w:hAnsi="Calibri"/>
          <w:i w:val="0"/>
          <w:color w:val="334155"/>
          <w:sz w:val="20"/>
        </w:rPr>
        <w:t>The TIMS database architecture is implemented on PostgreSQL 16 using strictly typed relational tables, custom ENUM types, and UUID primary keys. Below is an overview of the core architectural entities:</w:t>
      </w:r>
    </w:p>
    <w:tbl>
      <w:tblPr>
        <w:tblW w:type="auto" w:w="0"/>
        <w:jc w:val="center"/>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Database Table</w:t>
            </w:r>
          </w:p>
        </w:tc>
        <w:tc>
          <w:tcPr>
            <w:tcW w:type="dxa" w:w="2880"/>
            <w:shd w:fill="1E3A8A"/>
            <w:tcMar>
              <w:top w:w="100" w:type="dxa"/>
              <w:bottom w:w="100" w:type="dxa"/>
              <w:left w:w="120" w:type="dxa"/>
              <w:right w:w="120" w:type="dxa"/>
            </w:tcMar>
          </w:tcPr>
          <w:p>
            <w:pPr>
              <w:spacing w:before="0" w:after="0" w:line="276" w:lineRule="auto"/>
            </w:pPr>
            <w:r>
              <w:rPr>
                <w:rFonts w:ascii="Calibri" w:hAnsi="Calibri"/>
                <w:b/>
                <w:color w:val="FFFFFF"/>
                <w:sz w:val="18"/>
              </w:rPr>
              <w:t>Primary Key &amp; Foreign Keys</w:t>
            </w:r>
          </w:p>
        </w:tc>
        <w:tc>
          <w:tcPr>
            <w:tcW w:type="dxa" w:w="4320"/>
            <w:shd w:fill="1E3A8A"/>
            <w:tcMar>
              <w:top w:w="100" w:type="dxa"/>
              <w:bottom w:w="100" w:type="dxa"/>
              <w:left w:w="120" w:type="dxa"/>
              <w:right w:w="120" w:type="dxa"/>
            </w:tcMar>
          </w:tcPr>
          <w:p>
            <w:pPr>
              <w:spacing w:before="0" w:after="0" w:line="276" w:lineRule="auto"/>
            </w:pPr>
            <w:r>
              <w:rPr>
                <w:rFonts w:ascii="Calibri" w:hAnsi="Calibri"/>
                <w:b/>
                <w:color w:val="FFFFFF"/>
                <w:sz w:val="18"/>
              </w:rPr>
              <w:t>Description &amp; Schema Scope</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townships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Township tenant profile: name, city, state, pincode, status (ACTIVE/SUSPENDED).</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departments</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fk_township, fk_head</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Infrastructure departments: Civil, Electrical, Water, Horticulture.</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users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fk_township, fk_dept, fk_contractor</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System users across 7 roles with hashed passwords, status, and contact details.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contractors</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fk_township</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Empanelled vendor companies: company_name, GSTIN, primary work category, status.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amcs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fk_township, fk_contractor, fk_dept</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Annual Maintenance Contracts: contract_number, start_date, end_date, title.</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amc_rates</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fk_amc</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Itemized rate cards: item_code, item_name, service_type, unit, official rate.</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complaints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fk_township, fk_dept, fk_reporter</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Infrastructure complaints: complaint_code (CMP-...), severity, sector, block, street, status.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work_orders</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fk_complaint, fk_contractor, fk_dept</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Remediation work orders: work_order_number (WO-...), priority, status, due_at.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estimates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fk_work_order, fk_contractor</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Financial estimates: total_amount, status, submitted_at, approved_at.</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estimate_items</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fk_estimate, fk_amc_rate</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Itemized estimate lines: quantity, rate_snapshot, calculated amount.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invoices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fk_work_order, fk_contractor</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Contractor bills: invoice_code, subtotal, tax, total_amount, variance_amount, status.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payments</w:t>
            </w:r>
          </w:p>
        </w:tc>
        <w:tc>
          <w:tcPr>
            <w:tcW w:type="dxa" w:w="288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fk_invoice, fk_contractor</w:t>
            </w:r>
          </w:p>
        </w:tc>
        <w:tc>
          <w:tcPr>
            <w:tcW w:type="dxa" w:w="432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Disbursement records: amount, payment_mode, payment_reference (UTR), status, paid_at.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audit_logs</w:t>
            </w:r>
          </w:p>
        </w:tc>
        <w:tc>
          <w:tcPr>
            <w:tcW w:type="dxa" w:w="288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id (UUID), fk_township, fk_user</w:t>
            </w:r>
          </w:p>
        </w:tc>
        <w:tc>
          <w:tcPr>
            <w:tcW w:type="dxa" w:w="432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Immutable audit trail: entity_type, entity_id, action, old_value, new_value, timestamp.</w:t>
            </w:r>
          </w:p>
        </w:tc>
      </w:tr>
    </w:tbl>
    <w:p/>
    <w:p>
      <w:pPr>
        <w:pStyle w:val="Heading1"/>
        <w:keepNext/>
        <w:spacing w:before="360" w:after="120"/>
        <w:pBdr>
          <w:bottom w:val="single" w:sz="12" w:space="4" w:color="1E3A8A"/>
        </w:pBdr>
      </w:pPr>
      <w:r>
        <w:rPr>
          <w:rFonts w:ascii="Calibri" w:hAnsi="Calibri"/>
          <w:b/>
          <w:color w:val="1E3A8A"/>
          <w:sz w:val="32"/>
        </w:rPr>
        <w:t>9. Glossary and Definitions</w:t>
      </w:r>
    </w:p>
    <w:tbl>
      <w:tblPr>
        <w:tblW w:type="auto" w:w="0"/>
        <w:jc w:val="center"/>
        <w:tblLook w:firstColumn="1" w:firstRow="1" w:lastColumn="0" w:lastRow="0" w:noHBand="0" w:noVBand="1" w:val="04A0"/>
      </w:tblPr>
      <w:tblGrid>
        <w:gridCol w:w="4680"/>
        <w:gridCol w:w="4680"/>
      </w:tblGrid>
      <w:tr>
        <w:tc>
          <w:tcPr>
            <w:tcW w:type="dxa" w:w="2160"/>
            <w:shd w:fill="1E3A8A"/>
            <w:tcMar>
              <w:top w:w="100" w:type="dxa"/>
              <w:bottom w:w="100" w:type="dxa"/>
              <w:left w:w="120" w:type="dxa"/>
              <w:right w:w="120" w:type="dxa"/>
            </w:tcMar>
          </w:tcPr>
          <w:p>
            <w:pPr>
              <w:spacing w:before="0" w:after="0" w:line="276" w:lineRule="auto"/>
            </w:pPr>
            <w:r>
              <w:rPr>
                <w:rFonts w:ascii="Calibri" w:hAnsi="Calibri"/>
                <w:b/>
                <w:color w:val="FFFFFF"/>
                <w:sz w:val="18"/>
              </w:rPr>
              <w:t>Term / Acronym</w:t>
            </w:r>
          </w:p>
        </w:tc>
        <w:tc>
          <w:tcPr>
            <w:tcW w:type="dxa" w:w="7200"/>
            <w:shd w:fill="1E3A8A"/>
            <w:tcMar>
              <w:top w:w="100" w:type="dxa"/>
              <w:bottom w:w="100" w:type="dxa"/>
              <w:left w:w="120" w:type="dxa"/>
              <w:right w:w="120" w:type="dxa"/>
            </w:tcMar>
          </w:tcPr>
          <w:p>
            <w:pPr>
              <w:spacing w:before="0" w:after="0" w:line="276" w:lineRule="auto"/>
            </w:pPr>
            <w:r>
              <w:rPr>
                <w:rFonts w:ascii="Calibri" w:hAnsi="Calibri"/>
                <w:b/>
                <w:color w:val="FFFFFF"/>
                <w:sz w:val="18"/>
              </w:rPr>
              <w:t>Definition and Context</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AMC</w:t>
            </w:r>
          </w:p>
        </w:tc>
        <w:tc>
          <w:tcPr>
            <w:tcW w:type="dxa" w:w="72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Annual Maintenance Contract: Formal municipal agreement with pre-negotiated fixed rates for infrastructure labor, services, and materials.</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RWA</w:t>
            </w:r>
          </w:p>
        </w:tc>
        <w:tc>
          <w:tcPr>
            <w:tcW w:type="dxa" w:w="72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Resident Welfare Association: Official elected body representing homeowners and tenants in a residential sector or gated township.</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Desk Clerk</w:t>
            </w:r>
          </w:p>
        </w:tc>
        <w:tc>
          <w:tcPr>
            <w:tcW w:type="dxa" w:w="72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Operational coordinator responsible for initial complaint triage, photo verification, 100m duplicate detection, and work order creation.</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Field Contractor</w:t>
            </w:r>
          </w:p>
        </w:tc>
        <w:tc>
          <w:tcPr>
            <w:tcW w:type="dxa" w:w="72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Empanelled commercial vendor contracted under an active AMC to perform physical site inspections and repairs.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Department Head</w:t>
            </w:r>
          </w:p>
        </w:tc>
        <w:tc>
          <w:tcPr>
            <w:tcW w:type="dxa" w:w="72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Managerial executive leading a specialized engineering domain (Civil, Electrical, Water), holding budget approval authority.</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Township COO</w:t>
            </w:r>
          </w:p>
        </w:tc>
        <w:tc>
          <w:tcPr>
            <w:tcW w:type="dxa" w:w="72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Chief Operating Officer: Executive holding ultimate administrative and operational authority across all township departments.</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Rate Card</w:t>
            </w:r>
          </w:p>
        </w:tc>
        <w:tc>
          <w:tcPr>
            <w:tcW w:type="dxa" w:w="72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Schedule of itemized unit rates (e.g., RATE-01: Senior Electrician @ ₹500/hr) bound to an AMC contract.</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3-Way Check</w:t>
            </w:r>
          </w:p>
        </w:tc>
        <w:tc>
          <w:tcPr>
            <w:tcW w:type="dxa" w:w="72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Automated reconciliation audit comparing: (1) Approved Estimate, (2) Field Work Evidence, and (3) Contractor Invoice.</w:t>
            </w:r>
          </w:p>
        </w:tc>
      </w:tr>
      <w:tr>
        <w:tc>
          <w:tcPr>
            <w:tcW w:type="dxa" w:w="216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UTR</w:t>
            </w:r>
          </w:p>
        </w:tc>
        <w:tc>
          <w:tcPr>
            <w:tcW w:type="dxa" w:w="7200"/>
            <w:shd w:fill="FFFFFF"/>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Unique Transaction Reference: Official alphanumeric bank identifier generated upon completion of an RTGS/NEFT payment.</w:t>
            </w:r>
          </w:p>
        </w:tc>
      </w:tr>
      <w:tr>
        <w:tc>
          <w:tcPr>
            <w:tcW w:type="dxa" w:w="216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SLA</w:t>
            </w:r>
          </w:p>
        </w:tc>
        <w:tc>
          <w:tcPr>
            <w:tcW w:type="dxa" w:w="7200"/>
            <w:shd w:fill="F8FAFC"/>
            <w:tcMar>
              <w:top w:w="80" w:type="dxa"/>
              <w:bottom w:w="80" w:type="dxa"/>
              <w:left w:w="120" w:type="dxa"/>
              <w:right w:w="120" w:type="dxa"/>
            </w:tcMar>
            <w:tcBorders>
              <w:top w:val="single" w:sz="4" w:space="0" w:color="E2E8F0"/>
              <w:bottom w:val="single" w:sz="4" w:space="0" w:color="E2E8F0"/>
              <w:left w:val="nil"/>
              <w:right w:val="nil"/>
            </w:tcBorders>
          </w:tcPr>
          <w:p>
            <w:pPr>
              <w:spacing w:before="0" w:after="0" w:line="276" w:lineRule="auto"/>
            </w:pPr>
            <w:r>
              <w:rPr>
                <w:rFonts w:ascii="Calibri" w:hAnsi="Calibri"/>
                <w:color w:val="334155"/>
                <w:sz w:val="17"/>
              </w:rPr>
              <w:t>Service Level Agreement: Maximum allowable time window for resolving a complaint based on its severity rating (Emergency: 24h, High: 48h, etc.).</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InfraLynx Enterprise Platform • Standard ISO/IEC/IEEE 29148 / IEEE 830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TIMS — Township Infrastructure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