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0" w:after="0"/>
        <w:jc w:val="center"/>
        <w:rPr>
          <w:rFonts w:ascii="Times New Roman" w:hAnsi="Times New Roman" w:cs="Times New Roman"/>
          <w:b/>
          <w:b/>
          <w:bCs/>
          <w:sz w:val="20"/>
          <w:szCs w:val="20"/>
        </w:rPr>
      </w:pPr>
      <w:r>
        <w:rPr>
          <w:rFonts w:cs="Times New Roman" w:ascii="Times New Roman" w:hAnsi="Times New Roman"/>
          <w:b/>
          <w:bCs/>
          <w:sz w:val="20"/>
          <w:szCs w:val="20"/>
        </w:rPr>
        <w:t xml:space="preserve">EcoTwin: Trajectory-Based Ecosystem Analog Retrieval and Forecasting with </w:t>
      </w:r>
    </w:p>
    <w:p>
      <w:pPr>
        <w:pStyle w:val="Normal"/>
        <w:spacing w:lineRule="auto" w:line="360" w:before="0" w:after="0"/>
        <w:jc w:val="center"/>
        <w:rPr>
          <w:rFonts w:ascii="Times New Roman" w:hAnsi="Times New Roman" w:cs="Times New Roman"/>
          <w:b/>
          <w:b/>
          <w:bCs/>
          <w:sz w:val="20"/>
          <w:szCs w:val="20"/>
        </w:rPr>
      </w:pPr>
      <w:r>
        <w:rPr>
          <w:rFonts w:cs="Times New Roman" w:ascii="Times New Roman" w:hAnsi="Times New Roman"/>
          <w:b/>
          <w:bCs/>
          <w:sz w:val="20"/>
          <w:szCs w:val="20"/>
        </w:rPr>
        <w:t>Geospatial Foundation Models</w:t>
      </w:r>
    </w:p>
    <w:p>
      <w:pPr>
        <w:pStyle w:val="Normal"/>
        <w:spacing w:lineRule="auto" w:line="360" w:before="0" w:after="0"/>
        <w:jc w:val="center"/>
        <w:rPr>
          <w:rFonts w:ascii="Times New Roman" w:hAnsi="Times New Roman" w:cs="Times New Roman"/>
          <w:b/>
          <w:b/>
          <w:bCs/>
          <w:sz w:val="20"/>
          <w:szCs w:val="20"/>
        </w:rPr>
      </w:pPr>
      <w:r>
        <w:rPr>
          <w:rFonts w:cs="Times New Roman" w:ascii="Times New Roman" w:hAnsi="Times New Roman"/>
          <w:b/>
          <w:bCs/>
          <w:sz w:val="20"/>
          <w:szCs w:val="20"/>
        </w:rPr>
      </w:r>
    </w:p>
    <w:p>
      <w:pPr>
        <w:pStyle w:val="Normal"/>
        <w:spacing w:lineRule="auto" w:line="360" w:before="0" w:after="0"/>
        <w:jc w:val="center"/>
        <w:rPr>
          <w:rFonts w:ascii="Times New Roman" w:hAnsi="Times New Roman" w:cs="Times New Roman"/>
          <w:sz w:val="20"/>
          <w:szCs w:val="20"/>
        </w:rPr>
      </w:pPr>
      <w:r>
        <w:rPr>
          <w:rFonts w:cs="Times New Roman" w:ascii="Times New Roman" w:hAnsi="Times New Roman"/>
          <w:sz w:val="20"/>
          <w:szCs w:val="20"/>
        </w:rPr>
        <w:t>Vikash Kumar, Peeyush Prashant, Ankit Kumar and P. Rama Chandra Prasad</w:t>
      </w:r>
    </w:p>
    <w:p>
      <w:pPr>
        <w:pStyle w:val="Notesoncontributors"/>
        <w:jc w:val="center"/>
        <w:rPr>
          <w:i/>
          <w:i/>
          <w:iCs/>
          <w:sz w:val="20"/>
          <w:szCs w:val="20"/>
        </w:rPr>
      </w:pPr>
      <w:r>
        <w:rPr>
          <w:i/>
          <w:iCs/>
          <w:sz w:val="20"/>
          <w:szCs w:val="20"/>
        </w:rPr>
        <w:t>Lab of Spatial Informatics, International Institute of Information Technology - Hyderabad, Hyderabad, Telangana, 500032, India</w:t>
      </w:r>
    </w:p>
    <w:p>
      <w:pPr>
        <w:pStyle w:val="Normal"/>
        <w:spacing w:lineRule="auto" w:line="360" w:before="0" w:after="0"/>
        <w:jc w:val="center"/>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b/>
          <w:b/>
          <w:bCs/>
          <w:sz w:val="20"/>
          <w:szCs w:val="20"/>
        </w:rPr>
      </w:pPr>
      <w:r>
        <w:rPr>
          <w:rFonts w:cs="Times New Roman" w:ascii="Times New Roman" w:hAnsi="Times New Roman"/>
          <w:b/>
          <w:bCs/>
          <w:sz w:val="20"/>
          <w:szCs w:val="20"/>
        </w:rPr>
      </w:r>
    </w:p>
    <w:p>
      <w:pPr>
        <w:pStyle w:val="Normal"/>
        <w:spacing w:lineRule="auto" w:line="360" w:before="0" w:after="0"/>
        <w:jc w:val="both"/>
        <w:rPr>
          <w:rFonts w:ascii="Times New Roman" w:hAnsi="Times New Roman" w:cs="Times New Roman"/>
          <w:b/>
          <w:b/>
          <w:bCs/>
          <w:sz w:val="20"/>
          <w:szCs w:val="20"/>
        </w:rPr>
      </w:pPr>
      <w:r>
        <w:rPr>
          <w:rFonts w:cs="Times New Roman" w:ascii="Times New Roman" w:hAnsi="Times New Roman"/>
          <w:b/>
          <w:bCs/>
          <w:sz w:val="20"/>
          <w:szCs w:val="20"/>
        </w:rPr>
        <w:t>Abstract</w:t>
      </w:r>
    </w:p>
    <w:p>
      <w:pPr>
        <w:pStyle w:val="Normal"/>
        <w:spacing w:lineRule="auto" w:line="360" w:before="0" w:after="0"/>
        <w:jc w:val="both"/>
        <w:rPr>
          <w:rFonts w:ascii="Times New Roman" w:hAnsi="Times New Roman" w:cs="Times New Roman"/>
          <w:b/>
          <w:b/>
          <w:bCs/>
          <w:sz w:val="20"/>
          <w:szCs w:val="20"/>
        </w:rPr>
      </w:pPr>
      <w:r>
        <w:rPr>
          <w:rFonts w:cs="Times New Roman" w:ascii="Times New Roman" w:hAnsi="Times New Roman"/>
          <w:sz w:val="20"/>
          <w:szCs w:val="20"/>
        </w:rPr>
        <w:t>Freshwater lakes and wetlands face increasing environmental pressures, yet long-term field observations remain unavailable for many water bodies. This limits the ability to assess their changing conditions and anticipate future trajectories. We present EcoTwin, a geospatial framework that uses ecosystem analogs to support directional forecasting from satellite observations. Using Sentinel-2 imagery and a pretrained Earth-observation foundation model (Prithvi-EO), EcoTwin represents each lake-year as an embedding of the lake surface and its 500 m shoreline, and each lake's five-year spectral-temporal trajectory as a sequence of these embeddings. A sliding-window similarity search identifies lakes with comparable trajectories, and a transparent forecasting procedure transfers their observed spectral-index changes to the target lake. The system reports an uncertain classification when fewer than two analogs provide usable evidence. We demonstrate the workflow on 829 Indian lakes over 2016–2025 and examine five Ramsar wetlands in detail. The retrieval process ranked Pangong Tso first among 828 candidates for Tso Morari, a high-altitude lake in Ladakh, without using location as an input, and the Chilika results are discussed against its documented history of aquatic weed expansion. Across 60 forecast cells in the case studies, 4 (6.7%) were classified as uncertain. These results demonstrate the feasibility of integrating foundation-model embeddings, trajectory-based retrieval, and interpretable directional forecasting within a scalable geospatial workflow. Formal hindcasting and independent ecological validation remain necessary to establish predictive accuracy.</w:t>
      </w:r>
    </w:p>
    <w:p>
      <w:pPr>
        <w:pStyle w:val="Normal"/>
        <w:spacing w:lineRule="auto" w:line="360" w:before="0" w:after="0"/>
        <w:jc w:val="both"/>
        <w:rPr>
          <w:rFonts w:ascii="Times New Roman" w:hAnsi="Times New Roman" w:cs="Times New Roman"/>
          <w:b/>
          <w:b/>
          <w:bCs/>
          <w:sz w:val="20"/>
          <w:szCs w:val="20"/>
        </w:rPr>
      </w:pPr>
      <w:r>
        <w:rPr>
          <w:rFonts w:cs="Times New Roman" w:ascii="Times New Roman" w:hAnsi="Times New Roman"/>
          <w:b/>
          <w:bCs/>
          <w:sz w:val="20"/>
          <w:szCs w:val="20"/>
        </w:rPr>
      </w:r>
    </w:p>
    <w:p>
      <w:pPr>
        <w:pStyle w:val="APABody"/>
        <w:spacing w:lineRule="auto" w:line="360"/>
        <w:ind w:hanging="0"/>
        <w:rPr>
          <w:sz w:val="20"/>
          <w:szCs w:val="18"/>
        </w:rPr>
      </w:pPr>
      <w:r>
        <w:rPr>
          <w:rFonts w:cs="Times New Roman"/>
          <w:b/>
          <w:bCs/>
          <w:sz w:val="20"/>
          <w:szCs w:val="18"/>
        </w:rPr>
        <w:t>Keywords</w:t>
      </w:r>
      <w:r>
        <w:rPr>
          <w:rFonts w:cs="Times New Roman"/>
          <w:i/>
          <w:iCs/>
          <w:sz w:val="20"/>
          <w:szCs w:val="18"/>
        </w:rPr>
        <w:t xml:space="preserve">: </w:t>
      </w:r>
      <w:r>
        <w:rPr>
          <w:rFonts w:cs="Times New Roman"/>
          <w:sz w:val="20"/>
          <w:szCs w:val="18"/>
        </w:rPr>
        <w:t>Geospatial Foundation Models, Prithvi, Remote Sensing, Sentinel-2, HydroLAKES, Ecosystem Analogs, Vector Search, pgvector, NDCI, Spectral Indices, Ramsar Wetlands, Trajectory Similarity</w:t>
      </w:r>
    </w:p>
    <w:p>
      <w:pPr>
        <w:pStyle w:val="Normal"/>
        <w:spacing w:lineRule="auto" w:line="360" w:before="0" w:after="0"/>
        <w:jc w:val="both"/>
        <w:rPr>
          <w:rFonts w:ascii="Times New Roman" w:hAnsi="Times New Roman" w:cs="Times New Roman"/>
          <w:b/>
          <w:b/>
          <w:bCs/>
          <w:sz w:val="20"/>
          <w:szCs w:val="20"/>
        </w:rPr>
      </w:pPr>
      <w:r>
        <w:rPr>
          <w:rFonts w:cs="Times New Roman" w:ascii="Times New Roman" w:hAnsi="Times New Roman"/>
          <w:b/>
          <w:bCs/>
          <w:sz w:val="20"/>
          <w:szCs w:val="20"/>
        </w:rPr>
      </w:r>
    </w:p>
    <w:p>
      <w:pPr>
        <w:pStyle w:val="Normal"/>
        <w:spacing w:lineRule="auto" w:line="360" w:before="0" w:after="0"/>
        <w:jc w:val="both"/>
        <w:rPr>
          <w:rFonts w:ascii="Times New Roman" w:hAnsi="Times New Roman" w:cs="Times New Roman"/>
          <w:b/>
          <w:b/>
          <w:bCs/>
          <w:sz w:val="20"/>
          <w:szCs w:val="20"/>
        </w:rPr>
      </w:pPr>
      <w:r>
        <w:rPr>
          <w:rFonts w:cs="Times New Roman" w:ascii="Times New Roman" w:hAnsi="Times New Roman"/>
          <w:b/>
          <w:bCs/>
          <w:sz w:val="20"/>
          <w:szCs w:val="20"/>
        </w:rPr>
      </w:r>
    </w:p>
    <w:p>
      <w:pPr>
        <w:pStyle w:val="Normal"/>
        <w:spacing w:lineRule="auto" w:line="360" w:before="0" w:after="0"/>
        <w:jc w:val="both"/>
        <w:rPr>
          <w:rFonts w:ascii="Times New Roman" w:hAnsi="Times New Roman" w:cs="Times New Roman"/>
          <w:b/>
          <w:b/>
          <w:bCs/>
          <w:sz w:val="20"/>
          <w:szCs w:val="20"/>
        </w:rPr>
      </w:pPr>
      <w:r>
        <w:rPr>
          <w:rFonts w:cs="Times New Roman" w:ascii="Times New Roman" w:hAnsi="Times New Roman"/>
          <w:b/>
          <w:bCs/>
          <w:sz w:val="20"/>
          <w:szCs w:val="20"/>
        </w:rPr>
      </w:r>
    </w:p>
    <w:p>
      <w:pPr>
        <w:pStyle w:val="Normal"/>
        <w:spacing w:lineRule="auto" w:line="360" w:before="0" w:after="0"/>
        <w:jc w:val="both"/>
        <w:rPr>
          <w:rFonts w:ascii="Times New Roman" w:hAnsi="Times New Roman" w:cs="Times New Roman"/>
          <w:b/>
          <w:b/>
          <w:bCs/>
          <w:sz w:val="20"/>
          <w:szCs w:val="20"/>
        </w:rPr>
      </w:pPr>
      <w:r>
        <w:rPr>
          <w:rFonts w:cs="Times New Roman" w:ascii="Times New Roman" w:hAnsi="Times New Roman"/>
          <w:b/>
          <w:bCs/>
          <w:sz w:val="20"/>
          <w:szCs w:val="20"/>
        </w:rPr>
      </w:r>
    </w:p>
    <w:p>
      <w:pPr>
        <w:pStyle w:val="Normal"/>
        <w:spacing w:lineRule="auto" w:line="360" w:before="0" w:after="0"/>
        <w:jc w:val="both"/>
        <w:rPr>
          <w:rFonts w:ascii="Times New Roman" w:hAnsi="Times New Roman" w:cs="Times New Roman"/>
          <w:b/>
          <w:b/>
          <w:bCs/>
          <w:sz w:val="20"/>
          <w:szCs w:val="20"/>
        </w:rPr>
      </w:pPr>
      <w:r>
        <w:rPr>
          <w:rFonts w:cs="Times New Roman" w:ascii="Times New Roman" w:hAnsi="Times New Roman"/>
          <w:b/>
          <w:bCs/>
          <w:sz w:val="20"/>
          <w:szCs w:val="20"/>
        </w:rPr>
      </w:r>
    </w:p>
    <w:p>
      <w:pPr>
        <w:pStyle w:val="Normal"/>
        <w:spacing w:lineRule="auto" w:line="360" w:before="0" w:after="0"/>
        <w:jc w:val="both"/>
        <w:rPr>
          <w:rFonts w:ascii="Times New Roman" w:hAnsi="Times New Roman" w:cs="Times New Roman"/>
          <w:b/>
          <w:b/>
          <w:bCs/>
          <w:sz w:val="20"/>
          <w:szCs w:val="20"/>
        </w:rPr>
      </w:pPr>
      <w:r>
        <w:rPr>
          <w:rFonts w:cs="Times New Roman" w:ascii="Times New Roman" w:hAnsi="Times New Roman"/>
          <w:b/>
          <w:bCs/>
          <w:sz w:val="20"/>
          <w:szCs w:val="20"/>
        </w:rPr>
      </w:r>
    </w:p>
    <w:p>
      <w:pPr>
        <w:pStyle w:val="Normal"/>
        <w:spacing w:lineRule="auto" w:line="360" w:before="0" w:after="0"/>
        <w:jc w:val="both"/>
        <w:rPr>
          <w:rFonts w:ascii="Times New Roman" w:hAnsi="Times New Roman" w:cs="Times New Roman"/>
          <w:b/>
          <w:b/>
          <w:bCs/>
          <w:sz w:val="20"/>
          <w:szCs w:val="20"/>
        </w:rPr>
      </w:pPr>
      <w:r>
        <w:rPr>
          <w:rFonts w:cs="Times New Roman" w:ascii="Times New Roman" w:hAnsi="Times New Roman"/>
          <w:b/>
          <w:bCs/>
          <w:sz w:val="20"/>
          <w:szCs w:val="20"/>
        </w:rPr>
      </w:r>
    </w:p>
    <w:p>
      <w:pPr>
        <w:pStyle w:val="Normal"/>
        <w:spacing w:lineRule="auto" w:line="360" w:before="0" w:after="0"/>
        <w:jc w:val="both"/>
        <w:rPr>
          <w:rFonts w:ascii="Times New Roman" w:hAnsi="Times New Roman" w:cs="Times New Roman"/>
          <w:b/>
          <w:b/>
          <w:bCs/>
          <w:sz w:val="20"/>
          <w:szCs w:val="20"/>
        </w:rPr>
      </w:pPr>
      <w:r>
        <w:rPr>
          <w:rFonts w:cs="Times New Roman" w:ascii="Times New Roman" w:hAnsi="Times New Roman"/>
          <w:b/>
          <w:bCs/>
          <w:sz w:val="20"/>
          <w:szCs w:val="20"/>
        </w:rPr>
      </w:r>
    </w:p>
    <w:p>
      <w:pPr>
        <w:pStyle w:val="Normal"/>
        <w:spacing w:lineRule="auto" w:line="360" w:before="0" w:after="0"/>
        <w:jc w:val="both"/>
        <w:rPr>
          <w:rFonts w:ascii="Times New Roman" w:hAnsi="Times New Roman" w:cs="Times New Roman"/>
          <w:b/>
          <w:b/>
          <w:bCs/>
          <w:sz w:val="20"/>
          <w:szCs w:val="20"/>
        </w:rPr>
      </w:pPr>
      <w:r>
        <w:rPr>
          <w:rFonts w:cs="Times New Roman" w:ascii="Times New Roman" w:hAnsi="Times New Roman"/>
          <w:b/>
          <w:bCs/>
          <w:sz w:val="20"/>
          <w:szCs w:val="20"/>
        </w:rPr>
      </w:r>
    </w:p>
    <w:p>
      <w:pPr>
        <w:pStyle w:val="Normal"/>
        <w:spacing w:lineRule="auto" w:line="360" w:before="0" w:after="0"/>
        <w:jc w:val="both"/>
        <w:rPr>
          <w:rFonts w:ascii="Times New Roman" w:hAnsi="Times New Roman" w:cs="Times New Roman"/>
          <w:b/>
          <w:b/>
          <w:bCs/>
          <w:sz w:val="20"/>
          <w:szCs w:val="20"/>
        </w:rPr>
      </w:pPr>
      <w:r>
        <w:rPr>
          <w:rFonts w:cs="Times New Roman" w:ascii="Times New Roman" w:hAnsi="Times New Roman"/>
          <w:b/>
          <w:bCs/>
          <w:sz w:val="20"/>
          <w:szCs w:val="20"/>
        </w:rPr>
      </w:r>
    </w:p>
    <w:p>
      <w:pPr>
        <w:pStyle w:val="Normal"/>
        <w:spacing w:lineRule="auto" w:line="360" w:before="0" w:after="0"/>
        <w:jc w:val="both"/>
        <w:rPr>
          <w:rFonts w:ascii="Times New Roman" w:hAnsi="Times New Roman" w:cs="Times New Roman"/>
          <w:b/>
          <w:b/>
          <w:bCs/>
          <w:sz w:val="20"/>
          <w:szCs w:val="20"/>
        </w:rPr>
      </w:pPr>
      <w:r>
        <w:rPr>
          <w:rFonts w:cs="Times New Roman" w:ascii="Times New Roman" w:hAnsi="Times New Roman"/>
          <w:b/>
          <w:bCs/>
          <w:sz w:val="20"/>
          <w:szCs w:val="20"/>
        </w:rPr>
      </w:r>
    </w:p>
    <w:p>
      <w:pPr>
        <w:pStyle w:val="Normal"/>
        <w:spacing w:lineRule="auto" w:line="360" w:before="0" w:after="0"/>
        <w:jc w:val="both"/>
        <w:rPr>
          <w:rFonts w:ascii="Times New Roman" w:hAnsi="Times New Roman" w:cs="Times New Roman"/>
          <w:b/>
          <w:b/>
          <w:bCs/>
          <w:sz w:val="20"/>
          <w:szCs w:val="20"/>
        </w:rPr>
      </w:pPr>
      <w:r>
        <w:rPr>
          <w:rFonts w:cs="Times New Roman" w:ascii="Times New Roman" w:hAnsi="Times New Roman"/>
          <w:b/>
          <w:bCs/>
          <w:sz w:val="20"/>
          <w:szCs w:val="20"/>
        </w:rPr>
      </w:r>
    </w:p>
    <w:p>
      <w:pPr>
        <w:pStyle w:val="Normal"/>
        <w:spacing w:lineRule="auto" w:line="360" w:before="0" w:after="0"/>
        <w:jc w:val="both"/>
        <w:rPr>
          <w:rFonts w:ascii="Times New Roman" w:hAnsi="Times New Roman" w:cs="Times New Roman"/>
          <w:b/>
          <w:b/>
          <w:bCs/>
          <w:sz w:val="20"/>
          <w:szCs w:val="20"/>
        </w:rPr>
      </w:pPr>
      <w:r>
        <w:rPr>
          <w:rFonts w:cs="Times New Roman" w:ascii="Times New Roman" w:hAnsi="Times New Roman"/>
          <w:b/>
          <w:bCs/>
          <w:sz w:val="20"/>
          <w:szCs w:val="20"/>
        </w:rPr>
      </w:r>
    </w:p>
    <w:p>
      <w:pPr>
        <w:pStyle w:val="Normal"/>
        <w:spacing w:lineRule="auto" w:line="360" w:before="0" w:after="0"/>
        <w:jc w:val="both"/>
        <w:rPr>
          <w:rFonts w:ascii="Times New Roman" w:hAnsi="Times New Roman" w:cs="Times New Roman"/>
          <w:b/>
          <w:b/>
          <w:bCs/>
          <w:sz w:val="20"/>
          <w:szCs w:val="20"/>
        </w:rPr>
      </w:pPr>
      <w:r>
        <w:rPr>
          <w:rFonts w:cs="Times New Roman" w:ascii="Times New Roman" w:hAnsi="Times New Roman"/>
          <w:b/>
          <w:bCs/>
          <w:sz w:val="20"/>
          <w:szCs w:val="20"/>
        </w:rPr>
      </w:r>
    </w:p>
    <w:p>
      <w:pPr>
        <w:pStyle w:val="Normal"/>
        <w:spacing w:lineRule="auto" w:line="360" w:before="0" w:after="0"/>
        <w:jc w:val="both"/>
        <w:rPr>
          <w:rFonts w:ascii="Times New Roman" w:hAnsi="Times New Roman" w:cs="Times New Roman"/>
          <w:b/>
          <w:b/>
          <w:bCs/>
          <w:sz w:val="20"/>
          <w:szCs w:val="20"/>
        </w:rPr>
      </w:pPr>
      <w:r>
        <w:rPr>
          <w:rFonts w:cs="Times New Roman" w:ascii="Times New Roman" w:hAnsi="Times New Roman"/>
          <w:b/>
          <w:bCs/>
          <w:sz w:val="20"/>
          <w:szCs w:val="20"/>
        </w:rPr>
        <w:t>1. Introduction</w:t>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Earth observation satellites provide repeated measurements of ecosystems over spatial and temporal scales that field surveys alone cannot cover. Wetlands, which include lakes, are declining globally: where data are available, an estimated 35% of wetland area was lost between 1970 and 2015 (Ramsar Convention on Wetlands, 2018). Sentinel-2 multispectral imagery supports lake monitoring by capturing information about water, vegetation, and surface conditions. However, interpreting these observations to assess changes in lake ecosystems remains difficult, particularly where long-term field measurements are unavailable. EcoTwin addresses this limitation by representing lakes as numerical feature vectors derived from satellite imagery and identifying lakes with similar representations in a reference collection.</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The approach draws on analog-based forecasting, which uses historical states resembling the current state of a system to infer its subsequent behaviour (Lorenz, 1969; van den Dool, 1989). Finding sufficiently similar analogs within large historical datasets remains a recognised challenge (van den Dool, 1994). Structured analogies have also been used to identify and combine evidence from multiple historical cases (Green &amp; Armstrong, 2007). In lake monitoring, this approach raises a specific question: can the observed changes in historically comparable lakes provide useful evidence about the likely direction of change in a target lake when its own historical observations are limited?</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Geospatial foundation models offer a way to compare satellite observations through learned representations. Prithvi-EO-2.0 has demonstrated strong performance on downstream benchmark tasks (Szwarcman et al., 2024), while an independent evaluation of the original Prithvi model's domain adaptability across image-analysis tasks reported both strengths and limitations (Hsu et al., 2024). The use of AlphaEarth embeddings for supervised wetland classification also demonstrates the application of learned geospatial representations to ecological mapping (Ryan et al., 2026). These studies support the use of learned representations for analysing Earth observation data, but they do not establish whether such representations can identify lakes with comparable historical trajectories or provide reliable forecasts of environmental change.</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Single-year comparisons cannot distinguish lakes that have similar conditions at one point in time but subsequently follow different trajectories. EcoTwin therefore compares sequences of five consecutive annual lake embeddings rather than relying solely on individual-year representations. It retrieves candidate lakes with similar historical trajectories and uses the subsequent changes observed in those lakes to estimate the likely direction of change in the target lake. Geographic coordinates are not part of the similarity calculation, and every other lake in the cohort is a candidate; no geographic restriction is applied to candidate selection. This design separates the identification of comparable ecosystems from the assessment of whether their historical changes provide useful predictive information.</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Implementing this approach requires consistent processing of irregular lake boundaries, multiple imagery tiles, and incomplete satellite observations. EcoTwin uses HydroLAKES geometries and metadata to define lake areas and derives 768-dimensional embeddings using Prithvi-EO-1.0-100M from Sentinel-2 bands B2, B3, B4, B8A, B11, and B12 at 30 m, which correspond to the blue, green, red, narrow near-infrared, and two short-wave infrared Harmonized Landsat Sentinel-2 (HLS) bands on which the model was pre-trained. The model encodes only the image tokens that cover the lake polygon or a 500 m shoreline ring around it; the token embeddings are pooled into separate lake and shoreline vectors, which are blended into one normalised vector for each lake-year. Candidate windows are formed from consecutive annual records, and missing years are not interpolated. In the final dataset, missing lake-years occur only at the start of the record (2016 and 2017), so every window spans five consecutive calendar years. The framework also considers time-shifted trajectory matches and retains the contributing analogs and their matched historical windows for inspection.</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The directional outlook is based on changes in four indicators: the Normalised Difference Chlorophyll Index (NDCI), Normalised Difference Vegetation Index (NDVI), Normalised Difference Water Index (NDWI), and Normalised Difference Turbidity Index (NDTI). These indicators describe different aspects of lake and surrounding-surface conditions, but they do not provide direct or comprehensive measurements of ecosystem health. NDCI was developed as a chlorophyll-a proxy for turbid and productive waters, so its reliability may be lower in clear, low-productivity lakes such as Tso Morari (Mishra &amp; Mishra, 2012). NDVI is an established vegetation index (Huete et al., 2002; Pettorelli et al., 2005), and NDWI is an established index for delineating open water (McFeeters, 1996). Their interpretation must account for differences in lake characteristics and the environmental properties captured by each index. Consequently, EcoTwin's outputs indicate the expected direction of change in selected remote-sensing indicators rather than definitive changes in overall ecological condition.</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b/>
          <w:b/>
          <w:bCs/>
          <w:i/>
          <w:i/>
          <w:iCs/>
          <w:sz w:val="20"/>
          <w:szCs w:val="20"/>
        </w:rPr>
      </w:pPr>
      <w:r>
        <w:rPr>
          <w:rFonts w:cs="Times New Roman" w:ascii="Times New Roman" w:hAnsi="Times New Roman"/>
          <w:b/>
          <w:bCs/>
          <w:i/>
          <w:iCs/>
          <w:sz w:val="20"/>
          <w:szCs w:val="20"/>
        </w:rPr>
        <w:t>1.1 Hypothesis and Research Objectives</w:t>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This study tests the hypothesis that lakes with similar learned geospatial representations and historical trajectories can provide useful analogs for estimating the direction of subsequent environmental change in a target lake. The hypothesis distinguishes two tasks: retrieving lakes with comparable satellite-derived representations and evaluating whether their subsequent indicator changes provide predictive information about the target lake. The study evaluates 829 Indian lakes over 2016–2025 and uses five Ramsar sites to illustrate the framework's application. Each target trajectory ends at the latest observed year, 2025, which is the forecast origin; the outlook covers 2026–2028 and is therefore a prospective estimate, not a retrospectively validated prediction. The three-year horizon is a design choice dictated by the ten-year record, not a demonstrated limit of reliable forecasting. The study addresses three research questions: (i) can a geospatial foundation model retrieve spectrally comparable lakes without using geographic location as a similarity feature; (ii) do five-year trajectories provide a useful basis for identifying comparable lakes beyond single-year representations; and (iii) can historical changes in retrieved analogs support a three-year directional outlook that can be evaluated against observed changes?</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EcoTwin combines satellite-image processing, foundation-model embeddings, temporal analog retrieval, and environmental-index trajectories without training a separate predictive model for each lake. Its purpose is to identify potentially informative ecological comparisons and provide a transparent basis for further investigation. The usefulness of the resulting outlooks depends not only on the similarity of the retrieved lakes but also on whether their subsequent changes predict those of the target lake. Independent hindcasting is therefore necessary to assess predictive performance and establish the limits of the approach.</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b/>
          <w:b/>
          <w:bCs/>
          <w:sz w:val="20"/>
          <w:szCs w:val="20"/>
        </w:rPr>
      </w:pPr>
      <w:r>
        <w:rPr>
          <w:rFonts w:cs="Times New Roman" w:ascii="Times New Roman" w:hAnsi="Times New Roman"/>
          <w:b/>
          <w:bCs/>
          <w:sz w:val="20"/>
          <w:szCs w:val="20"/>
        </w:rPr>
        <w:t>2. Data and Methods</w:t>
      </w:r>
    </w:p>
    <w:p>
      <w:pPr>
        <w:pStyle w:val="Normal"/>
        <w:spacing w:lineRule="auto" w:line="360" w:before="0" w:after="0"/>
        <w:jc w:val="both"/>
        <w:rPr>
          <w:rFonts w:ascii="Times New Roman" w:hAnsi="Times New Roman" w:cs="Times New Roman"/>
          <w:b/>
          <w:b/>
          <w:bCs/>
          <w:sz w:val="20"/>
          <w:szCs w:val="20"/>
        </w:rPr>
      </w:pPr>
      <w:r>
        <w:rPr>
          <w:rFonts w:cs="Times New Roman" w:ascii="Times New Roman" w:hAnsi="Times New Roman"/>
          <w:b/>
          <w:bCs/>
          <w:sz w:val="20"/>
          <w:szCs w:val="20"/>
        </w:rPr>
        <w:t>2.1 Data Sources and Temporal Coverage</w:t>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EcoTwin combines lake boundaries and geographic attributes from HydroLAKES (Messager et al., 2016) with multispectral satellite observations from Sentinel-2 (European Space Agency, n.d.). HydroLAKES provides the geometries used to extract lake-specific observations and the associated attributes used to describe the study lakes. The database retains the lake identifier, name, country, geometry, area, elevation, pour-point, type, depth, volume, and watershed area. The analysis covers all 829 HydroLAKES polygons in India with an area of at least 2 km²; no lake meeting this threshold was excluded. The threshold was chosen to keep imagery acquisition, embedding generation, and data storage within the available Google Earth Engine and computational resources.</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Sentinel-2 imagery provides the primary remote-sensing input. Image filtering, compositing, and export were performed in Google Earth Engine (Gorelick et al., 2017) using the harmonized Level-2A surface-reflectance collection for every year; no Level-1C imagery is used. The analysis covers 2016–2025, extending the initial acquisition period of 2018–2025 to include earlier observations. Of the 8,290 possible lake-years (829 lakes × 10 years), 8,268 have a complete record: 816 in 2016, 820 in 2017, and all 829 in each year from 2018 to 2025 (Table 1). Of the 22 missing lake-years, 19 have no Sentinel-2 surface-reflectance scenes in Earth Engine (coastal lakes in Tamil Nadu and Puducherry; 11 in 2016 and 8 in 2017), and 3 had fewer than the 100 cloud-free lake pixels required for an embedding and were excluded. Missing lake-years are left absent rather than interpolated, because temporal analog retrieval requires five consecutive annual observations.</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The Prithvi embedding pipeline uses six Sentinel-2 bands: B2 (blue), B3 (green), B4 (red), B8A (narrow near-infrared), B11, and B12 (short-wave infrared). Prithvi-EO-1.0 was pre-trained on HLS Landsat-numbered bands B02–B07 (blue, green, red, narrow near-infrared, SWIR1, and SWIR2); B8A, B11, and B12 are their Sentinel-2 equivalents. Sentinel-2 bands B5–B7 are red-edge bands and B8 is broad near-infrared; none of these is part of the model input. An earlier version of the pipeline supplied B2–B7 to the model, which placed red-edge bands in the near-infrared and short-wave infrared input positions; all embeddings reported here were regenerated with the corrected band set. A single 12-band annual image per lake-year (B1–B8, B8A, B11, B12, and a per-pixel count of cloud-free observations) now serves both the embeddings and the spectral-index calculations, so the two procedures use the same observations and cloud mask.</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b/>
          <w:b/>
          <w:bCs/>
          <w:sz w:val="20"/>
          <w:szCs w:val="20"/>
        </w:rPr>
      </w:pPr>
      <w:r>
        <w:rPr>
          <w:rFonts w:cs="Times New Roman" w:ascii="Times New Roman" w:hAnsi="Times New Roman"/>
          <w:b/>
          <w:bCs/>
          <w:sz w:val="20"/>
          <w:szCs w:val="20"/>
        </w:rPr>
        <w:t>2.2 Environmental Indices</w:t>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EcoTwin calculates four spectral indicators from lake-level reflectance statistics: the Normalized Difference Chlorophyll Index (NDCI), Normalized Difference Vegetation Index (NDVI), Normalized Difference Water Index (NDWI), and Normalized Difference Turbidity Index (NDTI) (Table 2). Each indicator captures a different spectral property and should be interpreted accordingly. NDCI serves as a proxy for chlorophyll-a-related conditions (Mishra &amp; Mishra, 2012); NDVI characterizes vegetation signals, including potential signals from aquatic and floating vegetation (Huete et al., 2002; Pettorelli et al., 2005); NDWI characterizes open water through the contrast between green and near-infrared reflectance (McFeeters, 1996); and NDTI provides a relative indicator associated with suspended material and turbidity (Lacaux et al., 2007).</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The index-processing pipeline initially substituted band B7 for B8 in the NDVI and NDWI calculations because the imagery prepared for the embedding pipeline contained only B2–B7, and B8 statistics were later added through a separate Earth Engine pass. In the final pipeline, B8 is part of the same annual composite as every other band, and all NDVI and NDWI values reported in this paper use B8. No B7-based values are retained or combined with the final results.</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All four indicators are calculated by app/services/index_calculator.py from the mean reflectance of each band over the cloud-free 30 m pixels inside the lake polygon; shoreline pixels are excluded from these statistics. When a required input band is unavailable, the function returns a missing value rather than assigning a default. NDTI is treated as a relative, qualitative indicator of turbidity, not as a calibrated estimate of suspended-sediment concentration, and its interpretation is restricted to water surfaces.</w:t>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A lake-year receives an embedding when all imagery tiles for its annual composite have been downloaded and merged, at least 100 lake pixels (about 9 ha) are cloud-free, and model encoding succeeds. Processing status is recorded for each tile and lake-year, and each stage skips lake-years whose outputs are already present and current, so an interrupted run can resume without repeating completed work. Lake-years with no usable imagery have no embedding or feature record and are therefore absent rather than marked as failed embeddings.</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b/>
          <w:b/>
          <w:bCs/>
          <w:sz w:val="20"/>
          <w:szCs w:val="20"/>
        </w:rPr>
      </w:pPr>
      <w:r>
        <w:rPr>
          <w:rFonts w:cs="Times New Roman" w:ascii="Times New Roman" w:hAnsi="Times New Roman"/>
          <w:b/>
          <w:bCs/>
          <w:sz w:val="20"/>
          <w:szCs w:val="20"/>
        </w:rPr>
        <w:t>3. Methodology</w:t>
      </w:r>
    </w:p>
    <w:p>
      <w:pPr>
        <w:pStyle w:val="Normal"/>
        <w:spacing w:lineRule="auto" w:line="360" w:before="0" w:after="0"/>
        <w:jc w:val="both"/>
        <w:rPr>
          <w:rFonts w:ascii="Times New Roman" w:hAnsi="Times New Roman" w:cs="Times New Roman"/>
          <w:b/>
          <w:b/>
          <w:bCs/>
          <w:sz w:val="20"/>
          <w:szCs w:val="20"/>
        </w:rPr>
      </w:pPr>
      <w:r>
        <w:rPr>
          <w:rFonts w:cs="Times New Roman" w:ascii="Times New Roman" w:hAnsi="Times New Roman"/>
          <w:b/>
          <w:bCs/>
          <w:sz w:val="20"/>
          <w:szCs w:val="20"/>
        </w:rPr>
        <w:t>3.1 Imagery Acquisition and Preprocessing</w:t>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EcoTwin uses a sequential offline pipeline to convert satellite observations into lake-level representations for temporal similarity search. The workflow comprises six stages: lake synchronisation, imagery acquisition, tile merging, embedding generation, embedding re-blending, and lake-feature generation (Figure 1). Each stage is launched through an API call that runs as a background job and records its progress in the database. Because every stage skips lake-years whose outputs are already present and current, processing can resume after an interruption without repeating completed operations or retrieving imagery that is already available locally.</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The pipeline first retrieves the target lake polygon from PostGIS and validates its geometry. A buffer of 3,500 m is applied around the lake boundary so that the encoder windows, which span 6.72 km, include the surrounding shoreline and landscape context. The buffered polygon, simplified at 30 m, defines the area requested from Earth Engine; it is divided into tiles of up to 25 km that are trimmed to the buffered shape, keeping each request below Earth Engine's download limit. All tiles and years are exported on one fixed global 30 m grid, so tiles merge without resampling and a lake's pixels align exactly across years. Depending on its size and shape, a lake may intersect one or more tiles.</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For each lake-year combination, the pipeline queries the Sentinel-2 harmonized surface-reflectance collection (COPERNICUS/S2_SR_HARMONIZED). Scenes with reported cloud cover of 20% or more are excluded. Unusable pixels are then masked with Cloud Score+ (cs_cdf ≥ 0.6 retained) together with the scene-classification classes for saturated pixels and snow or ice; the snow and ice mask also removes frozen surfaces, which affects high-altitude lakes such as Tso Morari in winter. The remaining observations are combined into an annual median composite for each pixel and spectral band:</w:t>
      </w:r>
    </w:p>
    <w:p>
      <w:pPr>
        <w:pStyle w:val="Normal"/>
        <w:spacing w:lineRule="auto" w:line="360" w:before="0" w:after="0"/>
        <w:jc w:val="center"/>
        <w:rPr>
          <w:rFonts w:ascii="Times New Roman" w:hAnsi="Times New Roman" w:cs="Times New Roman"/>
          <w:sz w:val="20"/>
          <w:szCs w:val="20"/>
        </w:rPr>
      </w:pPr>
      <w:r>
        <w:rPr/>
      </w:r>
      <m:oMathPara xmlns:m="http://schemas.openxmlformats.org/officeDocument/2006/math">
        <m:oMathParaPr>
          <m:jc m:val="center"/>
        </m:oMathParaPr>
        <m:oMath>
          <m:sSub>
            <m:e>
              <m:r>
                <w:rPr>
                  <w:rFonts w:ascii="Cambria Math" w:hAnsi="Cambria Math"/>
                </w:rPr>
                <m:t xml:space="preserve">I</m:t>
              </m:r>
            </m:e>
            <m:sub>
              <m:r>
                <w:rPr>
                  <w:rFonts w:ascii="Cambria Math" w:hAnsi="Cambria Math"/>
                </w:rPr>
                <m:t xml:space="preserve">annual</m:t>
              </m:r>
              <m:r>
                <w:rPr>
                  <w:rFonts w:ascii="Cambria Math" w:hAnsi="Cambria Math"/>
                </w:rPr>
                <m:t xml:space="preserve">,</m:t>
              </m:r>
              <m:r>
                <w:rPr>
                  <w:rFonts w:ascii="Cambria Math" w:hAnsi="Cambria Math"/>
                </w:rPr>
                <m:t xml:space="preserve">y</m:t>
              </m:r>
            </m:sub>
          </m:sSub>
          <m:d>
            <m:dPr>
              <m:begChr m:val="("/>
              <m:endChr m:val=")"/>
            </m:dPr>
            <m:e>
              <m:r>
                <w:rPr>
                  <w:rFonts w:ascii="Cambria Math" w:hAnsi="Cambria Math"/>
                </w:rPr>
                <m:t xml:space="preserve">p</m:t>
              </m:r>
              <m:r>
                <w:rPr>
                  <w:rFonts w:ascii="Cambria Math" w:hAnsi="Cambria Math"/>
                </w:rPr>
                <m:t xml:space="preserve">,</m:t>
              </m:r>
              <m:r>
                <w:rPr>
                  <w:rFonts w:ascii="Cambria Math" w:hAnsi="Cambria Math"/>
                </w:rPr>
                <m:t xml:space="preserve">b</m:t>
              </m:r>
            </m:e>
          </m:d>
          <m:r>
            <w:rPr>
              <w:rFonts w:ascii="Cambria Math" w:hAnsi="Cambria Math"/>
            </w:rPr>
            <m:t xml:space="preserve">=</m:t>
          </m:r>
          <m:sSub>
            <m:e>
              <m:sSub>
                <m:e>
                  <m:r>
                    <w:rPr>
                      <w:rFonts w:ascii="Cambria Math" w:hAnsi="Cambria Math"/>
                    </w:rPr>
                    <m:t xml:space="preserve">median</m:t>
                  </m:r>
                </m:e>
                <m:sub>
                  <m:r>
                    <w:rPr>
                      <w:rFonts w:ascii="Cambria Math" w:hAnsi="Cambria Math"/>
                    </w:rPr>
                    <m:t xml:space="preserve">s</m:t>
                  </m:r>
                  <m:r>
                    <w:rPr>
                      <w:rFonts w:ascii="Cambria Math" w:hAnsi="Cambria Math"/>
                    </w:rPr>
                    <m:t xml:space="preserve">∈</m:t>
                  </m:r>
                  <m:sSub>
                    <m:e>
                      <m:r>
                        <w:rPr>
                          <w:rFonts w:ascii="Cambria Math" w:hAnsi="Cambria Math"/>
                        </w:rPr>
                        <m:t xml:space="preserve">S</m:t>
                      </m:r>
                    </m:e>
                    <m:sub>
                      <m:r>
                        <w:rPr>
                          <w:rFonts w:ascii="Cambria Math" w:hAnsi="Cambria Math"/>
                        </w:rPr>
                        <m:t xml:space="preserve">y</m:t>
                      </m:r>
                    </m:sub>
                  </m:sSub>
                </m:sub>
              </m:sSub>
              <m:r>
                <w:rPr>
                  <w:rFonts w:ascii="Cambria Math" w:hAnsi="Cambria Math"/>
                </w:rPr>
                <m:t xml:space="preserve">I</m:t>
              </m:r>
            </m:e>
            <m:sub>
              <m:r>
                <w:rPr>
                  <w:rFonts w:ascii="Cambria Math" w:hAnsi="Cambria Math"/>
                </w:rPr>
                <m:t xml:space="preserve">s</m:t>
              </m:r>
            </m:sub>
          </m:sSub>
          <m:d>
            <m:dPr>
              <m:begChr m:val="("/>
              <m:endChr m:val=")"/>
            </m:dPr>
            <m:e>
              <m:r>
                <w:rPr>
                  <w:rFonts w:ascii="Cambria Math" w:hAnsi="Cambria Math"/>
                </w:rPr>
                <m:t xml:space="preserve">p</m:t>
              </m:r>
              <m:r>
                <w:rPr>
                  <w:rFonts w:ascii="Cambria Math" w:hAnsi="Cambria Math"/>
                </w:rPr>
                <m:t xml:space="preserve">,</m:t>
              </m:r>
              <m:r>
                <w:rPr>
                  <w:rFonts w:ascii="Cambria Math" w:hAnsi="Cambria Math"/>
                </w:rPr>
                <m:t xml:space="preserve">b</m:t>
              </m:r>
            </m:e>
          </m:d>
        </m:oMath>
      </m:oMathPara>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 xml:space="preserve">where </w:t>
      </w:r>
      <w:r>
        <w:rPr/>
      </w:r>
      <m:oMath xmlns:m="http://schemas.openxmlformats.org/officeDocument/2006/math">
        <m:sSub>
          <m:e>
            <m:r>
              <w:rPr>
                <w:rFonts w:ascii="Cambria Math" w:hAnsi="Cambria Math"/>
              </w:rPr>
              <m:t xml:space="preserve">I</m:t>
            </m:r>
          </m:e>
          <m:sub>
            <m:r>
              <w:rPr>
                <w:rFonts w:ascii="Cambria Math" w:hAnsi="Cambria Math"/>
              </w:rPr>
              <m:t xml:space="preserve">annual</m:t>
            </m:r>
            <m:r>
              <w:rPr>
                <w:rFonts w:ascii="Cambria Math" w:hAnsi="Cambria Math"/>
              </w:rPr>
              <m:t xml:space="preserve">,</m:t>
            </m:r>
            <m:r>
              <w:rPr>
                <w:rFonts w:ascii="Cambria Math" w:hAnsi="Cambria Math"/>
              </w:rPr>
              <m:t xml:space="preserve">y</m:t>
            </m:r>
          </m:sub>
        </m:sSub>
        <m:d>
          <m:dPr>
            <m:begChr m:val="("/>
            <m:endChr m:val=")"/>
          </m:dPr>
          <m:e>
            <m:r>
              <w:rPr>
                <w:rFonts w:ascii="Cambria Math" w:hAnsi="Cambria Math"/>
              </w:rPr>
              <m:t xml:space="preserve">p</m:t>
            </m:r>
            <m:r>
              <w:rPr>
                <w:rFonts w:ascii="Cambria Math" w:hAnsi="Cambria Math"/>
              </w:rPr>
              <m:t xml:space="preserve">,</m:t>
            </m:r>
            <m:r>
              <w:rPr>
                <w:rFonts w:ascii="Cambria Math" w:hAnsi="Cambria Math"/>
              </w:rPr>
              <m:t xml:space="preserve">b</m:t>
            </m:r>
          </m:e>
        </m:d>
      </m:oMath>
      <w:r>
        <w:rPr>
          <w:rFonts w:cs="Times New Roman" w:ascii="Times New Roman" w:hAnsi="Times New Roman"/>
          <w:sz w:val="20"/>
          <w:szCs w:val="20"/>
        </w:rPr>
        <w:t xml:space="preserve"> denotes the annual median reflectance for pixel p, band b, and year y, </w:t>
      </w:r>
      <w:r>
        <w:rPr/>
      </w:r>
      <m:oMath xmlns:m="http://schemas.openxmlformats.org/officeDocument/2006/math">
        <m:sSub>
          <m:e>
            <m:r>
              <w:rPr>
                <w:rFonts w:ascii="Cambria Math" w:hAnsi="Cambria Math"/>
              </w:rPr>
              <m:t xml:space="preserve">I</m:t>
            </m:r>
          </m:e>
          <m:sub>
            <m:r>
              <w:rPr>
                <w:rFonts w:ascii="Cambria Math" w:hAnsi="Cambria Math"/>
              </w:rPr>
              <m:t xml:space="preserve">s</m:t>
            </m:r>
          </m:sub>
        </m:sSub>
        <m:d>
          <m:dPr>
            <m:begChr m:val="("/>
            <m:endChr m:val=")"/>
          </m:dPr>
          <m:e>
            <m:r>
              <w:rPr>
                <w:rFonts w:ascii="Cambria Math" w:hAnsi="Cambria Math"/>
              </w:rPr>
              <m:t xml:space="preserve">p</m:t>
            </m:r>
            <m:r>
              <w:rPr>
                <w:rFonts w:ascii="Cambria Math" w:hAnsi="Cambria Math"/>
              </w:rPr>
              <m:t xml:space="preserve">,</m:t>
            </m:r>
            <m:r>
              <w:rPr>
                <w:rFonts w:ascii="Cambria Math" w:hAnsi="Cambria Math"/>
              </w:rPr>
              <m:t xml:space="preserve">b</m:t>
            </m:r>
          </m:e>
        </m:d>
      </m:oMath>
      <w:r>
        <w:rPr>
          <w:rFonts w:cs="Times New Roman" w:ascii="Times New Roman" w:hAnsi="Times New Roman"/>
          <w:sz w:val="20"/>
          <w:szCs w:val="20"/>
        </w:rPr>
        <w:t>denotes the corresponding reflectance in observation s; and S</w:t>
      </w:r>
      <w:r>
        <w:rPr>
          <w:rFonts w:cs="Times New Roman" w:ascii="Times New Roman" w:hAnsi="Times New Roman"/>
          <w:sz w:val="20"/>
          <w:szCs w:val="20"/>
          <w:vertAlign w:val="subscript"/>
        </w:rPr>
        <w:t>y</w:t>
      </w:r>
      <w:r>
        <w:rPr>
          <w:rFonts w:cs="Times New Roman" w:ascii="Times New Roman" w:hAnsi="Times New Roman"/>
          <w:sz w:val="20"/>
          <w:szCs w:val="20"/>
        </w:rPr>
        <w:t xml:space="preserve"> is the set of usable observations for that year. The composite is clipped to the requested extent and exported at 30 m as a 12-band unsigned 16-bit GeoTIFF (reflectance × 10,000, with 65,535 marking missing data), including a band that records the number of cloud-free observations used for each pixel.</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Each imagery tile is associated with metadata containing the lake identifier, year, tile index, bounding box, local file path, and processing status. Before submitting a new Earth Engine request, the pipeline checks whether the corresponding tile has already been processed. A lake-year is merged only when all of its tiles are complete; Rasterio then combines them into a single raster, with the missing-data value passed explicitly so that one tile's fill cannot overwrite a neighbour's valid pixels. The resulting raster provides a consistent input for both lake-feature and embedding generation.</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b/>
          <w:b/>
          <w:bCs/>
          <w:sz w:val="20"/>
          <w:szCs w:val="20"/>
        </w:rPr>
      </w:pPr>
      <w:r>
        <w:rPr>
          <w:rFonts w:cs="Times New Roman" w:ascii="Times New Roman" w:hAnsi="Times New Roman"/>
          <w:b/>
          <w:bCs/>
          <w:sz w:val="20"/>
          <w:szCs w:val="20"/>
        </w:rPr>
        <w:t>3.2 Lake and Shoreline Embeddings</w:t>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 xml:space="preserve">The merged 30 m raster is divided into windows of 224 × 224 pixels (6.72 km), the input size of Prithvi-EO-1.0-100M, and each window forms a 14 × 14 grid of 16-pixel (480 m) tokens. Two regions are defined from the lake polygon: the lake region, containing pixels whose centres lie inside the polygon, and the shore region, containing pixels within 500 m outside it. For each token </w:t>
      </w:r>
      <w:r>
        <w:rPr/>
      </w:r>
      <m:oMath xmlns:m="http://schemas.openxmlformats.org/officeDocument/2006/math">
        <m:r>
          <w:rPr>
            <w:rFonts w:ascii="Cambria Math" w:hAnsi="Cambria Math"/>
          </w:rPr>
          <m:t xml:space="preserve">t</m:t>
        </m:r>
      </m:oMath>
      <w:r>
        <w:rPr>
          <w:rFonts w:cs="Times New Roman" w:ascii="Times New Roman" w:hAnsi="Times New Roman"/>
          <w:sz w:val="20"/>
          <w:szCs w:val="20"/>
        </w:rPr>
        <w:t xml:space="preserve">, the pipeline records the fraction of its pixels that are cloud-free lake pixels, </w:t>
      </w:r>
      <w:r>
        <w:rPr/>
      </w:r>
      <m:oMath xmlns:m="http://schemas.openxmlformats.org/officeDocument/2006/math">
        <m:sSub>
          <m:e>
            <m:r>
              <w:rPr>
                <w:rFonts w:ascii="Cambria Math" w:hAnsi="Cambria Math"/>
              </w:rPr>
              <m:t xml:space="preserve">a</m:t>
            </m:r>
          </m:e>
          <m:sub>
            <m:r>
              <w:rPr>
                <w:rFonts w:ascii="Cambria Math" w:hAnsi="Cambria Math"/>
              </w:rPr>
              <m:t xml:space="preserve">t</m:t>
            </m:r>
          </m:sub>
        </m:sSub>
      </m:oMath>
      <w:r>
        <w:rPr>
          <w:rFonts w:cs="Times New Roman" w:ascii="Times New Roman" w:hAnsi="Times New Roman"/>
          <w:sz w:val="20"/>
          <w:szCs w:val="20"/>
        </w:rPr>
        <w:t xml:space="preserve">, and the fraction that are cloud-free shore pixels, </w:t>
      </w:r>
      <w:r>
        <w:rPr/>
      </w:r>
      <m:oMath xmlns:m="http://schemas.openxmlformats.org/officeDocument/2006/math">
        <m:sSub>
          <m:e>
            <m:r>
              <w:rPr>
                <w:rFonts w:ascii="Cambria Math" w:hAnsi="Cambria Math"/>
              </w:rPr>
              <m:t xml:space="preserve">b</m:t>
            </m:r>
          </m:e>
          <m:sub>
            <m:r>
              <w:rPr>
                <w:rFonts w:ascii="Cambria Math" w:hAnsi="Cambria Math"/>
              </w:rPr>
              <m:t xml:space="preserve">t</m:t>
            </m:r>
          </m:sub>
        </m:sSub>
      </m:oMath>
      <w:r>
        <w:rPr>
          <w:rFonts w:cs="Times New Roman" w:ascii="Times New Roman" w:hAnsi="Times New Roman"/>
          <w:sz w:val="20"/>
          <w:szCs w:val="20"/>
        </w:rPr>
        <w:t xml:space="preserve">. Only tokens with </w:t>
      </w:r>
      <w:r>
        <w:rPr/>
      </w:r>
      <m:oMath xmlns:m="http://schemas.openxmlformats.org/officeDocument/2006/math">
        <m:sSub>
          <m:e>
            <m:r>
              <w:rPr>
                <w:rFonts w:ascii="Cambria Math" w:hAnsi="Cambria Math"/>
              </w:rPr>
              <m:t xml:space="preserve">a</m:t>
            </m:r>
          </m:e>
          <m:sub>
            <m:r>
              <w:rPr>
                <w:rFonts w:ascii="Cambria Math" w:hAnsi="Cambria Math"/>
              </w:rPr>
              <m:t xml:space="preserve">t</m:t>
            </m:r>
          </m:sub>
        </m:sSub>
        <m:r>
          <w:rPr>
            <w:rFonts w:ascii="Cambria Math" w:hAnsi="Cambria Math"/>
          </w:rPr>
          <m:t xml:space="preserve">&gt;</m:t>
        </m:r>
        <m:r>
          <w:rPr>
            <w:rFonts w:ascii="Cambria Math" w:hAnsi="Cambria Math"/>
          </w:rPr>
          <m:t xml:space="preserve">0</m:t>
        </m:r>
      </m:oMath>
      <w:r>
        <w:rPr>
          <w:rFonts w:cs="Times New Roman" w:ascii="Times New Roman" w:hAnsi="Times New Roman"/>
          <w:sz w:val="20"/>
          <w:szCs w:val="20"/>
        </w:rPr>
        <w:t xml:space="preserve"> or </w:t>
      </w:r>
      <w:r>
        <w:rPr/>
      </w:r>
      <m:oMath xmlns:m="http://schemas.openxmlformats.org/officeDocument/2006/math">
        <m:sSub>
          <m:e>
            <m:r>
              <w:rPr>
                <w:rFonts w:ascii="Cambria Math" w:hAnsi="Cambria Math"/>
              </w:rPr>
              <m:t xml:space="preserve">b</m:t>
            </m:r>
          </m:e>
          <m:sub>
            <m:r>
              <w:rPr>
                <w:rFonts w:ascii="Cambria Math" w:hAnsi="Cambria Math"/>
              </w:rPr>
              <m:t xml:space="preserve">t</m:t>
            </m:r>
          </m:sub>
        </m:sSub>
        <m:r>
          <w:rPr>
            <w:rFonts w:ascii="Cambria Math" w:hAnsi="Cambria Math"/>
          </w:rPr>
          <m:t xml:space="preserve">&gt;</m:t>
        </m:r>
        <m:r>
          <w:rPr>
            <w:rFonts w:ascii="Cambria Math" w:hAnsi="Cambria Math"/>
          </w:rPr>
          <m:t xml:space="preserve">0</m:t>
        </m:r>
      </m:oMath>
      <w:r>
        <w:rPr>
          <w:rFonts w:cs="Times New Roman" w:ascii="Times New Roman" w:hAnsi="Times New Roman"/>
          <w:sz w:val="20"/>
          <w:szCs w:val="20"/>
        </w:rPr>
        <w:t xml:space="preserve"> are passed to the encoder; omitting the remaining tokens is consistent with the model's masked-autoencoder pre-training, in which the encoder processes a subset of tokens.</w:t>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The 500 m ring was chosen from three considerations. In the JRC Global Surface Water record for the 829 lakes, the proportion of area just outside the HydroLAKES polygon that was ever water falls from 41% within 250 m to 10% between 250 and 500 m and 2–5% beyond, so the fluctuation zone of the lake itself ends at about 500 m. Near-shore land-use effects on lake water quality are most often reported at distances of 100–500 m. Finally, at 30 m a token is 480 m wide, so 500 m is the narrowest ring that forms a distinct region.</w:t>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Before inference, the six model bands are extracted from each window and scaled with Prithvi's per-band training mean and standard deviation; missing pixels are filled with the band's training mean, which becomes zero after scaling, as in the model's reference inference code (NASA and IBM, n.d.). Each window is supplied as a single annual frame, and the pre-trained encoder is used in evaluation mode without fine-tuning and without random masking.</w:t>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 xml:space="preserve">For each encoded token </w:t>
      </w:r>
      <w:r>
        <w:rPr/>
      </w:r>
      <m:oMath xmlns:m="http://schemas.openxmlformats.org/officeDocument/2006/math">
        <m:r>
          <w:rPr>
            <w:rFonts w:ascii="Cambria Math" w:hAnsi="Cambria Math"/>
          </w:rPr>
          <m:t xml:space="preserve">t</m:t>
        </m:r>
      </m:oMath>
      <w:r>
        <w:rPr>
          <w:rFonts w:cs="Times New Roman" w:ascii="Times New Roman" w:hAnsi="Times New Roman"/>
          <w:sz w:val="20"/>
          <w:szCs w:val="20"/>
        </w:rPr>
        <w:t>, the model produces a 768-dimensional feature vector:</w:t>
      </w:r>
    </w:p>
    <w:p>
      <w:pPr>
        <w:pStyle w:val="Normal"/>
        <w:spacing w:lineRule="auto" w:line="360" w:before="0" w:after="0"/>
        <w:jc w:val="center"/>
        <w:rPr>
          <w:rFonts w:ascii="Times New Roman" w:hAnsi="Times New Roman" w:cs="Times New Roman"/>
          <w:sz w:val="20"/>
          <w:szCs w:val="20"/>
        </w:rPr>
      </w:pPr>
      <w:r>
        <w:rPr/>
      </w:r>
      <m:oMathPara xmlns:m="http://schemas.openxmlformats.org/officeDocument/2006/math">
        <m:oMathParaPr>
          <m:jc m:val="center"/>
        </m:oMathParaPr>
        <m:oMath>
          <m:sSub>
            <m:e>
              <m:r>
                <w:rPr>
                  <w:rFonts w:ascii="Cambria Math" w:hAnsi="Cambria Math"/>
                </w:rPr>
                <m:t xml:space="preserve">v</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f</m:t>
              </m:r>
            </m:e>
            <m:sub>
              <m:r>
                <w:rPr>
                  <w:rFonts w:ascii="Cambria Math" w:hAnsi="Cambria Math"/>
                </w:rPr>
                <m:t xml:space="preserve">Prithvi</m:t>
              </m:r>
            </m:sub>
          </m:sSub>
          <m:sSub>
            <m:e>
              <m:d>
                <m:dPr>
                  <m:begChr m:val="("/>
                  <m:endChr m:val=")"/>
                </m:dPr>
                <m:e>
                  <m:sSub>
                    <m:e>
                      <m:r>
                        <w:rPr>
                          <w:rFonts w:ascii="Cambria Math" w:hAnsi="Cambria Math"/>
                        </w:rPr>
                        <m:t xml:space="preserve">X</m:t>
                      </m:r>
                    </m:e>
                    <m:sub>
                      <m:r>
                        <w:rPr>
                          <w:rFonts w:ascii="Cambria Math" w:hAnsi="Cambria Math"/>
                        </w:rPr>
                        <m:t xml:space="preserve">w</m:t>
                      </m:r>
                    </m:sub>
                  </m:sSub>
                </m:e>
              </m:d>
            </m:e>
            <m:sub>
              <m:r>
                <w:rPr>
                  <w:rFonts w:ascii="Cambria Math" w:hAnsi="Cambria Math"/>
                </w:rPr>
                <m:t xml:space="preserve">t</m:t>
              </m:r>
            </m:sub>
          </m:sSub>
          <m:r>
            <w:rPr>
              <w:rFonts w:ascii="Cambria Math" w:hAnsi="Cambria Math"/>
            </w:rPr>
            <m:t xml:space="preserve">∈</m:t>
          </m:r>
          <m:sSup>
            <m:e>
              <m:r>
                <w:rPr>
                  <w:rFonts w:ascii="Cambria Math" w:hAnsi="Cambria Math"/>
                </w:rPr>
                <m:t xml:space="preserve">R</m:t>
              </m:r>
            </m:e>
            <m:sup>
              <m:r>
                <w:rPr>
                  <w:rFonts w:ascii="Cambria Math" w:hAnsi="Cambria Math"/>
                </w:rPr>
                <m:t xml:space="preserve">768</m:t>
              </m:r>
            </m:sup>
          </m:sSup>
        </m:oMath>
      </m:oMathPara>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 xml:space="preserve">where </w:t>
      </w:r>
      <w:r>
        <w:rPr/>
      </w:r>
      <m:oMath xmlns:m="http://schemas.openxmlformats.org/officeDocument/2006/math">
        <m:sSub>
          <m:e>
            <m:r>
              <w:rPr>
                <w:rFonts w:ascii="Cambria Math" w:hAnsi="Cambria Math"/>
              </w:rPr>
              <m:t xml:space="preserve">X</m:t>
            </m:r>
          </m:e>
          <m:sub>
            <m:r>
              <w:rPr>
                <w:rFonts w:ascii="Cambria Math" w:hAnsi="Cambria Math"/>
              </w:rPr>
              <m:t xml:space="preserve">w</m:t>
            </m:r>
          </m:sub>
        </m:sSub>
      </m:oMath>
      <w:r>
        <w:rPr>
          <w:rFonts w:cs="Times New Roman" w:ascii="Times New Roman" w:hAnsi="Times New Roman"/>
          <w:sz w:val="20"/>
          <w:szCs w:val="20"/>
        </w:rPr>
        <w:t xml:space="preserve"> is the prepared six-band window containing token </w:t>
      </w:r>
      <w:r>
        <w:rPr/>
      </w:r>
      <m:oMath xmlns:m="http://schemas.openxmlformats.org/officeDocument/2006/math">
        <m:r>
          <w:rPr>
            <w:rFonts w:ascii="Cambria Math" w:hAnsi="Cambria Math"/>
          </w:rPr>
          <m:t xml:space="preserve">t</m:t>
        </m:r>
      </m:oMath>
      <w:r>
        <w:rPr>
          <w:rFonts w:cs="Times New Roman" w:ascii="Times New Roman" w:hAnsi="Times New Roman"/>
          <w:sz w:val="20"/>
          <w:szCs w:val="20"/>
        </w:rPr>
        <w:t xml:space="preserve"> and </w:t>
      </w:r>
      <w:r>
        <w:rPr/>
      </w:r>
      <m:oMath xmlns:m="http://schemas.openxmlformats.org/officeDocument/2006/math">
        <m:sSub>
          <m:e>
            <m:r>
              <w:rPr>
                <w:rFonts w:ascii="Cambria Math" w:hAnsi="Cambria Math"/>
              </w:rPr>
              <m:t xml:space="preserve">f</m:t>
            </m:r>
          </m:e>
          <m:sub>
            <m:r>
              <w:rPr>
                <w:rFonts w:ascii="Cambria Math" w:hAnsi="Cambria Math"/>
              </w:rPr>
              <m:t xml:space="preserve">Prithvi</m:t>
            </m:r>
          </m:sub>
        </m:sSub>
      </m:oMath>
      <w:r>
        <w:rPr>
          <w:rFonts w:cs="Times New Roman" w:ascii="Times New Roman" w:hAnsi="Times New Roman"/>
          <w:sz w:val="20"/>
          <w:szCs w:val="20"/>
        </w:rPr>
        <w:t xml:space="preserve"> denotes the encoder. Inference runs on CPU and takes about 0.2–4 s per lake-year, depending on lake size. The token vectors are pooled separately over the lake and shore regions, weighted by each token's share of cloud-free lake or shore pixels:</w:t>
      </w:r>
    </w:p>
    <w:p>
      <w:pPr>
        <w:pStyle w:val="Normal"/>
        <w:spacing w:lineRule="auto" w:line="360" w:before="0" w:after="0"/>
        <w:jc w:val="center"/>
        <w:rPr>
          <w:rFonts w:ascii="Times New Roman" w:hAnsi="Times New Roman" w:eastAsia="" w:cs="Times New Roman" w:eastAsiaTheme="minorEastAsia"/>
          <w:sz w:val="20"/>
          <w:szCs w:val="20"/>
        </w:rPr>
      </w:pPr>
      <w:r>
        <w:rPr/>
      </w:r>
      <m:oMathPara xmlns:m="http://schemas.openxmlformats.org/officeDocument/2006/math">
        <m:oMathParaPr>
          <m:jc m:val="center"/>
        </m:oMathParaPr>
        <m:oMath>
          <m:sSub>
            <m:e>
              <m:r>
                <w:rPr>
                  <w:rFonts w:ascii="Cambria Math" w:hAnsi="Cambria Math"/>
                </w:rPr>
                <m:t xml:space="preserve">l</m:t>
              </m:r>
            </m:e>
            <m:sub>
              <m:r>
                <w:rPr>
                  <w:rFonts w:ascii="Cambria Math" w:hAnsi="Cambria Math"/>
                </w:rPr>
                <m:t xml:space="preserve">L</m:t>
              </m:r>
              <m:r>
                <w:rPr>
                  <w:rFonts w:ascii="Cambria Math" w:hAnsi="Cambria Math"/>
                </w:rPr>
                <m:t xml:space="preserve">,</m:t>
              </m:r>
              <m:r>
                <w:rPr>
                  <w:rFonts w:ascii="Cambria Math" w:hAnsi="Cambria Math"/>
                </w:rPr>
                <m:t xml:space="preserve">y</m:t>
              </m:r>
            </m:sub>
          </m:sSub>
          <m:r>
            <w:rPr>
              <w:rFonts w:ascii="Cambria Math" w:hAnsi="Cambria Math"/>
            </w:rPr>
            <m:t xml:space="preserve">=</m:t>
          </m:r>
          <m:f>
            <m:num>
              <m:nary>
                <m:naryPr>
                  <m:chr m:val="∑"/>
                  <m:supHide m:val="1"/>
                </m:naryPr>
                <m:sub>
                  <m:r>
                    <w:rPr>
                      <w:rFonts w:ascii="Cambria Math" w:hAnsi="Cambria Math"/>
                    </w:rPr>
                    <m:t xml:space="preserve">t</m:t>
                  </m:r>
                </m:sub>
                <m:sup/>
                <m:e>
                  <m:sSub>
                    <m:e>
                      <m:r>
                        <w:rPr>
                          <w:rFonts w:ascii="Cambria Math" w:hAnsi="Cambria Math"/>
                        </w:rPr>
                        <m:t xml:space="preserve">a</m:t>
                      </m:r>
                    </m:e>
                    <m:sub>
                      <m:r>
                        <w:rPr>
                          <w:rFonts w:ascii="Cambria Math" w:hAnsi="Cambria Math"/>
                        </w:rPr>
                        <m:t xml:space="preserve">t</m:t>
                      </m:r>
                    </m:sub>
                  </m:sSub>
                </m:e>
              </m:nary>
              <m:sSub>
                <m:e>
                  <m:r>
                    <w:rPr>
                      <w:rFonts w:ascii="Cambria Math" w:hAnsi="Cambria Math"/>
                    </w:rPr>
                    <m:t xml:space="preserve">v</m:t>
                  </m:r>
                </m:e>
                <m:sub>
                  <m:r>
                    <w:rPr>
                      <w:rFonts w:ascii="Cambria Math" w:hAnsi="Cambria Math"/>
                    </w:rPr>
                    <m:t xml:space="preserve">t</m:t>
                  </m:r>
                </m:sub>
              </m:sSub>
            </m:num>
            <m:den>
              <m:r>
                <w:rPr>
                  <w:rFonts w:ascii="Cambria Math" w:hAnsi="Cambria Math"/>
                </w:rPr>
                <m:t xml:space="preserve">‖</m:t>
              </m:r>
              <m:nary>
                <m:naryPr>
                  <m:chr m:val="∑"/>
                  <m:supHide m:val="1"/>
                </m:naryPr>
                <m:sub>
                  <m:r>
                    <w:rPr>
                      <w:rFonts w:ascii="Cambria Math" w:hAnsi="Cambria Math"/>
                    </w:rPr>
                    <m:t xml:space="preserve">t</m:t>
                  </m:r>
                </m:sub>
                <m:sup/>
                <m:e>
                  <m:sSub>
                    <m:e>
                      <m:r>
                        <w:rPr>
                          <w:rFonts w:ascii="Cambria Math" w:hAnsi="Cambria Math"/>
                        </w:rPr>
                        <m:t xml:space="preserve">a</m:t>
                      </m:r>
                    </m:e>
                    <m:sub>
                      <m:r>
                        <w:rPr>
                          <w:rFonts w:ascii="Cambria Math" w:hAnsi="Cambria Math"/>
                        </w:rPr>
                        <m:t xml:space="preserve">t</m:t>
                      </m:r>
                    </m:sub>
                  </m:sSub>
                </m:e>
              </m:nary>
              <m:sSub>
                <m:e>
                  <m:r>
                    <w:rPr>
                      <w:rFonts w:ascii="Cambria Math" w:hAnsi="Cambria Math"/>
                    </w:rPr>
                    <m:t xml:space="preserve">v</m:t>
                  </m:r>
                </m:e>
                <m:sub>
                  <m:r>
                    <w:rPr>
                      <w:rFonts w:ascii="Cambria Math" w:hAnsi="Cambria Math"/>
                    </w:rPr>
                    <m:t xml:space="preserve">t</m:t>
                  </m:r>
                </m:sub>
              </m:sSub>
              <m:sSub>
                <m:e>
                  <m:r>
                    <w:rPr>
                      <w:rFonts w:ascii="Cambria Math" w:hAnsi="Cambria Math"/>
                    </w:rPr>
                    <m:t xml:space="preserve">‖</m:t>
                  </m:r>
                </m:e>
                <m:sub>
                  <m:r>
                    <w:rPr>
                      <w:rFonts w:ascii="Cambria Math" w:hAnsi="Cambria Math"/>
                    </w:rPr>
                    <m:t xml:space="preserve">2</m:t>
                  </m:r>
                </m:sub>
              </m:sSub>
            </m:den>
          </m:f>
          <m:r>
            <w:rPr>
              <w:rFonts w:ascii="Cambria Math" w:hAnsi="Cambria Math"/>
            </w:rPr>
            <m:t xml:space="preserve">,</m:t>
          </m:r>
          <m:sSub>
            <m:e>
              <m:r>
                <w:rPr>
                  <w:rFonts w:ascii="Cambria Math" w:hAnsi="Cambria Math"/>
                </w:rPr>
                <m:t xml:space="preserve">s</m:t>
              </m:r>
            </m:e>
            <m:sub>
              <m:r>
                <w:rPr>
                  <w:rFonts w:ascii="Cambria Math" w:hAnsi="Cambria Math"/>
                </w:rPr>
                <m:t xml:space="preserve">L</m:t>
              </m:r>
              <m:r>
                <w:rPr>
                  <w:rFonts w:ascii="Cambria Math" w:hAnsi="Cambria Math"/>
                </w:rPr>
                <m:t xml:space="preserve">,</m:t>
              </m:r>
              <m:r>
                <w:rPr>
                  <w:rFonts w:ascii="Cambria Math" w:hAnsi="Cambria Math"/>
                </w:rPr>
                <m:t xml:space="preserve">y</m:t>
              </m:r>
            </m:sub>
          </m:sSub>
          <m:r>
            <w:rPr>
              <w:rFonts w:ascii="Cambria Math" w:hAnsi="Cambria Math"/>
            </w:rPr>
            <m:t xml:space="preserve">=</m:t>
          </m:r>
          <m:f>
            <m:num>
              <m:nary>
                <m:naryPr>
                  <m:chr m:val="∑"/>
                  <m:supHide m:val="1"/>
                </m:naryPr>
                <m:sub>
                  <m:r>
                    <w:rPr>
                      <w:rFonts w:ascii="Cambria Math" w:hAnsi="Cambria Math"/>
                    </w:rPr>
                    <m:t xml:space="preserve">t</m:t>
                  </m:r>
                </m:sub>
                <m:sup/>
                <m:e>
                  <m:sSub>
                    <m:e>
                      <m:r>
                        <w:rPr>
                          <w:rFonts w:ascii="Cambria Math" w:hAnsi="Cambria Math"/>
                        </w:rPr>
                        <m:t xml:space="preserve">b</m:t>
                      </m:r>
                    </m:e>
                    <m:sub>
                      <m:r>
                        <w:rPr>
                          <w:rFonts w:ascii="Cambria Math" w:hAnsi="Cambria Math"/>
                        </w:rPr>
                        <m:t xml:space="preserve">t</m:t>
                      </m:r>
                    </m:sub>
                  </m:sSub>
                </m:e>
              </m:nary>
              <m:sSub>
                <m:e>
                  <m:r>
                    <w:rPr>
                      <w:rFonts w:ascii="Cambria Math" w:hAnsi="Cambria Math"/>
                    </w:rPr>
                    <m:t xml:space="preserve">v</m:t>
                  </m:r>
                </m:e>
                <m:sub>
                  <m:r>
                    <w:rPr>
                      <w:rFonts w:ascii="Cambria Math" w:hAnsi="Cambria Math"/>
                    </w:rPr>
                    <m:t xml:space="preserve">t</m:t>
                  </m:r>
                </m:sub>
              </m:sSub>
            </m:num>
            <m:den>
              <m:r>
                <w:rPr>
                  <w:rFonts w:ascii="Cambria Math" w:hAnsi="Cambria Math"/>
                </w:rPr>
                <m:t xml:space="preserve">‖</m:t>
              </m:r>
              <m:nary>
                <m:naryPr>
                  <m:chr m:val="∑"/>
                  <m:supHide m:val="1"/>
                </m:naryPr>
                <m:sub>
                  <m:r>
                    <w:rPr>
                      <w:rFonts w:ascii="Cambria Math" w:hAnsi="Cambria Math"/>
                    </w:rPr>
                    <m:t xml:space="preserve">t</m:t>
                  </m:r>
                </m:sub>
                <m:sup/>
                <m:e>
                  <m:sSub>
                    <m:e>
                      <m:r>
                        <w:rPr>
                          <w:rFonts w:ascii="Cambria Math" w:hAnsi="Cambria Math"/>
                        </w:rPr>
                        <m:t xml:space="preserve">b</m:t>
                      </m:r>
                    </m:e>
                    <m:sub>
                      <m:r>
                        <w:rPr>
                          <w:rFonts w:ascii="Cambria Math" w:hAnsi="Cambria Math"/>
                        </w:rPr>
                        <m:t xml:space="preserve">t</m:t>
                      </m:r>
                    </m:sub>
                  </m:sSub>
                </m:e>
              </m:nary>
              <m:sSub>
                <m:e>
                  <m:r>
                    <w:rPr>
                      <w:rFonts w:ascii="Cambria Math" w:hAnsi="Cambria Math"/>
                    </w:rPr>
                    <m:t xml:space="preserve">v</m:t>
                  </m:r>
                </m:e>
                <m:sub>
                  <m:r>
                    <w:rPr>
                      <w:rFonts w:ascii="Cambria Math" w:hAnsi="Cambria Math"/>
                    </w:rPr>
                    <m:t xml:space="preserve">t</m:t>
                  </m:r>
                </m:sub>
              </m:sSub>
              <m:sSub>
                <m:e>
                  <m:r>
                    <w:rPr>
                      <w:rFonts w:ascii="Cambria Math" w:hAnsi="Cambria Math"/>
                    </w:rPr>
                    <m:t xml:space="preserve">‖</m:t>
                  </m:r>
                </m:e>
                <m:sub>
                  <m:r>
                    <w:rPr>
                      <w:rFonts w:ascii="Cambria Math" w:hAnsi="Cambria Math"/>
                    </w:rPr>
                    <m:t xml:space="preserve">2</m:t>
                  </m:r>
                </m:sub>
              </m:sSub>
            </m:den>
          </m:f>
        </m:oMath>
      </m:oMathPara>
    </w:p>
    <w:p>
      <w:pPr>
        <w:pStyle w:val="Normal"/>
        <w:spacing w:lineRule="auto" w:line="360" w:before="0" w:after="0"/>
        <w:jc w:val="both"/>
        <w:rPr>
          <w:rFonts w:ascii="Times New Roman" w:hAnsi="Times New Roman" w:eastAsia="" w:cs="Times New Roman" w:eastAsiaTheme="minorEastAsia"/>
          <w:sz w:val="20"/>
          <w:szCs w:val="20"/>
        </w:rPr>
      </w:pPr>
      <w:r>
        <w:rPr>
          <w:rFonts w:eastAsia="" w:cs="Times New Roman" w:eastAsiaTheme="minorEastAsia" w:ascii="Times New Roman" w:hAnsi="Times New Roman"/>
          <w:sz w:val="20"/>
          <w:szCs w:val="20"/>
        </w:rPr>
      </w:r>
    </w:p>
    <w:p>
      <w:pPr>
        <w:pStyle w:val="Normal"/>
        <w:spacing w:lineRule="auto" w:line="360" w:before="0" w:after="0"/>
        <w:jc w:val="both"/>
        <w:rPr>
          <w:rFonts w:ascii="Times New Roman" w:hAnsi="Times New Roman" w:eastAsia="" w:cs="Times New Roman" w:eastAsiaTheme="minorEastAsia"/>
          <w:sz w:val="20"/>
          <w:szCs w:val="20"/>
        </w:rPr>
      </w:pPr>
      <w:r>
        <w:rPr>
          <w:rFonts w:eastAsia="" w:cs="Times New Roman" w:ascii="Times New Roman" w:hAnsi="Times New Roman" w:eastAsiaTheme="minorEastAsia"/>
          <w:sz w:val="20"/>
          <w:szCs w:val="20"/>
        </w:rPr>
        <w:t xml:space="preserve">where </w:t>
      </w:r>
      <w:r>
        <w:rPr/>
      </w:r>
      <m:oMath xmlns:m="http://schemas.openxmlformats.org/officeDocument/2006/math">
        <m:sSub>
          <m:e>
            <m:r>
              <w:rPr>
                <w:rFonts w:ascii="Cambria Math" w:hAnsi="Cambria Math"/>
              </w:rPr>
              <m:t xml:space="preserve">l</m:t>
            </m:r>
          </m:e>
          <m:sub>
            <m:r>
              <w:rPr>
                <w:rFonts w:ascii="Cambria Math" w:hAnsi="Cambria Math"/>
              </w:rPr>
              <m:t xml:space="preserve">L</m:t>
            </m:r>
            <m:r>
              <w:rPr>
                <w:rFonts w:ascii="Cambria Math" w:hAnsi="Cambria Math"/>
              </w:rPr>
              <m:t xml:space="preserve">,</m:t>
            </m:r>
            <m:r>
              <w:rPr>
                <w:rFonts w:ascii="Cambria Math" w:hAnsi="Cambria Math"/>
              </w:rPr>
              <m:t xml:space="preserve">y</m:t>
            </m:r>
          </m:sub>
        </m:sSub>
      </m:oMath>
      <w:r>
        <w:rPr>
          <w:rFonts w:eastAsia="" w:cs="Times New Roman" w:ascii="Times New Roman" w:hAnsi="Times New Roman" w:eastAsiaTheme="minorEastAsia"/>
          <w:sz w:val="20"/>
          <w:szCs w:val="20"/>
        </w:rPr>
        <w:t xml:space="preserve"> and </w:t>
      </w:r>
      <w:r>
        <w:rPr/>
      </w:r>
      <m:oMath xmlns:m="http://schemas.openxmlformats.org/officeDocument/2006/math">
        <m:sSub>
          <m:e>
            <m:r>
              <w:rPr>
                <w:rFonts w:ascii="Cambria Math" w:hAnsi="Cambria Math"/>
              </w:rPr>
              <m:t xml:space="preserve">s</m:t>
            </m:r>
          </m:e>
          <m:sub>
            <m:r>
              <w:rPr>
                <w:rFonts w:ascii="Cambria Math" w:hAnsi="Cambria Math"/>
              </w:rPr>
              <m:t xml:space="preserve">L</m:t>
            </m:r>
            <m:r>
              <w:rPr>
                <w:rFonts w:ascii="Cambria Math" w:hAnsi="Cambria Math"/>
              </w:rPr>
              <m:t xml:space="preserve">,</m:t>
            </m:r>
            <m:r>
              <w:rPr>
                <w:rFonts w:ascii="Cambria Math" w:hAnsi="Cambria Math"/>
              </w:rPr>
              <m:t xml:space="preserve">y</m:t>
            </m:r>
          </m:sub>
        </m:sSub>
      </m:oMath>
      <w:r>
        <w:rPr>
          <w:rFonts w:eastAsia="" w:cs="Times New Roman" w:ascii="Times New Roman" w:hAnsi="Times New Roman" w:eastAsiaTheme="minorEastAsia"/>
          <w:sz w:val="20"/>
          <w:szCs w:val="20"/>
        </w:rPr>
        <w:t xml:space="preserve"> are the lake and shoreline vectors of lake </w:t>
      </w:r>
      <w:r>
        <w:rPr/>
      </w:r>
      <m:oMath xmlns:m="http://schemas.openxmlformats.org/officeDocument/2006/math">
        <m:r>
          <w:rPr>
            <w:rFonts w:ascii="Cambria Math" w:hAnsi="Cambria Math"/>
          </w:rPr>
          <m:t xml:space="preserve">L</m:t>
        </m:r>
      </m:oMath>
      <w:r>
        <w:rPr>
          <w:rFonts w:eastAsia="" w:cs="Times New Roman" w:ascii="Times New Roman" w:hAnsi="Times New Roman" w:eastAsiaTheme="minorEastAsia"/>
          <w:sz w:val="20"/>
          <w:szCs w:val="20"/>
        </w:rPr>
        <w:t xml:space="preserve"> in year </w:t>
      </w:r>
      <w:r>
        <w:rPr/>
      </w:r>
      <m:oMath xmlns:m="http://schemas.openxmlformats.org/officeDocument/2006/math">
        <m:r>
          <w:rPr>
            <w:rFonts w:ascii="Cambria Math" w:hAnsi="Cambria Math"/>
          </w:rPr>
          <m:t xml:space="preserve">y</m:t>
        </m:r>
      </m:oMath>
      <w:r>
        <w:rPr>
          <w:rFonts w:eastAsia="" w:cs="Times New Roman" w:ascii="Times New Roman" w:hAnsi="Times New Roman" w:eastAsiaTheme="minorEastAsia"/>
          <w:sz w:val="20"/>
          <w:szCs w:val="20"/>
        </w:rPr>
        <w:t xml:space="preserve">. Weighting by pixel fractions rather than applying a coverage threshold means that no token touching the lake or shore is discarded. The combined lake-year embedding used for retrieval and forecasting blends the two vectors with a lake weight </w:t>
      </w:r>
      <w:r>
        <w:rPr/>
      </w:r>
      <m:oMath xmlns:m="http://schemas.openxmlformats.org/officeDocument/2006/math">
        <m:r>
          <w:rPr>
            <w:rFonts w:ascii="Cambria Math" w:hAnsi="Cambria Math"/>
          </w:rPr>
          <m:t xml:space="preserve">λ</m:t>
        </m:r>
      </m:oMath>
      <w:r>
        <w:rPr>
          <w:rFonts w:eastAsia="" w:cs="Times New Roman" w:ascii="Times New Roman" w:hAnsi="Times New Roman" w:eastAsiaTheme="minorEastAsia"/>
          <w:sz w:val="20"/>
          <w:szCs w:val="20"/>
        </w:rPr>
        <w:t>:</w:t>
      </w:r>
    </w:p>
    <w:p>
      <w:pPr>
        <w:pStyle w:val="Normal"/>
        <w:spacing w:lineRule="auto" w:line="360" w:before="0" w:after="0"/>
        <w:jc w:val="center"/>
        <w:rPr>
          <w:rFonts w:ascii="Times New Roman" w:hAnsi="Times New Roman" w:eastAsia="" w:cs="Times New Roman" w:eastAsiaTheme="minorEastAsia"/>
          <w:sz w:val="20"/>
          <w:szCs w:val="20"/>
        </w:rPr>
      </w:pPr>
      <w:r>
        <w:rPr/>
      </w:r>
      <m:oMathPara xmlns:m="http://schemas.openxmlformats.org/officeDocument/2006/math">
        <m:oMathParaPr>
          <m:jc m:val="center"/>
        </m:oMathParaPr>
        <m:oMath>
          <m:sSub>
            <m:e>
              <m:r>
                <w:rPr>
                  <w:rFonts w:ascii="Cambria Math" w:hAnsi="Cambria Math"/>
                </w:rPr>
                <m:t xml:space="preserve">z</m:t>
              </m:r>
            </m:e>
            <m:sub>
              <m:r>
                <w:rPr>
                  <w:rFonts w:ascii="Cambria Math" w:hAnsi="Cambria Math"/>
                </w:rPr>
                <m:t xml:space="preserve">L</m:t>
              </m:r>
              <m:r>
                <w:rPr>
                  <w:rFonts w:ascii="Cambria Math" w:hAnsi="Cambria Math"/>
                </w:rPr>
                <m:t xml:space="preserve">,</m:t>
              </m:r>
              <m:r>
                <w:rPr>
                  <w:rFonts w:ascii="Cambria Math" w:hAnsi="Cambria Math"/>
                </w:rPr>
                <m:t xml:space="preserve">y</m:t>
              </m:r>
            </m:sub>
          </m:sSub>
          <m:r>
            <w:rPr>
              <w:rFonts w:ascii="Cambria Math" w:hAnsi="Cambria Math"/>
            </w:rPr>
            <m:t xml:space="preserve">=</m:t>
          </m:r>
          <m:f>
            <m:num>
              <m:r>
                <w:rPr>
                  <w:rFonts w:ascii="Cambria Math" w:hAnsi="Cambria Math"/>
                </w:rPr>
                <m:t xml:space="preserve">λ</m:t>
              </m:r>
              <m:sSub>
                <m:e>
                  <m:r>
                    <w:rPr>
                      <w:rFonts w:ascii="Cambria Math" w:hAnsi="Cambria Math"/>
                    </w:rPr>
                    <m:t xml:space="preserve">l</m:t>
                  </m:r>
                </m:e>
                <m:sub>
                  <m:r>
                    <w:rPr>
                      <w:rFonts w:ascii="Cambria Math" w:hAnsi="Cambria Math"/>
                    </w:rPr>
                    <m:t xml:space="preserve">L</m:t>
                  </m:r>
                  <m:r>
                    <w:rPr>
                      <w:rFonts w:ascii="Cambria Math" w:hAnsi="Cambria Math"/>
                    </w:rPr>
                    <m:t xml:space="preserve">,</m:t>
                  </m:r>
                  <m:r>
                    <w:rPr>
                      <w:rFonts w:ascii="Cambria Math" w:hAnsi="Cambria Math"/>
                    </w:rPr>
                    <m:t xml:space="preserve">y</m:t>
                  </m:r>
                </m:sub>
              </m:sSub>
              <m:r>
                <w:rPr>
                  <w:rFonts w:ascii="Cambria Math" w:hAnsi="Cambria Math"/>
                </w:rPr>
                <m:t xml:space="preserve">+</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λ</m:t>
                  </m:r>
                </m:e>
              </m:d>
              <m:sSub>
                <m:e>
                  <m:r>
                    <w:rPr>
                      <w:rFonts w:ascii="Cambria Math" w:hAnsi="Cambria Math"/>
                    </w:rPr>
                    <m:t xml:space="preserve">s</m:t>
                  </m:r>
                </m:e>
                <m:sub>
                  <m:r>
                    <w:rPr>
                      <w:rFonts w:ascii="Cambria Math" w:hAnsi="Cambria Math"/>
                    </w:rPr>
                    <m:t xml:space="preserve">L</m:t>
                  </m:r>
                  <m:r>
                    <w:rPr>
                      <w:rFonts w:ascii="Cambria Math" w:hAnsi="Cambria Math"/>
                    </w:rPr>
                    <m:t xml:space="preserve">,</m:t>
                  </m:r>
                  <m:r>
                    <w:rPr>
                      <w:rFonts w:ascii="Cambria Math" w:hAnsi="Cambria Math"/>
                    </w:rPr>
                    <m:t xml:space="preserve">y</m:t>
                  </m:r>
                </m:sub>
              </m:sSub>
            </m:num>
            <m:den>
              <m:r>
                <w:rPr>
                  <w:rFonts w:ascii="Cambria Math" w:hAnsi="Cambria Math"/>
                </w:rPr>
                <m:t xml:space="preserve">‖</m:t>
              </m:r>
              <m:r>
                <w:rPr>
                  <w:rFonts w:ascii="Cambria Math" w:hAnsi="Cambria Math"/>
                </w:rPr>
                <m:t xml:space="preserve">λ</m:t>
              </m:r>
              <m:sSub>
                <m:e>
                  <m:r>
                    <w:rPr>
                      <w:rFonts w:ascii="Cambria Math" w:hAnsi="Cambria Math"/>
                    </w:rPr>
                    <m:t xml:space="preserve">l</m:t>
                  </m:r>
                </m:e>
                <m:sub>
                  <m:r>
                    <w:rPr>
                      <w:rFonts w:ascii="Cambria Math" w:hAnsi="Cambria Math"/>
                    </w:rPr>
                    <m:t xml:space="preserve">L</m:t>
                  </m:r>
                  <m:r>
                    <w:rPr>
                      <w:rFonts w:ascii="Cambria Math" w:hAnsi="Cambria Math"/>
                    </w:rPr>
                    <m:t xml:space="preserve">,</m:t>
                  </m:r>
                  <m:r>
                    <w:rPr>
                      <w:rFonts w:ascii="Cambria Math" w:hAnsi="Cambria Math"/>
                    </w:rPr>
                    <m:t xml:space="preserve">y</m:t>
                  </m:r>
                </m:sub>
              </m:sSub>
              <m:r>
                <w:rPr>
                  <w:rFonts w:ascii="Cambria Math" w:hAnsi="Cambria Math"/>
                </w:rPr>
                <m:t xml:space="preserve">+</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λ</m:t>
                  </m:r>
                </m:e>
              </m:d>
              <m:sSub>
                <m:e>
                  <m:r>
                    <w:rPr>
                      <w:rFonts w:ascii="Cambria Math" w:hAnsi="Cambria Math"/>
                    </w:rPr>
                    <m:t xml:space="preserve">s</m:t>
                  </m:r>
                </m:e>
                <m:sub>
                  <m:r>
                    <w:rPr>
                      <w:rFonts w:ascii="Cambria Math" w:hAnsi="Cambria Math"/>
                    </w:rPr>
                    <m:t xml:space="preserve">L</m:t>
                  </m:r>
                  <m:r>
                    <w:rPr>
                      <w:rFonts w:ascii="Cambria Math" w:hAnsi="Cambria Math"/>
                    </w:rPr>
                    <m:t xml:space="preserve">,</m:t>
                  </m:r>
                  <m:r>
                    <w:rPr>
                      <w:rFonts w:ascii="Cambria Math" w:hAnsi="Cambria Math"/>
                    </w:rPr>
                    <m:t xml:space="preserve">y</m:t>
                  </m:r>
                </m:sub>
              </m:sSub>
              <m:sSub>
                <m:e>
                  <m:r>
                    <w:rPr>
                      <w:rFonts w:ascii="Cambria Math" w:hAnsi="Cambria Math"/>
                    </w:rPr>
                    <m:t xml:space="preserve">‖</m:t>
                  </m:r>
                </m:e>
                <m:sub>
                  <m:r>
                    <w:rPr>
                      <w:rFonts w:ascii="Cambria Math" w:hAnsi="Cambria Math"/>
                    </w:rPr>
                    <m:t xml:space="preserve">2</m:t>
                  </m:r>
                </m:sub>
              </m:sSub>
            </m:den>
          </m:f>
        </m:oMath>
      </m:oMathPara>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 xml:space="preserve">where </w:t>
      </w:r>
      <w:r>
        <w:rPr/>
      </w:r>
      <m:oMath xmlns:m="http://schemas.openxmlformats.org/officeDocument/2006/math">
        <m:r>
          <w:rPr>
            <w:rFonts w:ascii="Cambria Math" w:hAnsi="Cambria Math"/>
          </w:rPr>
          <m:t xml:space="preserve">λ</m:t>
        </m:r>
        <m:r>
          <w:rPr>
            <w:rFonts w:ascii="Cambria Math" w:hAnsi="Cambria Math"/>
          </w:rPr>
          <m:t xml:space="preserve">=</m:t>
        </m:r>
        <m:r>
          <w:rPr>
            <w:rFonts w:ascii="Cambria Math" w:hAnsi="Cambria Math"/>
          </w:rPr>
          <m:t xml:space="preserve">0.7</m:t>
        </m:r>
      </m:oMath>
      <w:r>
        <w:rPr>
          <w:rFonts w:cs="Times New Roman" w:ascii="Times New Roman" w:hAnsi="Times New Roman"/>
          <w:sz w:val="20"/>
          <w:szCs w:val="20"/>
        </w:rPr>
        <w:t xml:space="preserve">. Blending the two parts keeps the same water-to-shore balance for every lake regardless of size; pooling the lake and ring together would give small lakes a land-dominated vector. The forecast targets the state of the water, which the lake pixels observe directly, whereas shoreline conditions are a secondary influence; no published weight exists for this balance, and 0.7 has not yet been calibrated. Both parts are stored, so the weight can be changed later by re-blending without repeating model inference. Because </w:t>
      </w:r>
      <w:r>
        <w:rPr/>
      </w:r>
      <m:oMath xmlns:m="http://schemas.openxmlformats.org/officeDocument/2006/math">
        <m:sSub>
          <m:e>
            <m:r>
              <w:rPr>
                <w:rFonts w:ascii="Cambria Math" w:hAnsi="Cambria Math"/>
              </w:rPr>
              <m:t xml:space="preserve">z</m:t>
            </m:r>
          </m:e>
          <m:sub>
            <m:r>
              <w:rPr>
                <w:rFonts w:ascii="Cambria Math" w:hAnsi="Cambria Math"/>
              </w:rPr>
              <m:t xml:space="preserve">L</m:t>
            </m:r>
            <m:r>
              <w:rPr>
                <w:rFonts w:ascii="Cambria Math" w:hAnsi="Cambria Math"/>
              </w:rPr>
              <m:t xml:space="preserve">,</m:t>
            </m:r>
            <m:r>
              <w:rPr>
                <w:rFonts w:ascii="Cambria Math" w:hAnsi="Cambria Math"/>
              </w:rPr>
              <m:t xml:space="preserve">y</m:t>
            </m:r>
          </m:sub>
        </m:sSub>
      </m:oMath>
      <w:r>
        <w:rPr>
          <w:rFonts w:cs="Times New Roman" w:ascii="Times New Roman" w:hAnsi="Times New Roman"/>
          <w:sz w:val="20"/>
          <w:szCs w:val="20"/>
        </w:rPr>
        <w:t xml:space="preserve"> is unit-normalised, cosine similarity between lake-year embeddings equals their inner product, which allows similarity calculations to be performed efficiently using matrix operations.</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The pipeline produced 8,268 lake-year embeddings from 1,724,214 encoded tokens, an average of 208.5 tokens per lake-year. Before database insertion, each vector is checked for dimensionality, missing values, numerical validity, and correct association with its lake and year. The lake, shoreline, and combined vectors are stored in PostgreSQL using pgvector, together with the token weights, the lake weight used, and an embedding-version marker. This structure supports traceable retrieval of the representations used in the subsequent analyses.</w:t>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b/>
          <w:b/>
          <w:bCs/>
          <w:sz w:val="20"/>
          <w:szCs w:val="20"/>
        </w:rPr>
      </w:pPr>
      <w:r>
        <w:rPr>
          <w:rFonts w:cs="Times New Roman" w:ascii="Times New Roman" w:hAnsi="Times New Roman"/>
          <w:b/>
          <w:bCs/>
          <w:sz w:val="20"/>
          <w:szCs w:val="20"/>
        </w:rPr>
        <w:t>3.3 Temporal Trajectory Similarity</w:t>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Single-year embedding similarity identifies lakes with comparable satellite-derived representations at a particular point in time. However, similarity in one year does not establish that two lakes have followed comparable trajectories. EcoTwin therefore compares sequences of annual embeddings to identify candidate lakes with similar historical patterns in the representation space.</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 xml:space="preserve">For a target lake with anchor year </w:t>
      </w:r>
      <w:r>
        <w:rPr/>
      </w:r>
      <m:oMath xmlns:m="http://schemas.openxmlformats.org/officeDocument/2006/math">
        <m:sSub>
          <m:e>
            <m:r>
              <w:rPr>
                <w:rFonts w:ascii="Cambria Math" w:hAnsi="Cambria Math"/>
              </w:rPr>
              <m:t xml:space="preserve">t</m:t>
            </m:r>
          </m:e>
          <m:sub>
            <m:r>
              <w:rPr>
                <w:rFonts w:ascii="Cambria Math" w:hAnsi="Cambria Math"/>
              </w:rPr>
              <m:t xml:space="preserve">0</m:t>
            </m:r>
          </m:sub>
        </m:sSub>
      </m:oMath>
      <w:r>
        <w:rPr>
          <w:rFonts w:cs="Times New Roman" w:ascii="Times New Roman" w:hAnsi="Times New Roman"/>
          <w:sz w:val="20"/>
          <w:szCs w:val="20"/>
        </w:rPr>
        <w:t>, the query trajectory consists of five consecutive annual embeddings</w:t>
      </w:r>
    </w:p>
    <w:p>
      <w:pPr>
        <w:pStyle w:val="Normal"/>
        <w:spacing w:lineRule="auto" w:line="360" w:before="0" w:after="0"/>
        <w:jc w:val="center"/>
        <w:rPr>
          <w:rFonts w:ascii="Times New Roman" w:hAnsi="Times New Roman" w:eastAsia="" w:cs="Times New Roman" w:eastAsiaTheme="minorEastAsia"/>
          <w:sz w:val="20"/>
          <w:szCs w:val="20"/>
        </w:rPr>
      </w:pPr>
      <w:r>
        <w:rPr/>
      </w:r>
      <m:oMathPara xmlns:m="http://schemas.openxmlformats.org/officeDocument/2006/math">
        <m:oMathParaPr>
          <m:jc m:val="center"/>
        </m:oMathParaPr>
        <m:oMath>
          <m:r>
            <w:rPr>
              <w:rFonts w:ascii="Cambria Math" w:hAnsi="Cambria Math"/>
            </w:rPr>
            <m:t xml:space="preserve">Q</m:t>
          </m:r>
          <m:r>
            <w:rPr>
              <w:rFonts w:ascii="Cambria Math" w:hAnsi="Cambria Math"/>
            </w:rPr>
            <m:t xml:space="preserve">=</m:t>
          </m:r>
          <m:d>
            <m:dPr>
              <m:begChr m:val="("/>
              <m:endChr m:val=")"/>
            </m:dPr>
            <m:e>
              <m:sSub>
                <m:e>
                  <m:r>
                    <w:rPr>
                      <w:rFonts w:ascii="Cambria Math" w:hAnsi="Cambria Math"/>
                    </w:rPr>
                    <m:t xml:space="preserve">q</m:t>
                  </m:r>
                </m:e>
                <m:sub>
                  <m:sSub>
                    <m:e>
                      <m:r>
                        <w:rPr>
                          <w:rFonts w:ascii="Cambria Math" w:hAnsi="Cambria Math"/>
                        </w:rPr>
                        <m:t xml:space="preserve">t</m:t>
                      </m:r>
                    </m:e>
                    <m:sub>
                      <m:r>
                        <w:rPr>
                          <w:rFonts w:ascii="Cambria Math" w:hAnsi="Cambria Math"/>
                        </w:rPr>
                        <m:t xml:space="preserve">0</m:t>
                      </m:r>
                    </m:sub>
                  </m:sSub>
                  <m:r>
                    <w:rPr>
                      <w:rFonts w:ascii="Cambria Math" w:hAnsi="Cambria Math"/>
                    </w:rPr>
                    <m:t xml:space="preserve">−</m:t>
                  </m:r>
                  <m:r>
                    <w:rPr>
                      <w:rFonts w:ascii="Cambria Math" w:hAnsi="Cambria Math"/>
                    </w:rPr>
                    <m:t xml:space="preserve">4</m:t>
                  </m:r>
                </m:sub>
              </m:sSub>
              <m:r>
                <w:rPr>
                  <w:rFonts w:ascii="Cambria Math" w:hAnsi="Cambria Math"/>
                </w:rPr>
                <m:t xml:space="preserve">,</m:t>
              </m:r>
              <m:sSub>
                <m:e>
                  <m:r>
                    <w:rPr>
                      <w:rFonts w:ascii="Cambria Math" w:hAnsi="Cambria Math"/>
                    </w:rPr>
                    <m:t xml:space="preserve">q</m:t>
                  </m:r>
                </m:e>
                <m:sub>
                  <m:sSub>
                    <m:e>
                      <m:r>
                        <w:rPr>
                          <w:rFonts w:ascii="Cambria Math" w:hAnsi="Cambria Math"/>
                        </w:rPr>
                        <m:t xml:space="preserve">t</m:t>
                      </m:r>
                    </m:e>
                    <m:sub>
                      <m:r>
                        <w:rPr>
                          <w:rFonts w:ascii="Cambria Math" w:hAnsi="Cambria Math"/>
                        </w:rPr>
                        <m:t xml:space="preserve">0</m:t>
                      </m:r>
                    </m:sub>
                  </m:sSub>
                  <m:r>
                    <w:rPr>
                      <w:rFonts w:ascii="Cambria Math" w:hAnsi="Cambria Math"/>
                    </w:rPr>
                    <m:t xml:space="preserve">−</m:t>
                  </m:r>
                  <m:r>
                    <w:rPr>
                      <w:rFonts w:ascii="Cambria Math" w:hAnsi="Cambria Math"/>
                    </w:rPr>
                    <m:t xml:space="preserve">3</m:t>
                  </m:r>
                </m:sub>
              </m:sSub>
              <m:r>
                <w:rPr>
                  <w:rFonts w:ascii="Cambria Math" w:hAnsi="Cambria Math"/>
                </w:rPr>
                <m:t xml:space="preserve">,</m:t>
              </m:r>
              <m:sSub>
                <m:e>
                  <m:r>
                    <w:rPr>
                      <w:rFonts w:ascii="Cambria Math" w:hAnsi="Cambria Math"/>
                    </w:rPr>
                    <m:t xml:space="preserve">q</m:t>
                  </m:r>
                </m:e>
                <m:sub>
                  <m:sSub>
                    <m:e>
                      <m:r>
                        <w:rPr>
                          <w:rFonts w:ascii="Cambria Math" w:hAnsi="Cambria Math"/>
                        </w:rPr>
                        <m:t xml:space="preserve">t</m:t>
                      </m:r>
                    </m:e>
                    <m:sub>
                      <m:r>
                        <w:rPr>
                          <w:rFonts w:ascii="Cambria Math" w:hAnsi="Cambria Math"/>
                        </w:rPr>
                        <m:t xml:space="preserve">0</m:t>
                      </m:r>
                    </m:sub>
                  </m:sSub>
                  <m:r>
                    <w:rPr>
                      <w:rFonts w:ascii="Cambria Math" w:hAnsi="Cambria Math"/>
                    </w:rPr>
                    <m:t xml:space="preserve">−</m:t>
                  </m:r>
                  <m:r>
                    <w:rPr>
                      <w:rFonts w:ascii="Cambria Math" w:hAnsi="Cambria Math"/>
                    </w:rPr>
                    <m:t xml:space="preserve">2</m:t>
                  </m:r>
                </m:sub>
              </m:sSub>
              <m:r>
                <w:rPr>
                  <w:rFonts w:ascii="Cambria Math" w:hAnsi="Cambria Math"/>
                </w:rPr>
                <m:t xml:space="preserve">,</m:t>
              </m:r>
              <m:sSub>
                <m:e>
                  <m:r>
                    <w:rPr>
                      <w:rFonts w:ascii="Cambria Math" w:hAnsi="Cambria Math"/>
                    </w:rPr>
                    <m:t xml:space="preserve">q</m:t>
                  </m:r>
                </m:e>
                <m:sub>
                  <m:sSub>
                    <m:e>
                      <m:r>
                        <w:rPr>
                          <w:rFonts w:ascii="Cambria Math" w:hAnsi="Cambria Math"/>
                        </w:rPr>
                        <m:t xml:space="preserve">t</m:t>
                      </m:r>
                    </m:e>
                    <m:sub>
                      <m:r>
                        <w:rPr>
                          <w:rFonts w:ascii="Cambria Math" w:hAnsi="Cambria Math"/>
                        </w:rPr>
                        <m:t xml:space="preserve">0</m:t>
                      </m:r>
                    </m:sub>
                  </m:sSub>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q</m:t>
                  </m:r>
                </m:e>
                <m:sub>
                  <m:sSub>
                    <m:e>
                      <m:r>
                        <w:rPr>
                          <w:rFonts w:ascii="Cambria Math" w:hAnsi="Cambria Math"/>
                        </w:rPr>
                        <m:t xml:space="preserve">t</m:t>
                      </m:r>
                    </m:e>
                    <m:sub>
                      <m:r>
                        <w:rPr>
                          <w:rFonts w:ascii="Cambria Math" w:hAnsi="Cambria Math"/>
                        </w:rPr>
                        <m:t xml:space="preserve">0</m:t>
                      </m:r>
                    </m:sub>
                  </m:sSub>
                </m:sub>
              </m:sSub>
            </m:e>
          </m:d>
        </m:oMath>
      </m:oMathPara>
    </w:p>
    <w:p>
      <w:pPr>
        <w:pStyle w:val="Normal"/>
        <w:spacing w:lineRule="auto" w:line="360" w:before="0" w:after="0"/>
        <w:jc w:val="both"/>
        <w:rPr>
          <w:rFonts w:ascii="Times New Roman" w:hAnsi="Times New Roman" w:eastAsia="" w:cs="Times New Roman" w:eastAsiaTheme="minorEastAsia"/>
          <w:sz w:val="20"/>
          <w:szCs w:val="20"/>
        </w:rPr>
      </w:pPr>
      <w:r>
        <w:rPr>
          <w:rFonts w:eastAsia="" w:cs="Times New Roman" w:ascii="Times New Roman" w:hAnsi="Times New Roman" w:eastAsiaTheme="minorEastAsia"/>
          <w:sz w:val="20"/>
          <w:szCs w:val="20"/>
        </w:rPr>
        <w:t xml:space="preserve">Each candidate's annual records are ordered by year, and every five consecutive records form a candidate window. Because missing lake-years in the final dataset occur only in 2016 and 2017, no window crosses a gap and every window spans five consecutive calendar years. For a candidate with </w:t>
      </w:r>
      <w:r>
        <w:rPr/>
      </w:r>
      <m:oMath xmlns:m="http://schemas.openxmlformats.org/officeDocument/2006/math">
        <m:r>
          <w:rPr>
            <w:rFonts w:ascii="Cambria Math" w:hAnsi="Cambria Math"/>
          </w:rPr>
          <m:t xml:space="preserve">n</m:t>
        </m:r>
      </m:oMath>
      <w:r>
        <w:rPr>
          <w:rFonts w:eastAsia="" w:cs="Times New Roman" w:ascii="Times New Roman" w:hAnsi="Times New Roman" w:eastAsiaTheme="minorEastAsia"/>
          <w:sz w:val="20"/>
          <w:szCs w:val="20"/>
        </w:rPr>
        <w:t xml:space="preserve"> annual records, the windows are defined as</w:t>
      </w:r>
    </w:p>
    <w:p>
      <w:pPr>
        <w:pStyle w:val="Normal"/>
        <w:spacing w:lineRule="auto" w:line="360" w:before="0" w:after="0"/>
        <w:jc w:val="center"/>
        <w:rPr>
          <w:rFonts w:ascii="Times New Roman" w:hAnsi="Times New Roman" w:eastAsia="" w:cs="Times New Roman" w:eastAsiaTheme="minorEastAsia"/>
          <w:sz w:val="20"/>
          <w:szCs w:val="20"/>
        </w:rPr>
      </w:pPr>
      <w:r>
        <w:rPr/>
      </w:r>
      <m:oMathPara xmlns:m="http://schemas.openxmlformats.org/officeDocument/2006/math">
        <m:oMathParaPr>
          <m:jc m:val="center"/>
        </m:oMathParaPr>
        <m:oMath>
          <m:sSup>
            <m:e>
              <m:r>
                <w:rPr>
                  <w:rFonts w:ascii="Cambria Math" w:hAnsi="Cambria Math"/>
                </w:rPr>
                <m:t xml:space="preserve">C</m:t>
              </m:r>
            </m:e>
            <m:sup>
              <m:d>
                <m:dPr>
                  <m:begChr m:val="("/>
                  <m:endChr m:val=")"/>
                </m:dPr>
                <m:e>
                  <m:r>
                    <w:rPr>
                      <w:rFonts w:ascii="Cambria Math" w:hAnsi="Cambria Math"/>
                    </w:rPr>
                    <m:t xml:space="preserve">j</m:t>
                  </m:r>
                </m:e>
              </m:d>
            </m:sup>
          </m:sSup>
          <m:r>
            <w:rPr>
              <w:rFonts w:ascii="Cambria Math" w:hAnsi="Cambria Math"/>
            </w:rPr>
            <m:t xml:space="preserve">=</m:t>
          </m:r>
          <m:d>
            <m:dPr>
              <m:begChr m:val="("/>
              <m:endChr m:val=")"/>
            </m:dPr>
            <m:e>
              <m:sSub>
                <m:e>
                  <m:r>
                    <w:rPr>
                      <w:rFonts w:ascii="Cambria Math" w:hAnsi="Cambria Math"/>
                    </w:rPr>
                    <m:t xml:space="preserve">c</m:t>
                  </m:r>
                </m:e>
                <m:sub>
                  <m:sSub>
                    <m:e>
                      <m:r>
                        <w:rPr>
                          <w:rFonts w:ascii="Cambria Math" w:hAnsi="Cambria Math"/>
                        </w:rPr>
                        <m:t xml:space="preserve">y</m:t>
                      </m:r>
                    </m:e>
                    <m:sub>
                      <m:r>
                        <w:rPr>
                          <w:rFonts w:ascii="Cambria Math" w:hAnsi="Cambria Math"/>
                        </w:rPr>
                        <m:t xml:space="preserve">j</m:t>
                      </m:r>
                    </m:sub>
                  </m:sSub>
                </m:sub>
              </m:sSub>
              <m:r>
                <w:rPr>
                  <w:rFonts w:ascii="Cambria Math" w:hAnsi="Cambria Math"/>
                </w:rPr>
                <m:t xml:space="preserve">,</m:t>
              </m:r>
              <m:sSub>
                <m:e>
                  <m:r>
                    <w:rPr>
                      <w:rFonts w:ascii="Cambria Math" w:hAnsi="Cambria Math"/>
                    </w:rPr>
                    <m:t xml:space="preserve">c</m:t>
                  </m:r>
                </m:e>
                <m:sub>
                  <m:sSub>
                    <m:e>
                      <m:r>
                        <w:rPr>
                          <w:rFonts w:ascii="Cambria Math" w:hAnsi="Cambria Math"/>
                        </w:rPr>
                        <m:t xml:space="preserve">y</m:t>
                      </m:r>
                    </m:e>
                    <m:sub>
                      <m:r>
                        <w:rPr>
                          <w:rFonts w:ascii="Cambria Math" w:hAnsi="Cambria Math"/>
                        </w:rPr>
                        <m:t xml:space="preserve">j</m:t>
                      </m:r>
                    </m:sub>
                  </m:sSub>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c</m:t>
                  </m:r>
                </m:e>
                <m:sub>
                  <m:sSub>
                    <m:e>
                      <m:r>
                        <w:rPr>
                          <w:rFonts w:ascii="Cambria Math" w:hAnsi="Cambria Math"/>
                        </w:rPr>
                        <m:t xml:space="preserve">y</m:t>
                      </m:r>
                    </m:e>
                    <m:sub>
                      <m:r>
                        <w:rPr>
                          <w:rFonts w:ascii="Cambria Math" w:hAnsi="Cambria Math"/>
                        </w:rPr>
                        <m:t xml:space="preserve">j</m:t>
                      </m:r>
                    </m:sub>
                  </m:sSub>
                  <m:r>
                    <w:rPr>
                      <w:rFonts w:ascii="Cambria Math" w:hAnsi="Cambria Math"/>
                    </w:rPr>
                    <m:t xml:space="preserve">+</m:t>
                  </m:r>
                  <m:r>
                    <w:rPr>
                      <w:rFonts w:ascii="Cambria Math" w:hAnsi="Cambria Math"/>
                    </w:rPr>
                    <m:t xml:space="preserve">W</m:t>
                  </m:r>
                  <m:r>
                    <w:rPr>
                      <w:rFonts w:ascii="Cambria Math" w:hAnsi="Cambria Math"/>
                    </w:rPr>
                    <m:t xml:space="preserve">−</m:t>
                  </m:r>
                  <m:r>
                    <w:rPr>
                      <w:rFonts w:ascii="Cambria Math" w:hAnsi="Cambria Math"/>
                    </w:rPr>
                    <m:t xml:space="preserve">1</m:t>
                  </m:r>
                </m:sub>
              </m:sSub>
            </m:e>
          </m:d>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n</m:t>
          </m:r>
          <m:r>
            <w:rPr>
              <w:rFonts w:ascii="Cambria Math" w:hAnsi="Cambria Math"/>
            </w:rPr>
            <m:t xml:space="preserve">−</m:t>
          </m:r>
          <m:r>
            <w:rPr>
              <w:rFonts w:ascii="Cambria Math" w:hAnsi="Cambria Math"/>
            </w:rPr>
            <m:t xml:space="preserve">W</m:t>
          </m:r>
          <m:r>
            <w:rPr>
              <w:rFonts w:ascii="Cambria Math" w:hAnsi="Cambria Math"/>
            </w:rPr>
            <m:t xml:space="preserve">+</m:t>
          </m:r>
          <m:r>
            <w:rPr>
              <w:rFonts w:ascii="Cambria Math" w:hAnsi="Cambria Math"/>
            </w:rPr>
            <m:t xml:space="preserve">1</m:t>
          </m:r>
        </m:oMath>
      </m:oMathPara>
    </w:p>
    <w:p>
      <w:pPr>
        <w:pStyle w:val="Normal"/>
        <w:spacing w:lineRule="auto" w:line="360" w:before="0" w:after="0"/>
        <w:jc w:val="both"/>
        <w:rPr>
          <w:rFonts w:ascii="Times New Roman" w:hAnsi="Times New Roman" w:eastAsia="" w:cs="Times New Roman" w:eastAsiaTheme="minorEastAsia"/>
          <w:sz w:val="20"/>
          <w:szCs w:val="20"/>
        </w:rPr>
      </w:pPr>
      <w:r>
        <w:rPr>
          <w:rFonts w:eastAsia="" w:cs="Times New Roman" w:ascii="Times New Roman" w:hAnsi="Times New Roman" w:eastAsiaTheme="minorEastAsia"/>
          <w:sz w:val="20"/>
          <w:szCs w:val="20"/>
        </w:rPr>
        <w:t xml:space="preserve">where </w:t>
      </w:r>
      <w:r>
        <w:rPr/>
      </w:r>
      <m:oMath xmlns:m="http://schemas.openxmlformats.org/officeDocument/2006/math">
        <m:r>
          <w:rPr>
            <w:rFonts w:ascii="Cambria Math" w:hAnsi="Cambria Math"/>
          </w:rPr>
          <m:t xml:space="preserve">W</m:t>
        </m:r>
        <m:r>
          <w:rPr>
            <w:rFonts w:ascii="Cambria Math" w:hAnsi="Cambria Math"/>
          </w:rPr>
          <m:t xml:space="preserve">=</m:t>
        </m:r>
        <m:r>
          <w:rPr>
            <w:rFonts w:ascii="Cambria Math" w:hAnsi="Cambria Math"/>
          </w:rPr>
          <m:t xml:space="preserve">5</m:t>
        </m:r>
      </m:oMath>
      <w:r>
        <w:rPr>
          <w:rFonts w:eastAsia="" w:cs="Times New Roman" w:ascii="Times New Roman" w:hAnsi="Times New Roman" w:eastAsiaTheme="minorEastAsia"/>
          <w:sz w:val="20"/>
          <w:szCs w:val="20"/>
        </w:rPr>
        <w:t xml:space="preserve">, </w:t>
      </w:r>
      <w:r>
        <w:rPr/>
      </w:r>
      <m:oMath xmlns:m="http://schemas.openxmlformats.org/officeDocument/2006/math">
        <m:sSub>
          <m:e>
            <m:r>
              <w:rPr>
                <w:rFonts w:ascii="Cambria Math" w:hAnsi="Cambria Math"/>
              </w:rPr>
              <m:t xml:space="preserve">y</m:t>
            </m:r>
          </m:e>
          <m:sub>
            <m:r>
              <w:rPr>
                <w:rFonts w:ascii="Cambria Math" w:hAnsi="Cambria Math"/>
              </w:rPr>
              <m:t xml:space="preserve">j</m:t>
            </m:r>
          </m:sub>
        </m:sSub>
      </m:oMath>
      <w:r>
        <w:rPr>
          <w:rFonts w:eastAsia="" w:cs="Times New Roman" w:ascii="Times New Roman" w:hAnsi="Times New Roman" w:eastAsiaTheme="minorEastAsia"/>
          <w:sz w:val="20"/>
          <w:szCs w:val="20"/>
        </w:rPr>
        <w:t xml:space="preserve"> is the first year of candidate window </w:t>
      </w:r>
      <w:r>
        <w:rPr/>
      </w:r>
      <m:oMath xmlns:m="http://schemas.openxmlformats.org/officeDocument/2006/math">
        <m:r>
          <w:rPr>
            <w:rFonts w:ascii="Cambria Math" w:hAnsi="Cambria Math"/>
          </w:rPr>
          <m:t xml:space="preserve">j</m:t>
        </m:r>
      </m:oMath>
      <w:r>
        <w:rPr>
          <w:rFonts w:eastAsia="" w:cs="Times New Roman" w:ascii="Times New Roman" w:hAnsi="Times New Roman" w:eastAsiaTheme="minorEastAsia"/>
          <w:sz w:val="20"/>
          <w:szCs w:val="20"/>
        </w:rPr>
        <w:t xml:space="preserve">, and </w:t>
      </w:r>
      <w:r>
        <w:rPr/>
      </w:r>
      <m:oMath xmlns:m="http://schemas.openxmlformats.org/officeDocument/2006/math">
        <m:r>
          <w:rPr>
            <w:rFonts w:ascii="Cambria Math" w:hAnsi="Cambria Math"/>
          </w:rPr>
          <m:t xml:space="preserve">n</m:t>
        </m:r>
      </m:oMath>
      <w:r>
        <w:rPr>
          <w:rFonts w:eastAsia="" w:cs="Times New Roman" w:ascii="Times New Roman" w:hAnsi="Times New Roman" w:eastAsiaTheme="minorEastAsia"/>
          <w:sz w:val="20"/>
          <w:szCs w:val="20"/>
        </w:rPr>
        <w:t xml:space="preserve"> is the number of annual records of the candidate. A complete ten-year record produces six five-year windows. Candidate windows do not need to match the query's calendar years because the method seeks similar trajectories even when comparable changes occurred at different times.</w:t>
      </w:r>
    </w:p>
    <w:p>
      <w:pPr>
        <w:pStyle w:val="Normal"/>
        <w:spacing w:lineRule="auto" w:line="240" w:before="0" w:after="0"/>
        <w:jc w:val="both"/>
        <w:rPr>
          <w:rFonts w:ascii="Times New Roman" w:hAnsi="Times New Roman" w:eastAsia="" w:cs="Times New Roman" w:eastAsiaTheme="minorEastAsia"/>
          <w:sz w:val="20"/>
          <w:szCs w:val="20"/>
        </w:rPr>
      </w:pPr>
      <w:r>
        <w:rPr>
          <w:rFonts w:eastAsia="" w:cs="Times New Roman" w:eastAsiaTheme="minorEastAsia" w:ascii="Times New Roman" w:hAnsi="Times New Roman"/>
          <w:sz w:val="20"/>
          <w:szCs w:val="20"/>
        </w:rPr>
      </w:r>
    </w:p>
    <w:p>
      <w:pPr>
        <w:pStyle w:val="Normal"/>
        <w:spacing w:lineRule="auto" w:line="360" w:before="0" w:after="0"/>
        <w:jc w:val="both"/>
        <w:rPr>
          <w:rFonts w:ascii="Times New Roman" w:hAnsi="Times New Roman" w:eastAsia="" w:cs="Times New Roman" w:eastAsiaTheme="minorEastAsia"/>
          <w:sz w:val="20"/>
          <w:szCs w:val="20"/>
        </w:rPr>
      </w:pPr>
      <w:r>
        <w:rPr>
          <w:rFonts w:eastAsia="" w:cs="Times New Roman" w:ascii="Times New Roman" w:hAnsi="Times New Roman" w:eastAsiaTheme="minorEastAsia"/>
          <w:sz w:val="20"/>
          <w:szCs w:val="20"/>
        </w:rPr>
        <w:t>Each candidate window is scored using the mean cosine similarity between embeddings at corresponding positions</w:t>
      </w:r>
    </w:p>
    <w:p>
      <w:pPr>
        <w:pStyle w:val="Normal"/>
        <w:spacing w:lineRule="auto" w:line="360" w:before="0" w:after="0"/>
        <w:jc w:val="center"/>
        <w:rPr>
          <w:rFonts w:ascii="Times New Roman" w:hAnsi="Times New Roman" w:eastAsia="" w:cs="Times New Roman" w:eastAsiaTheme="minorEastAsia"/>
          <w:sz w:val="20"/>
          <w:szCs w:val="20"/>
        </w:rPr>
      </w:pPr>
      <w:r>
        <w:rPr/>
      </w:r>
      <m:oMathPara xmlns:m="http://schemas.openxmlformats.org/officeDocument/2006/math">
        <m:oMathParaPr>
          <m:jc m:val="center"/>
        </m:oMathParaPr>
        <m:oMath>
          <m:r>
            <w:rPr>
              <w:rFonts w:ascii="Cambria Math" w:hAnsi="Cambria Math"/>
            </w:rPr>
            <m:t xml:space="preserve">S</m:t>
          </m:r>
          <m:d>
            <m:dPr>
              <m:begChr m:val="("/>
              <m:endChr m:val=")"/>
            </m:dPr>
            <m:e>
              <m:r>
                <w:rPr>
                  <w:rFonts w:ascii="Cambria Math" w:hAnsi="Cambria Math"/>
                </w:rPr>
                <m:t xml:space="preserve">Q</m:t>
              </m:r>
              <m:r>
                <w:rPr>
                  <w:rFonts w:ascii="Cambria Math" w:hAnsi="Cambria Math"/>
                </w:rPr>
                <m:t xml:space="preserve">,</m:t>
              </m:r>
              <m:sSup>
                <m:e>
                  <m:r>
                    <w:rPr>
                      <w:rFonts w:ascii="Cambria Math" w:hAnsi="Cambria Math"/>
                    </w:rPr>
                    <m:t xml:space="preserve">C</m:t>
                  </m:r>
                </m:e>
                <m:sup>
                  <m:d>
                    <m:dPr>
                      <m:begChr m:val="("/>
                      <m:endChr m:val=")"/>
                    </m:dPr>
                    <m:e>
                      <m:r>
                        <w:rPr>
                          <w:rFonts w:ascii="Cambria Math" w:hAnsi="Cambria Math"/>
                        </w:rPr>
                        <m:t xml:space="preserve">j</m:t>
                      </m:r>
                    </m:e>
                  </m:d>
                </m:sup>
              </m:sSup>
            </m:e>
          </m:d>
          <m:r>
            <w:rPr>
              <w:rFonts w:ascii="Cambria Math" w:hAnsi="Cambria Math"/>
            </w:rPr>
            <m:t xml:space="preserve">=</m:t>
          </m:r>
          <m:f>
            <m:num>
              <m:r>
                <w:rPr>
                  <w:rFonts w:ascii="Cambria Math" w:hAnsi="Cambria Math"/>
                </w:rPr>
                <m:t xml:space="preserve">1</m:t>
              </m:r>
            </m:num>
            <m:den>
              <m:r>
                <w:rPr>
                  <w:rFonts w:ascii="Cambria Math" w:hAnsi="Cambria Math"/>
                </w:rPr>
                <m:t xml:space="preserve">W</m:t>
              </m:r>
            </m:den>
          </m:f>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W</m:t>
              </m:r>
            </m:sup>
            <m:e>
              <m:f>
                <m:num>
                  <m:sSubSup>
                    <m:e>
                      <m:r>
                        <w:rPr>
                          <w:rFonts w:ascii="Cambria Math" w:hAnsi="Cambria Math"/>
                        </w:rPr>
                        <m:t xml:space="preserve">q</m:t>
                      </m:r>
                    </m:e>
                    <m:sub>
                      <m:r>
                        <w:rPr>
                          <w:rFonts w:ascii="Cambria Math" w:hAnsi="Cambria Math"/>
                        </w:rPr>
                        <m:t xml:space="preserve">i</m:t>
                      </m:r>
                    </m:sub>
                    <m:sup>
                      <m:r>
                        <w:rPr>
                          <w:rFonts w:ascii="Cambria Math" w:hAnsi="Cambria Math"/>
                        </w:rPr>
                        <m:t xml:space="preserve">T</m:t>
                      </m:r>
                    </m:sup>
                  </m:sSubSup>
                  <m:sSubSup>
                    <m:e>
                      <m:r>
                        <w:rPr>
                          <w:rFonts w:ascii="Cambria Math" w:hAnsi="Cambria Math"/>
                        </w:rPr>
                        <m:t xml:space="preserve">c</m:t>
                      </m:r>
                    </m:e>
                    <m:sub>
                      <m:r>
                        <w:rPr>
                          <w:rFonts w:ascii="Cambria Math" w:hAnsi="Cambria Math"/>
                        </w:rPr>
                        <m:t xml:space="preserve">i</m:t>
                      </m:r>
                    </m:sub>
                    <m:sup>
                      <m:d>
                        <m:dPr>
                          <m:begChr m:val="("/>
                          <m:endChr m:val=")"/>
                        </m:dPr>
                        <m:e>
                          <m:r>
                            <w:rPr>
                              <w:rFonts w:ascii="Cambria Math" w:hAnsi="Cambria Math"/>
                            </w:rPr>
                            <m:t xml:space="preserve">j</m:t>
                          </m:r>
                        </m:e>
                      </m:d>
                    </m:sup>
                  </m:sSubSup>
                </m:num>
                <m:den>
                  <m:sSub>
                    <m:e>
                      <m:d>
                        <m:dPr>
                          <m:begChr m:val="‖"/>
                          <m:endChr m:val="‖"/>
                        </m:dPr>
                        <m:e>
                          <m:sSub>
                            <m:e>
                              <m:r>
                                <w:rPr>
                                  <w:rFonts w:ascii="Cambria Math" w:hAnsi="Cambria Math"/>
                                </w:rPr>
                                <m:t xml:space="preserve">q</m:t>
                              </m:r>
                            </m:e>
                            <m:sub>
                              <m:r>
                                <w:rPr>
                                  <w:rFonts w:ascii="Cambria Math" w:hAnsi="Cambria Math"/>
                                </w:rPr>
                                <m:t xml:space="preserve">i</m:t>
                              </m:r>
                            </m:sub>
                          </m:sSub>
                        </m:e>
                      </m:d>
                    </m:e>
                    <m:sub>
                      <m:r>
                        <w:rPr>
                          <w:rFonts w:ascii="Cambria Math" w:hAnsi="Cambria Math"/>
                        </w:rPr>
                        <m:t xml:space="preserve">2</m:t>
                      </m:r>
                    </m:sub>
                  </m:sSub>
                  <m:sSub>
                    <m:e>
                      <m:d>
                        <m:dPr>
                          <m:begChr m:val="‖"/>
                          <m:endChr m:val="‖"/>
                        </m:dPr>
                        <m:e>
                          <m:sSubSup>
                            <m:e>
                              <m:r>
                                <w:rPr>
                                  <w:rFonts w:ascii="Cambria Math" w:hAnsi="Cambria Math"/>
                                </w:rPr>
                                <m:t xml:space="preserve">c</m:t>
                              </m:r>
                            </m:e>
                            <m:sub>
                              <m:r>
                                <w:rPr>
                                  <w:rFonts w:ascii="Cambria Math" w:hAnsi="Cambria Math"/>
                                </w:rPr>
                                <m:t xml:space="preserve">i</m:t>
                              </m:r>
                            </m:sub>
                            <m:sup>
                              <m:d>
                                <m:dPr>
                                  <m:begChr m:val="("/>
                                  <m:endChr m:val=")"/>
                                </m:dPr>
                                <m:e>
                                  <m:r>
                                    <w:rPr>
                                      <w:rFonts w:ascii="Cambria Math" w:hAnsi="Cambria Math"/>
                                    </w:rPr>
                                    <m:t xml:space="preserve">j</m:t>
                                  </m:r>
                                </m:e>
                              </m:d>
                            </m:sup>
                          </m:sSubSup>
                        </m:e>
                      </m:d>
                    </m:e>
                    <m:sub>
                      <m:r>
                        <w:rPr>
                          <w:rFonts w:ascii="Cambria Math" w:hAnsi="Cambria Math"/>
                        </w:rPr>
                        <m:t xml:space="preserve">2</m:t>
                      </m:r>
                    </m:sub>
                  </m:sSub>
                </m:den>
              </m:f>
            </m:e>
          </m:nary>
        </m:oMath>
      </m:oMathPara>
    </w:p>
    <w:p>
      <w:pPr>
        <w:pStyle w:val="Normal"/>
        <w:spacing w:lineRule="auto" w:line="360" w:before="0" w:after="0"/>
        <w:jc w:val="both"/>
        <w:rPr>
          <w:rFonts w:ascii="Times New Roman" w:hAnsi="Times New Roman" w:eastAsia="" w:cs="Times New Roman" w:eastAsiaTheme="minorEastAsia"/>
          <w:sz w:val="20"/>
          <w:szCs w:val="20"/>
        </w:rPr>
      </w:pPr>
      <w:r>
        <w:rPr>
          <w:rFonts w:eastAsia="" w:cs="Times New Roman" w:ascii="Times New Roman" w:hAnsi="Times New Roman" w:eastAsiaTheme="minorEastAsia"/>
          <w:sz w:val="20"/>
          <w:szCs w:val="20"/>
        </w:rPr>
        <w:t xml:space="preserve">where </w:t>
      </w:r>
      <w:r>
        <w:rPr/>
      </w:r>
      <m:oMath xmlns:m="http://schemas.openxmlformats.org/officeDocument/2006/math">
        <m:sSub>
          <m:e>
            <m:r>
              <w:rPr>
                <w:rFonts w:ascii="Cambria Math" w:hAnsi="Cambria Math"/>
              </w:rPr>
              <m:t xml:space="preserve">q</m:t>
            </m:r>
          </m:e>
          <m:sub>
            <m:r>
              <w:rPr>
                <w:rFonts w:ascii="Cambria Math" w:hAnsi="Cambria Math"/>
              </w:rPr>
              <m:t xml:space="preserve">i</m:t>
            </m:r>
          </m:sub>
        </m:sSub>
      </m:oMath>
      <w:r>
        <w:rPr>
          <w:rFonts w:eastAsia="" w:cs="Times New Roman" w:ascii="Times New Roman" w:hAnsi="Times New Roman" w:eastAsiaTheme="minorEastAsia"/>
          <w:sz w:val="20"/>
          <w:szCs w:val="20"/>
        </w:rPr>
        <w:t xml:space="preserve"> and </w:t>
      </w:r>
      <w:r>
        <w:rPr/>
      </w:r>
      <m:oMath xmlns:m="http://schemas.openxmlformats.org/officeDocument/2006/math">
        <m:sSubSup>
          <m:e>
            <m:r>
              <w:rPr>
                <w:rFonts w:ascii="Cambria Math" w:hAnsi="Cambria Math"/>
              </w:rPr>
              <m:t xml:space="preserve">c</m:t>
            </m:r>
          </m:e>
          <m:sub>
            <m:r>
              <w:rPr>
                <w:rFonts w:ascii="Cambria Math" w:hAnsi="Cambria Math"/>
              </w:rPr>
              <m:t xml:space="preserve">i</m:t>
            </m:r>
          </m:sub>
          <m:sup>
            <m:d>
              <m:dPr>
                <m:begChr m:val="("/>
                <m:endChr m:val=")"/>
              </m:dPr>
              <m:e>
                <m:r>
                  <w:rPr>
                    <w:rFonts w:ascii="Cambria Math" w:hAnsi="Cambria Math"/>
                  </w:rPr>
                  <m:t xml:space="preserve">j</m:t>
                </m:r>
              </m:e>
            </m:d>
          </m:sup>
        </m:sSubSup>
      </m:oMath>
      <w:r>
        <w:rPr>
          <w:rFonts w:eastAsia="" w:cs="Times New Roman" w:ascii="Times New Roman" w:hAnsi="Times New Roman" w:eastAsiaTheme="minorEastAsia"/>
          <w:sz w:val="20"/>
          <w:szCs w:val="20"/>
        </w:rPr>
        <w:t xml:space="preserve"> denote the query and candidate embeddings at relative position </w:t>
      </w:r>
      <w:r>
        <w:rPr/>
      </w:r>
      <m:oMath xmlns:m="http://schemas.openxmlformats.org/officeDocument/2006/math">
        <m:r>
          <w:rPr>
            <w:rFonts w:ascii="Cambria Math" w:hAnsi="Cambria Math"/>
          </w:rPr>
          <m:t xml:space="preserve">i</m:t>
        </m:r>
      </m:oMath>
      <w:r>
        <w:rPr>
          <w:rFonts w:eastAsia="" w:cs="Times New Roman" w:ascii="Times New Roman" w:hAnsi="Times New Roman" w:eastAsiaTheme="minorEastAsia"/>
          <w:sz w:val="20"/>
          <w:szCs w:val="20"/>
        </w:rPr>
        <w:t>. Because the embeddings are L2-normalised, each cosine similarity reduces to the inner product of the corresponding vectors. Temporal order is preserved: the first query year is compared only with the first year of the candidate window, the second with the second, and so on.</w:t>
      </w:r>
    </w:p>
    <w:p>
      <w:pPr>
        <w:pStyle w:val="Normal"/>
        <w:spacing w:lineRule="auto" w:line="240" w:before="0" w:after="0"/>
        <w:jc w:val="both"/>
        <w:rPr>
          <w:rFonts w:ascii="Times New Roman" w:hAnsi="Times New Roman" w:eastAsia="" w:cs="Times New Roman" w:eastAsiaTheme="minorEastAsia"/>
          <w:sz w:val="20"/>
          <w:szCs w:val="20"/>
        </w:rPr>
      </w:pPr>
      <w:r>
        <w:rPr>
          <w:rFonts w:eastAsia="" w:cs="Times New Roman" w:eastAsiaTheme="minorEastAsia" w:ascii="Times New Roman" w:hAnsi="Times New Roman"/>
          <w:sz w:val="20"/>
          <w:szCs w:val="20"/>
        </w:rPr>
      </w:r>
    </w:p>
    <w:p>
      <w:pPr>
        <w:pStyle w:val="Normal"/>
        <w:spacing w:lineRule="auto" w:line="360" w:before="0" w:after="0"/>
        <w:jc w:val="both"/>
        <w:rPr>
          <w:rFonts w:ascii="Times New Roman" w:hAnsi="Times New Roman" w:eastAsia="" w:cs="Times New Roman" w:eastAsiaTheme="minorEastAsia"/>
          <w:sz w:val="20"/>
          <w:szCs w:val="20"/>
        </w:rPr>
      </w:pPr>
      <w:r>
        <w:rPr>
          <w:rFonts w:eastAsia="" w:cs="Times New Roman" w:ascii="Times New Roman" w:hAnsi="Times New Roman" w:eastAsiaTheme="minorEastAsia"/>
          <w:sz w:val="20"/>
          <w:szCs w:val="20"/>
        </w:rPr>
        <w:t xml:space="preserve">For each candidate lake </w:t>
      </w:r>
      <w:r>
        <w:rPr/>
      </w:r>
      <m:oMath xmlns:m="http://schemas.openxmlformats.org/officeDocument/2006/math">
        <m:r>
          <w:rPr>
            <w:rFonts w:ascii="Cambria Math" w:hAnsi="Cambria Math"/>
          </w:rPr>
          <m:t xml:space="preserve">L</m:t>
        </m:r>
      </m:oMath>
      <w:r>
        <w:rPr>
          <w:rFonts w:eastAsia="" w:cs="Times New Roman" w:ascii="Times New Roman" w:hAnsi="Times New Roman" w:eastAsiaTheme="minorEastAsia"/>
          <w:sz w:val="20"/>
          <w:szCs w:val="20"/>
        </w:rPr>
        <w:t>, the highest-scoring window is selected</w:t>
      </w:r>
    </w:p>
    <w:p>
      <w:pPr>
        <w:pStyle w:val="Normal"/>
        <w:spacing w:lineRule="auto" w:line="240" w:before="0" w:after="0"/>
        <w:jc w:val="both"/>
        <w:rPr>
          <w:rFonts w:ascii="Times New Roman" w:hAnsi="Times New Roman" w:eastAsia="" w:cs="Times New Roman" w:eastAsiaTheme="minorEastAsia"/>
          <w:sz w:val="20"/>
          <w:szCs w:val="20"/>
        </w:rPr>
      </w:pPr>
      <w:r>
        <w:rPr>
          <w:rFonts w:eastAsia="" w:cs="Times New Roman" w:eastAsiaTheme="minorEastAsia" w:ascii="Times New Roman" w:hAnsi="Times New Roman"/>
          <w:sz w:val="20"/>
          <w:szCs w:val="20"/>
        </w:rPr>
      </w:r>
    </w:p>
    <w:p>
      <w:pPr>
        <w:pStyle w:val="Normal"/>
        <w:spacing w:lineRule="auto" w:line="360" w:before="0" w:after="0"/>
        <w:jc w:val="center"/>
        <w:rPr>
          <w:rFonts w:ascii="Times New Roman" w:hAnsi="Times New Roman" w:eastAsia="" w:cs="Times New Roman" w:eastAsiaTheme="minorEastAsia"/>
          <w:sz w:val="20"/>
          <w:szCs w:val="20"/>
        </w:rPr>
      </w:pPr>
      <w:r>
        <w:rPr/>
      </w:r>
      <m:oMathPara xmlns:m="http://schemas.openxmlformats.org/officeDocument/2006/math">
        <m:oMathParaPr>
          <m:jc m:val="center"/>
        </m:oMathParaPr>
        <m:oMath>
          <m:sSub>
            <m:e>
              <m:r>
                <w:rPr>
                  <w:rFonts w:ascii="Cambria Math" w:hAnsi="Cambria Math"/>
                </w:rPr>
                <m:t xml:space="preserve">S</m:t>
              </m:r>
            </m:e>
            <m:sub>
              <m:r>
                <w:rPr>
                  <w:rFonts w:ascii="Cambria Math" w:hAnsi="Cambria Math"/>
                </w:rPr>
                <m:t xml:space="preserve">L</m:t>
              </m:r>
            </m:sub>
          </m:sSub>
          <m:r>
            <w:rPr>
              <w:rFonts w:ascii="Cambria Math" w:hAnsi="Cambria Math"/>
            </w:rPr>
            <m:t xml:space="preserve">=</m:t>
          </m:r>
          <m:limLow>
            <m:e>
              <m:r>
                <w:rPr>
                  <w:rFonts w:ascii="Cambria Math" w:hAnsi="Cambria Math"/>
                </w:rPr>
                <m:t xml:space="preserve">max</m:t>
              </m:r>
            </m:e>
            <m:lim>
              <m:r>
                <w:rPr>
                  <w:rFonts w:ascii="Cambria Math" w:hAnsi="Cambria Math"/>
                </w:rPr>
                <m:t xml:space="preserve">j</m:t>
              </m:r>
            </m:lim>
          </m:limLow>
          <m:r>
            <w:rPr>
              <w:rFonts w:ascii="Cambria Math" w:hAnsi="Cambria Math"/>
            </w:rPr>
            <m:t xml:space="preserve">S</m:t>
          </m:r>
          <m:d>
            <m:dPr>
              <m:begChr m:val="("/>
              <m:endChr m:val=")"/>
            </m:dPr>
            <m:e>
              <m:r>
                <w:rPr>
                  <w:rFonts w:ascii="Cambria Math" w:hAnsi="Cambria Math"/>
                </w:rPr>
                <m:t xml:space="preserve">Q</m:t>
              </m:r>
              <m:r>
                <w:rPr>
                  <w:rFonts w:ascii="Cambria Math" w:hAnsi="Cambria Math"/>
                </w:rPr>
                <m:t xml:space="preserve">,</m:t>
              </m:r>
              <m:sSup>
                <m:e>
                  <m:r>
                    <w:rPr>
                      <w:rFonts w:ascii="Cambria Math" w:hAnsi="Cambria Math"/>
                    </w:rPr>
                    <m:t xml:space="preserve">C</m:t>
                  </m:r>
                </m:e>
                <m:sup>
                  <m:d>
                    <m:dPr>
                      <m:begChr m:val="("/>
                      <m:endChr m:val=")"/>
                    </m:dPr>
                    <m:e>
                      <m:r>
                        <w:rPr>
                          <w:rFonts w:ascii="Cambria Math" w:hAnsi="Cambria Math"/>
                        </w:rPr>
                        <m:t xml:space="preserve">j</m:t>
                      </m:r>
                    </m:e>
                  </m:d>
                </m:sup>
              </m:sSup>
            </m:e>
          </m:d>
          <m:r>
            <w:rPr>
              <w:rFonts w:ascii="Cambria Math" w:hAnsi="Cambria Math"/>
            </w:rPr>
            <m:t xml:space="preserve">,</m:t>
          </m:r>
          <m:sSup>
            <m:e>
              <m:r>
                <w:rPr>
                  <w:rFonts w:ascii="Cambria Math" w:hAnsi="Cambria Math"/>
                </w:rPr>
                <m:t xml:space="preserve">j</m:t>
              </m:r>
            </m:e>
            <m:sup/>
          </m:sSup>
          <m:r>
            <w:rPr>
              <w:rFonts w:ascii="Cambria Math" w:hAnsi="Cambria Math"/>
            </w:rPr>
            <m:t xml:space="preserve">=</m:t>
          </m:r>
          <m:r>
            <w:rPr>
              <w:rFonts w:ascii="Cambria Math" w:hAnsi="Cambria Math"/>
            </w:rPr>
            <m:t xml:space="preserve">arg</m:t>
          </m:r>
          <m:limLow>
            <m:e>
              <m:r>
                <w:rPr>
                  <w:rFonts w:ascii="Cambria Math" w:hAnsi="Cambria Math"/>
                </w:rPr>
                <m:t xml:space="preserve">max</m:t>
              </m:r>
            </m:e>
            <m:lim>
              <m:r>
                <w:rPr>
                  <w:rFonts w:ascii="Cambria Math" w:hAnsi="Cambria Math"/>
                </w:rPr>
                <m:t xml:space="preserve">j</m:t>
              </m:r>
            </m:lim>
          </m:limLow>
          <m:r>
            <w:rPr>
              <w:rFonts w:ascii="Cambria Math" w:hAnsi="Cambria Math"/>
            </w:rPr>
            <m:t xml:space="preserve">S</m:t>
          </m:r>
          <m:d>
            <m:dPr>
              <m:begChr m:val="("/>
              <m:endChr m:val=")"/>
            </m:dPr>
            <m:e>
              <m:r>
                <w:rPr>
                  <w:rFonts w:ascii="Cambria Math" w:hAnsi="Cambria Math"/>
                </w:rPr>
                <m:t xml:space="preserve">Q</m:t>
              </m:r>
              <m:r>
                <w:rPr>
                  <w:rFonts w:ascii="Cambria Math" w:hAnsi="Cambria Math"/>
                </w:rPr>
                <m:t xml:space="preserve">,</m:t>
              </m:r>
              <m:sSup>
                <m:e>
                  <m:r>
                    <w:rPr>
                      <w:rFonts w:ascii="Cambria Math" w:hAnsi="Cambria Math"/>
                    </w:rPr>
                    <m:t xml:space="preserve">C</m:t>
                  </m:r>
                </m:e>
                <m:sup>
                  <m:d>
                    <m:dPr>
                      <m:begChr m:val="("/>
                      <m:endChr m:val=")"/>
                    </m:dPr>
                    <m:e>
                      <m:r>
                        <w:rPr>
                          <w:rFonts w:ascii="Cambria Math" w:hAnsi="Cambria Math"/>
                        </w:rPr>
                        <m:t xml:space="preserve">j</m:t>
                      </m:r>
                    </m:e>
                  </m:d>
                </m:sup>
              </m:sSup>
            </m:e>
          </m:d>
        </m:oMath>
      </m:oMathPara>
    </w:p>
    <w:p>
      <w:pPr>
        <w:pStyle w:val="Normal"/>
        <w:spacing w:lineRule="auto" w:line="360" w:before="0" w:after="0"/>
        <w:jc w:val="both"/>
        <w:rPr>
          <w:rFonts w:ascii="Times New Roman" w:hAnsi="Times New Roman" w:eastAsia="" w:cs="Times New Roman" w:eastAsiaTheme="minorEastAsia"/>
          <w:sz w:val="20"/>
          <w:szCs w:val="20"/>
        </w:rPr>
      </w:pPr>
      <w:r>
        <w:rPr>
          <w:rFonts w:eastAsia="" w:cs="Times New Roman" w:ascii="Times New Roman" w:hAnsi="Times New Roman" w:eastAsiaTheme="minorEastAsia"/>
          <w:sz w:val="20"/>
          <w:szCs w:val="20"/>
        </w:rPr>
        <w:t xml:space="preserve">where </w:t>
      </w:r>
      <w:r>
        <w:rPr/>
      </w:r>
      <m:oMath xmlns:m="http://schemas.openxmlformats.org/officeDocument/2006/math">
        <m:sSub>
          <m:e>
            <m:r>
              <w:rPr>
                <w:rFonts w:ascii="Cambria Math" w:hAnsi="Cambria Math"/>
              </w:rPr>
              <m:t xml:space="preserve">S</m:t>
            </m:r>
          </m:e>
          <m:sub>
            <m:r>
              <w:rPr>
                <w:rFonts w:ascii="Cambria Math" w:hAnsi="Cambria Math"/>
              </w:rPr>
              <m:t xml:space="preserve">L</m:t>
            </m:r>
          </m:sub>
        </m:sSub>
      </m:oMath>
      <w:r>
        <w:rPr>
          <w:rFonts w:eastAsia="" w:cs="Times New Roman" w:ascii="Times New Roman" w:hAnsi="Times New Roman" w:eastAsiaTheme="minorEastAsia"/>
          <w:sz w:val="20"/>
          <w:szCs w:val="20"/>
        </w:rPr>
        <w:t xml:space="preserve"> is the candidate lake's best-window similarity and </w:t>
      </w:r>
      <w:r>
        <w:rPr/>
      </w:r>
      <m:oMath xmlns:m="http://schemas.openxmlformats.org/officeDocument/2006/math">
        <m:sSup>
          <m:e>
            <m:r>
              <w:rPr>
                <w:rFonts w:ascii="Cambria Math" w:hAnsi="Cambria Math"/>
              </w:rPr>
              <m:t xml:space="preserve">j</m:t>
            </m:r>
          </m:e>
          <m:sup/>
        </m:sSup>
      </m:oMath>
      <w:r>
        <w:rPr>
          <w:rFonts w:eastAsia="" w:cs="Times New Roman" w:ascii="Times New Roman" w:hAnsi="Times New Roman" w:eastAsiaTheme="minorEastAsia"/>
          <w:sz w:val="20"/>
          <w:szCs w:val="20"/>
        </w:rPr>
        <w:t xml:space="preserve"> identifies the selected window. The end year of this window, </w:t>
      </w:r>
      <w:r>
        <w:rPr/>
      </w:r>
      <m:oMath xmlns:m="http://schemas.openxmlformats.org/officeDocument/2006/math">
        <m:sSub>
          <m:e>
            <m:r>
              <w:rPr>
                <w:rFonts w:ascii="Cambria Math" w:hAnsi="Cambria Math"/>
              </w:rPr>
              <m:t xml:space="preserve">m</m:t>
            </m:r>
          </m:e>
          <m:sub>
            <m:r>
              <w:rPr>
                <w:rFonts w:ascii="Cambria Math" w:hAnsi="Cambria Math"/>
              </w:rPr>
              <m:t xml:space="preserve">L</m:t>
            </m:r>
          </m:sub>
        </m:sSub>
        <m:r>
          <w:rPr>
            <w:rFonts w:ascii="Cambria Math" w:hAnsi="Cambria Math"/>
          </w:rPr>
          <m:t xml:space="preserve">=</m:t>
        </m:r>
        <m:sSub>
          <m:e>
            <m:r>
              <w:rPr>
                <w:rFonts w:ascii="Cambria Math" w:hAnsi="Cambria Math"/>
              </w:rPr>
              <m:t xml:space="preserve">y</m:t>
            </m:r>
          </m:e>
          <m:sub>
            <m:sSup>
              <m:e>
                <m:r>
                  <w:rPr>
                    <w:rFonts w:ascii="Cambria Math" w:hAnsi="Cambria Math"/>
                  </w:rPr>
                  <m:t xml:space="preserve">j</m:t>
                </m:r>
              </m:e>
              <m:sup/>
            </m:sSup>
          </m:sub>
        </m:sSub>
        <m:r>
          <w:rPr>
            <w:rFonts w:ascii="Cambria Math" w:hAnsi="Cambria Math"/>
          </w:rPr>
          <m:t xml:space="preserve">+</m:t>
        </m:r>
        <m:r>
          <w:rPr>
            <w:rFonts w:ascii="Cambria Math" w:hAnsi="Cambria Math"/>
          </w:rPr>
          <m:t xml:space="preserve">W</m:t>
        </m:r>
        <m:r>
          <w:rPr>
            <w:rFonts w:ascii="Cambria Math" w:hAnsi="Cambria Math"/>
          </w:rPr>
          <m:t xml:space="preserve">−</m:t>
        </m:r>
        <m:r>
          <w:rPr>
            <w:rFonts w:ascii="Cambria Math" w:hAnsi="Cambria Math"/>
          </w:rPr>
          <m:t xml:space="preserve">1</m:t>
        </m:r>
      </m:oMath>
      <w:r>
        <w:rPr>
          <w:rFonts w:eastAsia="" w:cs="Times New Roman" w:ascii="Times New Roman" w:hAnsi="Times New Roman" w:eastAsiaTheme="minorEastAsia"/>
          <w:sz w:val="20"/>
          <w:szCs w:val="20"/>
        </w:rPr>
        <w:t>, defines the temporal pivot for transferring subsequent index changes from the candidate lake to the target.</w:t>
      </w:r>
    </w:p>
    <w:p>
      <w:pPr>
        <w:pStyle w:val="Normal"/>
        <w:spacing w:lineRule="auto" w:line="240" w:before="0" w:after="0"/>
        <w:jc w:val="both"/>
        <w:rPr>
          <w:rFonts w:ascii="Times New Roman" w:hAnsi="Times New Roman" w:eastAsia="" w:cs="Times New Roman" w:eastAsiaTheme="minorEastAsia"/>
          <w:sz w:val="20"/>
          <w:szCs w:val="20"/>
        </w:rPr>
      </w:pPr>
      <w:r>
        <w:rPr>
          <w:rFonts w:eastAsia="" w:cs="Times New Roman" w:eastAsiaTheme="minorEastAsia" w:ascii="Times New Roman" w:hAnsi="Times New Roman"/>
          <w:sz w:val="20"/>
          <w:szCs w:val="20"/>
        </w:rPr>
      </w:r>
    </w:p>
    <w:p>
      <w:pPr>
        <w:pStyle w:val="Normal"/>
        <w:spacing w:lineRule="auto" w:line="360" w:before="0" w:after="0"/>
        <w:jc w:val="both"/>
        <w:rPr>
          <w:rFonts w:ascii="Times New Roman" w:hAnsi="Times New Roman" w:eastAsia="" w:cs="Times New Roman" w:eastAsiaTheme="minorEastAsia"/>
          <w:sz w:val="20"/>
          <w:szCs w:val="20"/>
        </w:rPr>
      </w:pPr>
      <w:r>
        <w:rPr>
          <w:rFonts w:eastAsia="" w:cs="Times New Roman" w:ascii="Times New Roman" w:hAnsi="Times New Roman" w:eastAsiaTheme="minorEastAsia"/>
          <w:sz w:val="20"/>
          <w:szCs w:val="20"/>
        </w:rPr>
        <w:t xml:space="preserve">In the Ramsar case studies, the raw cosine similarity scores of the five top-ranked candidates ranged from 0.983 to 0.999. To make these values easier to display, EcoTwin applies a linear transformation with a lower reference value of </w:t>
      </w:r>
      <w:r>
        <w:rPr/>
      </w:r>
      <m:oMath xmlns:m="http://schemas.openxmlformats.org/officeDocument/2006/math">
        <m:r>
          <w:rPr>
            <w:rFonts w:ascii="Cambria Math" w:hAnsi="Cambria Math"/>
          </w:rPr>
          <m:t xml:space="preserve">ϕ</m:t>
        </m:r>
        <m:r>
          <w:rPr>
            <w:rFonts w:ascii="Cambria Math" w:hAnsi="Cambria Math"/>
          </w:rPr>
          <m:t xml:space="preserve">=</m:t>
        </m:r>
        <m:r>
          <w:rPr>
            <w:rFonts w:ascii="Cambria Math" w:hAnsi="Cambria Math"/>
          </w:rPr>
          <m:t xml:space="preserve">0.5</m:t>
        </m:r>
      </m:oMath>
      <w:r>
        <w:rPr>
          <w:rFonts w:eastAsia="" w:cs="Times New Roman" w:ascii="Times New Roman" w:hAnsi="Times New Roman" w:eastAsiaTheme="minorEastAsia"/>
          <w:sz w:val="20"/>
          <w:szCs w:val="20"/>
        </w:rPr>
        <w:t>:</w:t>
      </w:r>
    </w:p>
    <w:p>
      <w:pPr>
        <w:pStyle w:val="Normal"/>
        <w:spacing w:lineRule="auto" w:line="360" w:before="0" w:after="0"/>
        <w:jc w:val="center"/>
        <w:rPr>
          <w:rFonts w:ascii="Times New Roman" w:hAnsi="Times New Roman" w:eastAsia="" w:cs="Times New Roman" w:eastAsiaTheme="minorEastAsia"/>
          <w:sz w:val="20"/>
          <w:szCs w:val="20"/>
        </w:rPr>
      </w:pPr>
      <w:r>
        <w:rPr/>
      </w:r>
      <m:oMathPara xmlns:m="http://schemas.openxmlformats.org/officeDocument/2006/math">
        <m:oMathParaPr>
          <m:jc m:val="center"/>
        </m:oMathParaPr>
        <m:oMath>
          <m:sSubSup>
            <m:e>
              <m:r>
                <w:rPr>
                  <w:rFonts w:ascii="Cambria Math" w:hAnsi="Cambria Math"/>
                </w:rPr>
                <m:t xml:space="preserve">S</m:t>
              </m:r>
            </m:e>
            <m:sub>
              <m:r>
                <w:rPr>
                  <w:rFonts w:ascii="Cambria Math" w:hAnsi="Cambria Math"/>
                </w:rPr>
                <m:t xml:space="preserve">L</m:t>
              </m:r>
            </m:sub>
            <m:sup>
              <m:r>
                <w:rPr>
                  <w:rFonts w:ascii="Cambria Math" w:hAnsi="Cambria Math"/>
                </w:rPr>
                <m:t xml:space="preserve">display</m:t>
              </m:r>
            </m:sup>
          </m:sSubSup>
          <m:r>
            <w:rPr>
              <w:rFonts w:ascii="Cambria Math" w:hAnsi="Cambria Math"/>
            </w:rPr>
            <m:t xml:space="preserve">=</m:t>
          </m:r>
          <m:sSub>
            <m:e>
              <m:r>
                <w:rPr>
                  <w:rFonts w:ascii="Cambria Math" w:hAnsi="Cambria Math"/>
                </w:rPr>
                <m:t xml:space="preserve">clip</m:t>
              </m:r>
            </m:e>
            <m:sub>
              <m:d>
                <m:dPr>
                  <m:begChr m:val="["/>
                  <m:endChr m:val="]"/>
                </m:dPr>
                <m:e>
                  <m:r>
                    <w:rPr>
                      <w:rFonts w:ascii="Cambria Math" w:hAnsi="Cambria Math"/>
                    </w:rPr>
                    <m:t xml:space="preserve">0,1</m:t>
                  </m:r>
                </m:e>
              </m:d>
            </m:sub>
          </m:sSub>
          <m:d>
            <m:dPr>
              <m:begChr m:val="("/>
              <m:endChr m:val=")"/>
            </m:dPr>
            <m:e>
              <m:f>
                <m:num>
                  <m:sSub>
                    <m:e>
                      <m:r>
                        <w:rPr>
                          <w:rFonts w:ascii="Cambria Math" w:hAnsi="Cambria Math"/>
                        </w:rPr>
                        <m:t xml:space="preserve">S</m:t>
                      </m:r>
                    </m:e>
                    <m:sub>
                      <m:r>
                        <w:rPr>
                          <w:rFonts w:ascii="Cambria Math" w:hAnsi="Cambria Math"/>
                        </w:rPr>
                        <m:t xml:space="preserve">L</m:t>
                      </m:r>
                    </m:sub>
                  </m:sSub>
                  <m:r>
                    <w:rPr>
                      <w:rFonts w:ascii="Cambria Math" w:hAnsi="Cambria Math"/>
                    </w:rPr>
                    <m:t xml:space="preserve">−</m:t>
                  </m:r>
                  <m:r>
                    <w:rPr>
                      <w:rFonts w:ascii="Cambria Math" w:hAnsi="Cambria Math"/>
                    </w:rPr>
                    <m:t xml:space="preserve">ϕ</m:t>
                  </m:r>
                </m:num>
                <m:den>
                  <m:r>
                    <w:rPr>
                      <w:rFonts w:ascii="Cambria Math" w:hAnsi="Cambria Math"/>
                    </w:rPr>
                    <m:t xml:space="preserve">1</m:t>
                  </m:r>
                  <m:r>
                    <w:rPr>
                      <w:rFonts w:ascii="Cambria Math" w:hAnsi="Cambria Math"/>
                    </w:rPr>
                    <m:t xml:space="preserve">−</m:t>
                  </m:r>
                  <m:r>
                    <w:rPr>
                      <w:rFonts w:ascii="Cambria Math" w:hAnsi="Cambria Math"/>
                    </w:rPr>
                    <m:t xml:space="preserve">ϕ</m:t>
                  </m:r>
                </m:den>
              </m:f>
            </m:e>
          </m:d>
        </m:oMath>
      </m:oMathPara>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 xml:space="preserve">where </w:t>
      </w:r>
      <w:r>
        <w:rPr/>
      </w:r>
      <m:oMath xmlns:m="http://schemas.openxmlformats.org/officeDocument/2006/math">
        <m:sSub>
          <m:e>
            <m:r>
              <w:rPr>
                <w:rFonts w:ascii="Cambria Math" w:hAnsi="Cambria Math"/>
              </w:rPr>
              <m:t xml:space="preserve">clip</m:t>
            </m:r>
          </m:e>
          <m:sub>
            <m:d>
              <m:dPr>
                <m:begChr m:val="["/>
                <m:endChr m:val="]"/>
              </m:dPr>
              <m:e>
                <m:r>
                  <w:rPr>
                    <w:rFonts w:ascii="Cambria Math" w:hAnsi="Cambria Math"/>
                  </w:rPr>
                  <m:t xml:space="preserve">0</m:t>
                </m:r>
                <m:r>
                  <w:rPr>
                    <w:rFonts w:ascii="Cambria Math" w:hAnsi="Cambria Math"/>
                  </w:rPr>
                  <m:t xml:space="preserve">,</m:t>
                </m:r>
                <m:r>
                  <w:rPr>
                    <w:rFonts w:ascii="Cambria Math" w:hAnsi="Cambria Math"/>
                  </w:rPr>
                  <m:t xml:space="preserve">1</m:t>
                </m:r>
              </m:e>
            </m:d>
          </m:sub>
        </m:sSub>
      </m:oMath>
      <w:r>
        <w:rPr>
          <w:rFonts w:cs="Times New Roman" w:ascii="Times New Roman" w:hAnsi="Times New Roman"/>
          <w:sz w:val="20"/>
          <w:szCs w:val="20"/>
        </w:rPr>
        <w:t xml:space="preserve"> restricts the transformed value to the interval from zero to one. This monotonic transformation preserves candidate ranking but does not produce a calibrated probability or a percentage measure of ecological similarity. Raw cosine similarity and the transformed display score should therefore be distinguished in reported results. Alternative measures include Euclidean distance transformed as </w:t>
      </w:r>
      <w:r>
        <w:rPr/>
      </w:r>
      <m:oMath xmlns:m="http://schemas.openxmlformats.org/officeDocument/2006/math">
        <m:f>
          <m:fPr>
            <m:type m:val="lin"/>
          </m:fPr>
          <m:num>
            <m:r>
              <w:rPr>
                <w:rFonts w:ascii="Cambria Math" w:hAnsi="Cambria Math"/>
              </w:rPr>
              <m:t xml:space="preserve">1</m:t>
            </m:r>
          </m:num>
          <m:den>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d</m:t>
                </m:r>
              </m:e>
            </m:d>
          </m:den>
        </m:f>
      </m:oMath>
      <w:r>
        <w:rPr>
          <w:rFonts w:cs="Times New Roman" w:ascii="Times New Roman" w:hAnsi="Times New Roman"/>
          <w:sz w:val="20"/>
          <w:szCs w:val="20"/>
        </w:rPr>
        <w:t xml:space="preserve"> and inner product transformed as </w:t>
      </w:r>
      <w:r>
        <w:rPr/>
      </w:r>
      <m:oMath xmlns:m="http://schemas.openxmlformats.org/officeDocument/2006/math">
        <m:f>
          <m:fPr>
            <m:type m:val="lin"/>
          </m:fPr>
          <m:num>
            <m:d>
              <m:dPr>
                <m:begChr m:val="("/>
                <m:endChr m:val=")"/>
              </m:dPr>
              <m:e>
                <m:r>
                  <w:rPr>
                    <w:rFonts w:ascii="Cambria Math" w:hAnsi="Cambria Math"/>
                  </w:rPr>
                  <m:t xml:space="preserve">⟨</m:t>
                </m:r>
                <m:r>
                  <w:rPr>
                    <w:rFonts w:ascii="Cambria Math" w:hAnsi="Cambria Math"/>
                  </w:rPr>
                  <m:t xml:space="preserve">a</m:t>
                </m:r>
                <m:r>
                  <w:rPr>
                    <w:rFonts w:ascii="Cambria Math" w:hAnsi="Cambria Math"/>
                  </w:rPr>
                  <m:t xml:space="preserve">,</m:t>
                </m:r>
                <m:r>
                  <w:rPr>
                    <w:rFonts w:ascii="Cambria Math" w:hAnsi="Cambria Math"/>
                  </w:rPr>
                  <m:t xml:space="preserve">b</m:t>
                </m:r>
                <m:r>
                  <w:rPr>
                    <w:rFonts w:ascii="Cambria Math" w:hAnsi="Cambria Math"/>
                  </w:rPr>
                  <m:t xml:space="preserve">⟩</m:t>
                </m:r>
                <m:r>
                  <w:rPr>
                    <w:rFonts w:ascii="Cambria Math" w:hAnsi="Cambria Math"/>
                  </w:rPr>
                  <m:t xml:space="preserve">+</m:t>
                </m:r>
                <m:r>
                  <w:rPr>
                    <w:rFonts w:ascii="Cambria Math" w:hAnsi="Cambria Math"/>
                  </w:rPr>
                  <m:t xml:space="preserve">1</m:t>
                </m:r>
              </m:e>
            </m:d>
          </m:num>
          <m:den>
            <m:r>
              <w:rPr>
                <w:rFonts w:ascii="Cambria Math" w:hAnsi="Cambria Math"/>
              </w:rPr>
              <m:t xml:space="preserve">2</m:t>
            </m:r>
          </m:den>
        </m:f>
      </m:oMath>
      <w:r>
        <w:rPr>
          <w:rFonts w:cs="Times New Roman" w:ascii="Times New Roman" w:hAnsi="Times New Roman"/>
          <w:sz w:val="20"/>
          <w:szCs w:val="20"/>
        </w:rPr>
        <w:t>, but cosine similarity is the default.</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 xml:space="preserve">The current implementation evaluates candidate windows exhaustively in Python. For </w:t>
      </w:r>
      <w:r>
        <w:rPr/>
      </w:r>
      <m:oMath xmlns:m="http://schemas.openxmlformats.org/officeDocument/2006/math">
        <m:sSub>
          <m:e>
            <m:r>
              <w:rPr>
                <w:rFonts w:ascii="Cambria Math" w:hAnsi="Cambria Math"/>
              </w:rPr>
              <m:t xml:space="preserve">N</m:t>
            </m:r>
          </m:e>
          <m:sub>
            <m:r>
              <w:rPr>
                <w:rFonts w:ascii="Cambria Math" w:hAnsi="Cambria Math"/>
              </w:rPr>
              <m:t xml:space="preserve">w</m:t>
            </m:r>
          </m:sub>
        </m:sSub>
      </m:oMath>
      <w:r>
        <w:rPr>
          <w:rFonts w:cs="Times New Roman" w:ascii="Times New Roman" w:hAnsi="Times New Roman"/>
          <w:sz w:val="20"/>
          <w:szCs w:val="20"/>
        </w:rPr>
        <w:t xml:space="preserve"> eligible candidate windows in total, window length </w:t>
      </w:r>
      <w:r>
        <w:rPr/>
      </w:r>
      <m:oMath xmlns:m="http://schemas.openxmlformats.org/officeDocument/2006/math">
        <m:r>
          <w:rPr>
            <w:rFonts w:ascii="Cambria Math" w:hAnsi="Cambria Math"/>
          </w:rPr>
          <m:t xml:space="preserve">W</m:t>
        </m:r>
      </m:oMath>
      <w:r>
        <w:rPr>
          <w:rFonts w:cs="Times New Roman" w:ascii="Times New Roman" w:hAnsi="Times New Roman"/>
          <w:sz w:val="20"/>
          <w:szCs w:val="20"/>
        </w:rPr>
        <w:t xml:space="preserve">, and embedding dimension </w:t>
      </w:r>
      <w:r>
        <w:rPr/>
      </w:r>
      <m:oMath xmlns:m="http://schemas.openxmlformats.org/officeDocument/2006/math">
        <m:r>
          <w:rPr>
            <w:rFonts w:ascii="Cambria Math" w:hAnsi="Cambria Math"/>
          </w:rPr>
          <m:t xml:space="preserve">d</m:t>
        </m:r>
      </m:oMath>
      <w:r>
        <w:rPr>
          <w:rFonts w:cs="Times New Roman" w:ascii="Times New Roman" w:hAnsi="Times New Roman"/>
          <w:sz w:val="20"/>
          <w:szCs w:val="20"/>
        </w:rPr>
        <w:t>, the approximate computational complexity of one query is</w:t>
      </w:r>
    </w:p>
    <w:p>
      <w:pPr>
        <w:pStyle w:val="Normal"/>
        <w:spacing w:lineRule="auto" w:line="360" w:before="0" w:after="0"/>
        <w:jc w:val="center"/>
        <w:rPr>
          <w:rFonts w:ascii="Times New Roman" w:hAnsi="Times New Roman" w:eastAsia="" w:cs="Times New Roman" w:eastAsiaTheme="minorEastAsia"/>
          <w:sz w:val="20"/>
          <w:szCs w:val="20"/>
        </w:rPr>
      </w:pPr>
      <w:r>
        <w:rPr/>
      </w:r>
      <m:oMathPara xmlns:m="http://schemas.openxmlformats.org/officeDocument/2006/math">
        <m:oMathParaPr>
          <m:jc m:val="center"/>
        </m:oMathParaPr>
        <m:oMath>
          <m:r>
            <w:rPr>
              <w:rFonts w:ascii="Cambria Math" w:hAnsi="Cambria Math"/>
            </w:rPr>
            <m:t xml:space="preserve">O</m:t>
          </m:r>
          <m:d>
            <m:dPr>
              <m:begChr m:val="("/>
              <m:endChr m:val=")"/>
            </m:dPr>
            <m:e>
              <m:sSub>
                <m:e>
                  <m:r>
                    <w:rPr>
                      <w:rFonts w:ascii="Cambria Math" w:hAnsi="Cambria Math"/>
                    </w:rPr>
                    <m:t xml:space="preserve">N</m:t>
                  </m:r>
                </m:e>
                <m:sub>
                  <m:r>
                    <w:rPr>
                      <w:rFonts w:ascii="Cambria Math" w:hAnsi="Cambria Math"/>
                    </w:rPr>
                    <m:t xml:space="preserve">w</m:t>
                  </m:r>
                </m:sub>
              </m:sSub>
              <m:r>
                <w:rPr>
                  <w:rFonts w:ascii="Cambria Math" w:hAnsi="Cambria Math"/>
                </w:rPr>
                <m:t xml:space="preserve">W</m:t>
              </m:r>
              <m:r>
                <w:rPr>
                  <w:rFonts w:ascii="Cambria Math" w:hAnsi="Cambria Math"/>
                </w:rPr>
                <m:t xml:space="preserve">d</m:t>
              </m:r>
            </m:e>
          </m:d>
        </m:oMath>
      </m:oMathPara>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 xml:space="preserve">Expressing the cost through the total number of candidate windows remains valid when lakes have records of different lengths. In the deployed cohort, each query compares 4,946 candidate windows from the other 828 lakes, with </w:t>
      </w:r>
      <w:r>
        <w:rPr/>
      </w:r>
      <m:oMath xmlns:m="http://schemas.openxmlformats.org/officeDocument/2006/math">
        <m:r>
          <w:rPr>
            <w:rFonts w:ascii="Cambria Math" w:hAnsi="Cambria Math"/>
          </w:rPr>
          <m:t xml:space="preserve">W</m:t>
        </m:r>
        <m:r>
          <w:rPr>
            <w:rFonts w:ascii="Cambria Math" w:hAnsi="Cambria Math"/>
          </w:rPr>
          <m:t xml:space="preserve">=</m:t>
        </m:r>
        <m:r>
          <w:rPr>
            <w:rFonts w:ascii="Cambria Math" w:hAnsi="Cambria Math"/>
          </w:rPr>
          <m:t xml:space="preserve">5</m:t>
        </m:r>
      </m:oMath>
      <w:r>
        <w:rPr>
          <w:rFonts w:cs="Times New Roman" w:ascii="Times New Roman" w:hAnsi="Times New Roman"/>
          <w:sz w:val="20"/>
          <w:szCs w:val="20"/>
        </w:rPr>
        <w:t xml:space="preserve"> and </w:t>
      </w:r>
      <w:r>
        <w:rPr/>
      </w:r>
      <m:oMath xmlns:m="http://schemas.openxmlformats.org/officeDocument/2006/math">
        <m:r>
          <w:rPr>
            <w:rFonts w:ascii="Cambria Math" w:hAnsi="Cambria Math"/>
          </w:rPr>
          <m:t xml:space="preserve">d</m:t>
        </m:r>
        <m:r>
          <w:rPr>
            <w:rFonts w:ascii="Cambria Math" w:hAnsi="Cambria Math"/>
          </w:rPr>
          <m:t xml:space="preserve">=</m:t>
        </m:r>
        <m:r>
          <w:rPr>
            <w:rFonts w:ascii="Cambria Math" w:hAnsi="Cambria Math"/>
          </w:rPr>
          <m:t xml:space="preserve">768</m:t>
        </m:r>
      </m:oMath>
      <w:r>
        <w:rPr>
          <w:rFonts w:cs="Times New Roman" w:ascii="Times New Roman" w:hAnsi="Times New Roman"/>
          <w:sz w:val="20"/>
          <w:szCs w:val="20"/>
        </w:rPr>
        <w:t xml:space="preserve">, corresponding to approximately </w:t>
      </w:r>
      <w:r>
        <w:rPr/>
      </w:r>
      <m:oMath xmlns:m="http://schemas.openxmlformats.org/officeDocument/2006/math">
        <m:r>
          <w:rPr>
            <w:rFonts w:ascii="Cambria Math" w:hAnsi="Cambria Math"/>
          </w:rPr>
          <m:t xml:space="preserve">1.9</m:t>
        </m:r>
        <m:r>
          <w:rPr>
            <w:rFonts w:ascii="Cambria Math" w:hAnsi="Cambria Math"/>
          </w:rPr>
          <m:t xml:space="preserve">×</m:t>
        </m:r>
        <m:sSup>
          <m:e>
            <m:r>
              <w:rPr>
                <w:rFonts w:ascii="Cambria Math" w:hAnsi="Cambria Math"/>
              </w:rPr>
              <m:t xml:space="preserve">10</m:t>
            </m:r>
          </m:e>
          <m:sup>
            <m:r>
              <w:rPr>
                <w:rFonts w:ascii="Cambria Math" w:hAnsi="Cambria Math"/>
              </w:rPr>
              <m:t xml:space="preserve">7</m:t>
            </m:r>
          </m:sup>
        </m:sSup>
      </m:oMath>
      <w:r>
        <w:rPr>
          <w:rFonts w:cs="Times New Roman" w:ascii="Times New Roman" w:hAnsi="Times New Roman"/>
          <w:sz w:val="20"/>
          <w:szCs w:val="20"/>
        </w:rPr>
        <w:t xml:space="preserve"> multiply-accumulate operations. In an offline re-implementation of the scoring step on the final dataset, each case-study query took 102–110 ms on a desktop CPU, excluding database access. These timings indicate that retrieval is practical at the current cohort size, although computational demand will increase with the number of candidate lakes and the length of their histories. Approximate nearest-neighbour search could be evaluated if the reference collection expands substantially.</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b/>
          <w:b/>
          <w:bCs/>
          <w:sz w:val="20"/>
          <w:szCs w:val="20"/>
        </w:rPr>
      </w:pPr>
      <w:r>
        <w:rPr>
          <w:rFonts w:cs="Times New Roman" w:ascii="Times New Roman" w:hAnsi="Times New Roman"/>
          <w:b/>
          <w:bCs/>
          <w:sz w:val="20"/>
          <w:szCs w:val="20"/>
        </w:rPr>
        <w:t>3.4 Temporal Profiles and Directional Forecasting</w:t>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 xml:space="preserve">For the target lake and its retrieved analogs, annual spectral-band statistics are assembled into time series from which the environmental indices defined in Table 2 are calculated. The four indicators are generated on demand from the stored band means rather than read from stored derived values. This approach allows changes to an index definition to be applied consistently when the time series are regenerated. The forecasting procedure transfers observed index changes from analogous lakes rather than their absolute index values. The anchor year </w:t>
      </w:r>
      <w:r>
        <w:rPr/>
      </w:r>
      <m:oMath xmlns:m="http://schemas.openxmlformats.org/officeDocument/2006/math">
        <m:sSub>
          <m:e>
            <m:r>
              <w:rPr>
                <w:rFonts w:ascii="Cambria Math" w:hAnsi="Cambria Math"/>
              </w:rPr>
              <m:t xml:space="preserve">t</m:t>
            </m:r>
          </m:e>
          <m:sub>
            <m:r>
              <w:rPr>
                <w:rFonts w:ascii="Cambria Math" w:hAnsi="Cambria Math"/>
              </w:rPr>
              <m:t xml:space="preserve">0</m:t>
            </m:r>
          </m:sub>
        </m:sSub>
      </m:oMath>
      <w:r>
        <w:rPr>
          <w:rFonts w:cs="Times New Roman" w:ascii="Times New Roman" w:hAnsi="Times New Roman"/>
          <w:sz w:val="20"/>
          <w:szCs w:val="20"/>
        </w:rPr>
        <w:t xml:space="preserve"> is the final year of the target's query trajectory (Section 3.3), and the anchor value </w:t>
      </w:r>
      <w:r>
        <w:rPr/>
      </w:r>
      <m:oMath xmlns:m="http://schemas.openxmlformats.org/officeDocument/2006/math">
        <m:sSub>
          <m:e>
            <m:r>
              <w:rPr>
                <w:rFonts w:ascii="Cambria Math" w:hAnsi="Cambria Math"/>
              </w:rPr>
              <m:t xml:space="preserve">v</m:t>
            </m:r>
          </m:e>
          <m:sub>
            <m:r>
              <w:rPr>
                <w:rFonts w:ascii="Cambria Math" w:hAnsi="Cambria Math"/>
              </w:rPr>
              <m:t xml:space="preserve">k</m:t>
            </m:r>
          </m:sub>
        </m:sSub>
        <m:d>
          <m:dPr>
            <m:begChr m:val="("/>
            <m:endChr m:val=")"/>
          </m:dPr>
          <m:e>
            <m:sSub>
              <m:e>
                <m:r>
                  <w:rPr>
                    <w:rFonts w:ascii="Cambria Math" w:hAnsi="Cambria Math"/>
                  </w:rPr>
                  <m:t xml:space="preserve">t</m:t>
                </m:r>
              </m:e>
              <m:sub>
                <m:r>
                  <w:rPr>
                    <w:rFonts w:ascii="Cambria Math" w:hAnsi="Cambria Math"/>
                  </w:rPr>
                  <m:t xml:space="preserve">0</m:t>
                </m:r>
              </m:sub>
            </m:sSub>
          </m:e>
        </m:d>
      </m:oMath>
      <w:r>
        <w:rPr>
          <w:rFonts w:cs="Times New Roman" w:ascii="Times New Roman" w:hAnsi="Times New Roman"/>
          <w:sz w:val="20"/>
          <w:szCs w:val="20"/>
        </w:rPr>
        <w:t xml:space="preserve"> for each index </w:t>
      </w:r>
      <w:r>
        <w:rPr/>
      </w:r>
      <m:oMath xmlns:m="http://schemas.openxmlformats.org/officeDocument/2006/math">
        <m:r>
          <w:rPr>
            <w:rFonts w:ascii="Cambria Math" w:hAnsi="Cambria Math"/>
          </w:rPr>
          <m:t xml:space="preserve">k</m:t>
        </m:r>
      </m:oMath>
      <w:r>
        <w:rPr>
          <w:rFonts w:cs="Times New Roman" w:ascii="Times New Roman" w:hAnsi="Times New Roman"/>
          <w:sz w:val="20"/>
          <w:szCs w:val="20"/>
        </w:rPr>
        <w:t xml:space="preserve"> is taken from the target's completed feature record for that year, or from the most recent earlier record if that year has none. The procedure estimates changes for the next three annual horizons, </w:t>
      </w:r>
      <w:r>
        <w:rPr/>
      </w:r>
      <m:oMath xmlns:m="http://schemas.openxmlformats.org/officeDocument/2006/math">
        <m:r>
          <w:rPr>
            <w:rFonts w:ascii="Cambria Math" w:hAnsi="Cambria Math"/>
          </w:rPr>
          <m:t xml:space="preserve">h</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3</m:t>
        </m:r>
      </m:oMath>
      <w:r>
        <w:rPr>
          <w:rFonts w:cs="Times New Roman" w:ascii="Times New Roman" w:hAnsi="Times New Roman"/>
          <w:sz w:val="20"/>
          <w:szCs w:val="20"/>
        </w:rPr>
        <w:t>.</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 xml:space="preserve">The similarity search returns the 20 highest-ranked candidate lakes, of which the first ten are examined in rank order. A candidate is retained only if it differs from the target lake, has a completed feature record at the end of its matched trajectory window, and has at least one usable index observation after that window; examination stops when five analogs have been retained. The selected analogs are therefore the highest-ranked candidates that satisfy these data-availability requirements, rather than necessarily the five highest-scoring candidates, and fewer than five are used if fewer qualify among the ten examined. For analog </w:t>
      </w:r>
      <w:r>
        <w:rPr/>
      </w:r>
      <m:oMath xmlns:m="http://schemas.openxmlformats.org/officeDocument/2006/math">
        <m:r>
          <w:rPr>
            <w:rFonts w:ascii="Cambria Math" w:hAnsi="Cambria Math"/>
          </w:rPr>
          <m:t xml:space="preserve">i</m:t>
        </m:r>
      </m:oMath>
      <w:r>
        <w:rPr>
          <w:rFonts w:cs="Times New Roman" w:ascii="Times New Roman" w:hAnsi="Times New Roman"/>
          <w:sz w:val="20"/>
          <w:szCs w:val="20"/>
        </w:rPr>
        <w:t xml:space="preserve">, whose matched trajectory ends in year </w:t>
      </w:r>
      <w:r>
        <w:rPr/>
      </w:r>
      <m:oMath xmlns:m="http://schemas.openxmlformats.org/officeDocument/2006/math">
        <m:sSub>
          <m:e>
            <m:r>
              <w:rPr>
                <w:rFonts w:ascii="Cambria Math" w:hAnsi="Cambria Math"/>
              </w:rPr>
              <m:t xml:space="preserve">m</m:t>
            </m:r>
          </m:e>
          <m:sub>
            <m:r>
              <w:rPr>
                <w:rFonts w:ascii="Cambria Math" w:hAnsi="Cambria Math"/>
              </w:rPr>
              <m:t xml:space="preserve">i</m:t>
            </m:r>
          </m:sub>
        </m:sSub>
      </m:oMath>
      <w:r>
        <w:rPr>
          <w:rFonts w:cs="Times New Roman" w:ascii="Times New Roman" w:hAnsi="Times New Roman"/>
          <w:sz w:val="20"/>
          <w:szCs w:val="20"/>
        </w:rPr>
        <w:t xml:space="preserve">, the observed change in index </w:t>
      </w:r>
      <w:r>
        <w:rPr/>
      </w:r>
      <m:oMath xmlns:m="http://schemas.openxmlformats.org/officeDocument/2006/math">
        <m:r>
          <w:rPr>
            <w:rFonts w:ascii="Cambria Math" w:hAnsi="Cambria Math"/>
          </w:rPr>
          <m:t xml:space="preserve">k</m:t>
        </m:r>
      </m:oMath>
      <w:r>
        <w:rPr>
          <w:rFonts w:cs="Times New Roman" w:ascii="Times New Roman" w:hAnsi="Times New Roman"/>
          <w:sz w:val="20"/>
          <w:szCs w:val="20"/>
        </w:rPr>
        <w:t xml:space="preserve"> at horizon </w:t>
      </w:r>
      <w:r>
        <w:rPr/>
      </w:r>
      <m:oMath xmlns:m="http://schemas.openxmlformats.org/officeDocument/2006/math">
        <m:r>
          <w:rPr>
            <w:rFonts w:ascii="Cambria Math" w:hAnsi="Cambria Math"/>
          </w:rPr>
          <m:t xml:space="preserve">h</m:t>
        </m:r>
      </m:oMath>
      <w:r>
        <w:rPr>
          <w:rFonts w:cs="Times New Roman" w:ascii="Times New Roman" w:hAnsi="Times New Roman"/>
          <w:sz w:val="20"/>
          <w:szCs w:val="20"/>
        </w:rPr>
        <w:t xml:space="preserve"> is</w:t>
      </w:r>
    </w:p>
    <w:p>
      <w:pPr>
        <w:pStyle w:val="Normal"/>
        <w:spacing w:lineRule="auto" w:line="240" w:before="0" w:after="0"/>
        <w:jc w:val="center"/>
        <w:rPr>
          <w:rFonts w:ascii="Times New Roman" w:hAnsi="Times New Roman" w:eastAsia="" w:cs="Times New Roman" w:eastAsiaTheme="minorEastAsia"/>
          <w:sz w:val="20"/>
          <w:szCs w:val="20"/>
        </w:rPr>
      </w:pPr>
      <w:r>
        <w:rPr/>
      </w:r>
      <m:oMathPara xmlns:m="http://schemas.openxmlformats.org/officeDocument/2006/math">
        <m:oMathParaPr>
          <m:jc m:val="center"/>
        </m:oMathParaPr>
        <m:oMath>
          <m:sSub>
            <m:e>
              <m:r>
                <w:rPr>
                  <w:rFonts w:ascii="Cambria Math" w:hAnsi="Cambria Math"/>
                </w:rPr>
                <m:t xml:space="preserve">δ</m:t>
              </m:r>
            </m:e>
            <m:sub>
              <m:r>
                <w:rPr>
                  <w:rFonts w:ascii="Cambria Math" w:hAnsi="Cambria Math"/>
                </w:rPr>
                <m:t xml:space="preserve">i</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h</m:t>
              </m:r>
            </m:sub>
          </m:sSub>
          <m:r>
            <w:rPr>
              <w:rFonts w:ascii="Cambria Math" w:hAnsi="Cambria Math"/>
            </w:rPr>
            <m:t xml:space="preserve">=</m:t>
          </m:r>
          <m:sSub>
            <m:e>
              <m:r>
                <w:rPr>
                  <w:rFonts w:ascii="Cambria Math" w:hAnsi="Cambria Math"/>
                </w:rPr>
                <m:t xml:space="preserve">v</m:t>
              </m:r>
            </m:e>
            <m:sub>
              <m:r>
                <w:rPr>
                  <w:rFonts w:ascii="Cambria Math" w:hAnsi="Cambria Math"/>
                </w:rPr>
                <m:t xml:space="preserve">i</m:t>
              </m:r>
              <m:r>
                <w:rPr>
                  <w:rFonts w:ascii="Cambria Math" w:hAnsi="Cambria Math"/>
                </w:rPr>
                <m:t xml:space="preserve">,</m:t>
              </m:r>
              <m:r>
                <w:rPr>
                  <w:rFonts w:ascii="Cambria Math" w:hAnsi="Cambria Math"/>
                </w:rPr>
                <m:t xml:space="preserve">k</m:t>
              </m:r>
            </m:sub>
          </m:sSub>
          <m:d>
            <m:dPr>
              <m:begChr m:val="("/>
              <m:endChr m:val=")"/>
            </m:dPr>
            <m:e>
              <m:sSub>
                <m:e>
                  <m:r>
                    <w:rPr>
                      <w:rFonts w:ascii="Cambria Math" w:hAnsi="Cambria Math"/>
                    </w:rPr>
                    <m:t xml:space="preserve">m</m:t>
                  </m:r>
                </m:e>
                <m:sub>
                  <m:r>
                    <w:rPr>
                      <w:rFonts w:ascii="Cambria Math" w:hAnsi="Cambria Math"/>
                    </w:rPr>
                    <m:t xml:space="preserve">i</m:t>
                  </m:r>
                </m:sub>
              </m:sSub>
              <m:r>
                <w:rPr>
                  <w:rFonts w:ascii="Cambria Math" w:hAnsi="Cambria Math"/>
                </w:rPr>
                <m:t xml:space="preserve">+</m:t>
              </m:r>
              <m:r>
                <w:rPr>
                  <w:rFonts w:ascii="Cambria Math" w:hAnsi="Cambria Math"/>
                </w:rPr>
                <m:t xml:space="preserve">h</m:t>
              </m:r>
            </m:e>
          </m:d>
          <m:r>
            <w:rPr>
              <w:rFonts w:ascii="Cambria Math" w:hAnsi="Cambria Math"/>
            </w:rPr>
            <m:t xml:space="preserve">−</m:t>
          </m:r>
          <m:sSub>
            <m:e>
              <m:r>
                <w:rPr>
                  <w:rFonts w:ascii="Cambria Math" w:hAnsi="Cambria Math"/>
                </w:rPr>
                <m:t xml:space="preserve">v</m:t>
              </m:r>
            </m:e>
            <m:sub>
              <m:r>
                <w:rPr>
                  <w:rFonts w:ascii="Cambria Math" w:hAnsi="Cambria Math"/>
                </w:rPr>
                <m:t xml:space="preserve">i</m:t>
              </m:r>
              <m:r>
                <w:rPr>
                  <w:rFonts w:ascii="Cambria Math" w:hAnsi="Cambria Math"/>
                </w:rPr>
                <m:t xml:space="preserve">,</m:t>
              </m:r>
              <m:r>
                <w:rPr>
                  <w:rFonts w:ascii="Cambria Math" w:hAnsi="Cambria Math"/>
                </w:rPr>
                <m:t xml:space="preserve">k</m:t>
              </m:r>
            </m:sub>
          </m:sSub>
          <m:d>
            <m:dPr>
              <m:begChr m:val="("/>
              <m:endChr m:val=")"/>
            </m:dPr>
            <m:e>
              <m:sSub>
                <m:e>
                  <m:r>
                    <w:rPr>
                      <w:rFonts w:ascii="Cambria Math" w:hAnsi="Cambria Math"/>
                    </w:rPr>
                    <m:t xml:space="preserve">m</m:t>
                  </m:r>
                </m:e>
                <m:sub>
                  <m:r>
                    <w:rPr>
                      <w:rFonts w:ascii="Cambria Math" w:hAnsi="Cambria Math"/>
                    </w:rPr>
                    <m:t xml:space="preserve">i</m:t>
                  </m:r>
                </m:sub>
              </m:sSub>
            </m:e>
          </m:d>
        </m:oMath>
      </m:oMathPara>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 xml:space="preserve">where </w:t>
      </w:r>
      <w:r>
        <w:rPr/>
      </w:r>
      <m:oMath xmlns:m="http://schemas.openxmlformats.org/officeDocument/2006/math">
        <m:sSub>
          <m:e>
            <m:r>
              <w:rPr>
                <w:rFonts w:ascii="Cambria Math" w:hAnsi="Cambria Math"/>
              </w:rPr>
              <m:t xml:space="preserve">v</m:t>
            </m:r>
          </m:e>
          <m:sub>
            <m:r>
              <w:rPr>
                <w:rFonts w:ascii="Cambria Math" w:hAnsi="Cambria Math"/>
              </w:rPr>
              <m:t xml:space="preserve">i</m:t>
            </m:r>
            <m:r>
              <w:rPr>
                <w:rFonts w:ascii="Cambria Math" w:hAnsi="Cambria Math"/>
              </w:rPr>
              <m:t xml:space="preserve">,</m:t>
            </m:r>
            <m:r>
              <w:rPr>
                <w:rFonts w:ascii="Cambria Math" w:hAnsi="Cambria Math"/>
              </w:rPr>
              <m:t xml:space="preserve">k</m:t>
            </m:r>
          </m:sub>
        </m:sSub>
        <m:d>
          <m:dPr>
            <m:begChr m:val="("/>
            <m:endChr m:val=")"/>
          </m:dPr>
          <m:e>
            <m:r>
              <w:rPr>
                <w:rFonts w:ascii="Cambria Math" w:hAnsi="Cambria Math"/>
              </w:rPr>
              <m:t xml:space="preserve">t</m:t>
            </m:r>
          </m:e>
        </m:d>
      </m:oMath>
      <w:r>
        <w:rPr>
          <w:rFonts w:cs="Times New Roman" w:ascii="Times New Roman" w:hAnsi="Times New Roman"/>
          <w:sz w:val="20"/>
          <w:szCs w:val="20"/>
        </w:rPr>
        <w:t xml:space="preserve"> is the observed value of index </w:t>
      </w:r>
      <w:r>
        <w:rPr/>
      </w:r>
      <m:oMath xmlns:m="http://schemas.openxmlformats.org/officeDocument/2006/math">
        <m:r>
          <w:rPr>
            <w:rFonts w:ascii="Cambria Math" w:hAnsi="Cambria Math"/>
          </w:rPr>
          <m:t xml:space="preserve">k</m:t>
        </m:r>
      </m:oMath>
      <w:r>
        <w:rPr>
          <w:rFonts w:cs="Times New Roman" w:ascii="Times New Roman" w:hAnsi="Times New Roman"/>
          <w:sz w:val="20"/>
          <w:szCs w:val="20"/>
        </w:rPr>
        <w:t xml:space="preserve"> for analog </w:t>
      </w:r>
      <w:r>
        <w:rPr/>
      </w:r>
      <m:oMath xmlns:m="http://schemas.openxmlformats.org/officeDocument/2006/math">
        <m:r>
          <w:rPr>
            <w:rFonts w:ascii="Cambria Math" w:hAnsi="Cambria Math"/>
          </w:rPr>
          <m:t xml:space="preserve">i</m:t>
        </m:r>
      </m:oMath>
      <w:r>
        <w:rPr>
          <w:rFonts w:cs="Times New Roman" w:ascii="Times New Roman" w:hAnsi="Times New Roman"/>
          <w:sz w:val="20"/>
          <w:szCs w:val="20"/>
        </w:rPr>
        <w:t xml:space="preserve"> in year </w:t>
      </w:r>
      <w:r>
        <w:rPr/>
      </w:r>
      <m:oMath xmlns:m="http://schemas.openxmlformats.org/officeDocument/2006/math">
        <m:r>
          <w:rPr>
            <w:rFonts w:ascii="Cambria Math" w:hAnsi="Cambria Math"/>
          </w:rPr>
          <m:t xml:space="preserve">t</m:t>
        </m:r>
      </m:oMath>
      <w:r>
        <w:rPr>
          <w:rFonts w:cs="Times New Roman" w:ascii="Times New Roman" w:hAnsi="Times New Roman"/>
          <w:sz w:val="20"/>
          <w:szCs w:val="20"/>
        </w:rPr>
        <w:t>. Using changes rather than absolute values reduces the direct influence of differences in baseline index levels between lakes.</w:t>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The five analogs receive fixed rank-based weights:</w:t>
      </w:r>
    </w:p>
    <w:p>
      <w:pPr>
        <w:pStyle w:val="Normal"/>
        <w:spacing w:lineRule="auto" w:line="360" w:before="0" w:after="0"/>
        <w:jc w:val="center"/>
        <w:rPr>
          <w:rFonts w:ascii="Times New Roman" w:hAnsi="Times New Roman" w:eastAsia="" w:cs="Times New Roman" w:eastAsiaTheme="minorEastAsia"/>
          <w:sz w:val="20"/>
          <w:szCs w:val="20"/>
        </w:rPr>
      </w:pPr>
      <w:r>
        <w:rPr/>
      </w:r>
      <m:oMathPara xmlns:m="http://schemas.openxmlformats.org/officeDocument/2006/math">
        <m:oMathParaPr>
          <m:jc m:val="center"/>
        </m:oMathParaPr>
        <m:oMath>
          <m:d>
            <m:dPr>
              <m:begChr m:val="("/>
              <m:endChr m:val=")"/>
            </m:dPr>
            <m:e>
              <m:sSub>
                <m:e>
                  <m:r>
                    <w:rPr>
                      <w:rFonts w:ascii="Cambria Math" w:hAnsi="Cambria Math"/>
                    </w:rPr>
                    <m:t xml:space="preserve">ω</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ω</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ω</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ω</m:t>
                  </m:r>
                </m:e>
                <m:sub>
                  <m:r>
                    <w:rPr>
                      <w:rFonts w:ascii="Cambria Math" w:hAnsi="Cambria Math"/>
                    </w:rPr>
                    <m:t xml:space="preserve">4</m:t>
                  </m:r>
                </m:sub>
              </m:sSub>
              <m:r>
                <w:rPr>
                  <w:rFonts w:ascii="Cambria Math" w:hAnsi="Cambria Math"/>
                </w:rPr>
                <m:t xml:space="preserve">,</m:t>
              </m:r>
              <m:sSub>
                <m:e>
                  <m:r>
                    <w:rPr>
                      <w:rFonts w:ascii="Cambria Math" w:hAnsi="Cambria Math"/>
                    </w:rPr>
                    <m:t xml:space="preserve">ω</m:t>
                  </m:r>
                </m:e>
                <m:sub>
                  <m:r>
                    <w:rPr>
                      <w:rFonts w:ascii="Cambria Math" w:hAnsi="Cambria Math"/>
                    </w:rPr>
                    <m:t xml:space="preserve">5</m:t>
                  </m:r>
                </m:sub>
              </m:sSub>
            </m:e>
          </m:d>
          <m:r>
            <w:rPr>
              <w:rFonts w:ascii="Cambria Math" w:hAnsi="Cambria Math"/>
            </w:rPr>
            <m:t xml:space="preserve">=</m:t>
          </m:r>
          <m:d>
            <m:dPr>
              <m:begChr m:val="("/>
              <m:endChr m:val=")"/>
            </m:dPr>
            <m:e>
              <m:r>
                <w:rPr>
                  <w:rFonts w:ascii="Cambria Math" w:hAnsi="Cambria Math"/>
                </w:rPr>
                <m:t xml:space="preserve">0.28,0</m:t>
              </m:r>
              <m:r>
                <w:rPr>
                  <w:rFonts w:ascii="Cambria Math" w:hAnsi="Cambria Math"/>
                </w:rPr>
                <m:t xml:space="preserve">.24,0</m:t>
              </m:r>
              <m:r>
                <w:rPr>
                  <w:rFonts w:ascii="Cambria Math" w:hAnsi="Cambria Math"/>
                </w:rPr>
                <m:t xml:space="preserve">.20,0</m:t>
              </m:r>
              <m:r>
                <w:rPr>
                  <w:rFonts w:ascii="Cambria Math" w:hAnsi="Cambria Math"/>
                </w:rPr>
                <m:t xml:space="preserve">.16,0</m:t>
              </m:r>
              <m:r>
                <w:rPr>
                  <w:rFonts w:ascii="Cambria Math" w:hAnsi="Cambria Math"/>
                </w:rPr>
                <m:t xml:space="preserve">.12</m:t>
              </m:r>
            </m:e>
          </m:d>
        </m:oMath>
      </m:oMathPara>
    </w:p>
    <w:p>
      <w:pPr>
        <w:pStyle w:val="Normal"/>
        <w:spacing w:lineRule="auto" w:line="360" w:before="0" w:after="0"/>
        <w:jc w:val="both"/>
        <w:rPr>
          <w:rFonts w:ascii="Times New Roman" w:hAnsi="Times New Roman" w:eastAsia="" w:cs="Times New Roman" w:eastAsiaTheme="minorEastAsia"/>
          <w:sz w:val="20"/>
          <w:szCs w:val="20"/>
        </w:rPr>
      </w:pPr>
      <w:r>
        <w:rPr>
          <w:rFonts w:eastAsia="" w:cs="Times New Roman" w:ascii="Times New Roman" w:hAnsi="Times New Roman" w:eastAsiaTheme="minorEastAsia"/>
          <w:sz w:val="20"/>
          <w:szCs w:val="20"/>
        </w:rPr>
        <w:t>These weights sum to one and assign greater influence to higher-ranked analogs. They depend on retrieval rank rather than the raw similarity scores, which fall within a narrow range close to one. The weights are a fixed heuristic design choice and have not been calibrated or validated.</w:t>
      </w:r>
    </w:p>
    <w:p>
      <w:pPr>
        <w:pStyle w:val="Normal"/>
        <w:spacing w:lineRule="auto" w:line="360" w:before="0" w:after="0"/>
        <w:jc w:val="both"/>
        <w:rPr>
          <w:rFonts w:ascii="Times New Roman" w:hAnsi="Times New Roman" w:eastAsia="" w:cs="Times New Roman" w:eastAsiaTheme="minorEastAsia"/>
          <w:sz w:val="20"/>
          <w:szCs w:val="20"/>
        </w:rPr>
      </w:pPr>
      <w:r>
        <w:rPr>
          <w:rFonts w:eastAsia="" w:cs="Times New Roman" w:ascii="Times New Roman" w:hAnsi="Times New Roman" w:eastAsiaTheme="minorEastAsia"/>
          <w:sz w:val="20"/>
          <w:szCs w:val="20"/>
        </w:rPr>
        <w:t xml:space="preserve">Some analogs may lack usable observations at particular forecast horizons. Let </w:t>
      </w:r>
      <w:r>
        <w:rPr/>
      </w:r>
      <m:oMath xmlns:m="http://schemas.openxmlformats.org/officeDocument/2006/math">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h</m:t>
            </m:r>
          </m:sub>
        </m:sSub>
      </m:oMath>
      <w:r>
        <w:rPr>
          <w:rFonts w:eastAsia="" w:cs="Times New Roman" w:ascii="Times New Roman" w:hAnsi="Times New Roman" w:eastAsiaTheme="minorEastAsia"/>
          <w:sz w:val="20"/>
          <w:szCs w:val="20"/>
        </w:rPr>
        <w:t xml:space="preserve"> denote the set of analogs with valid changes for index </w:t>
      </w:r>
      <w:r>
        <w:rPr/>
      </w:r>
      <m:oMath xmlns:m="http://schemas.openxmlformats.org/officeDocument/2006/math">
        <m:r>
          <w:rPr>
            <w:rFonts w:ascii="Cambria Math" w:hAnsi="Cambria Math"/>
          </w:rPr>
          <m:t xml:space="preserve">k</m:t>
        </m:r>
      </m:oMath>
      <w:r>
        <w:rPr>
          <w:rFonts w:eastAsia="" w:cs="Times New Roman" w:ascii="Times New Roman" w:hAnsi="Times New Roman" w:eastAsiaTheme="minorEastAsia"/>
          <w:sz w:val="20"/>
          <w:szCs w:val="20"/>
        </w:rPr>
        <w:t xml:space="preserve"> at horizon </w:t>
      </w:r>
      <w:r>
        <w:rPr/>
      </w:r>
      <m:oMath xmlns:m="http://schemas.openxmlformats.org/officeDocument/2006/math">
        <m:r>
          <w:rPr>
            <w:rFonts w:ascii="Cambria Math" w:hAnsi="Cambria Math"/>
          </w:rPr>
          <m:t xml:space="preserve">h</m:t>
        </m:r>
      </m:oMath>
      <w:r>
        <w:rPr>
          <w:rFonts w:eastAsia="" w:cs="Times New Roman" w:ascii="Times New Roman" w:hAnsi="Times New Roman" w:eastAsiaTheme="minorEastAsia"/>
          <w:sz w:val="20"/>
          <w:szCs w:val="20"/>
        </w:rPr>
        <w:t>. Their weights are renormalised as follows:</w:t>
      </w:r>
    </w:p>
    <w:p>
      <w:pPr>
        <w:pStyle w:val="Normal"/>
        <w:spacing w:lineRule="auto" w:line="360" w:before="0" w:after="0"/>
        <w:jc w:val="center"/>
        <w:rPr>
          <w:rFonts w:ascii="Times New Roman" w:hAnsi="Times New Roman" w:eastAsia="" w:cs="Times New Roman" w:eastAsiaTheme="minorEastAsia"/>
          <w:sz w:val="20"/>
          <w:szCs w:val="20"/>
        </w:rPr>
      </w:pPr>
      <w:r>
        <w:rPr/>
      </w:r>
      <m:oMathPara xmlns:m="http://schemas.openxmlformats.org/officeDocument/2006/math">
        <m:oMathParaPr>
          <m:jc m:val="center"/>
        </m:oMathParaPr>
        <m:oMath>
          <m:sSub>
            <m:e>
              <m:acc>
                <m:accPr>
                  <m:chr m:val="~"/>
                </m:accPr>
                <m:e>
                  <m:r>
                    <w:rPr>
                      <w:rFonts w:ascii="Cambria Math" w:hAnsi="Cambria Math"/>
                    </w:rPr>
                    <m:t xml:space="preserve">ω</m:t>
                  </m:r>
                </m:e>
              </m:acc>
            </m:e>
            <m:sub>
              <m:r>
                <w:rPr>
                  <w:rFonts w:ascii="Cambria Math" w:hAnsi="Cambria Math"/>
                </w:rPr>
                <m:t xml:space="preserve">i</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h</m:t>
              </m:r>
            </m:sub>
          </m:sSub>
          <m:r>
            <w:rPr>
              <w:rFonts w:ascii="Cambria Math" w:hAnsi="Cambria Math"/>
            </w:rPr>
            <m:t xml:space="preserve">=</m:t>
          </m:r>
          <m:f>
            <m:num>
              <m:sSub>
                <m:e>
                  <m:r>
                    <w:rPr>
                      <w:rFonts w:ascii="Cambria Math" w:hAnsi="Cambria Math"/>
                    </w:rPr>
                    <m:t xml:space="preserve">ω</m:t>
                  </m:r>
                </m:e>
                <m:sub>
                  <m:r>
                    <w:rPr>
                      <w:rFonts w:ascii="Cambria Math" w:hAnsi="Cambria Math"/>
                    </w:rPr>
                    <m:t xml:space="preserve">i</m:t>
                  </m:r>
                </m:sub>
              </m:sSub>
            </m:num>
            <m:den>
              <m:nary>
                <m:naryPr>
                  <m:chr m:val="∑"/>
                  <m:supHide m:val="1"/>
                </m:naryPr>
                <m:sub>
                  <m:r>
                    <w:rPr>
                      <w:rFonts w:ascii="Cambria Math" w:hAnsi="Cambria Math"/>
                    </w:rPr>
                    <m:t xml:space="preserve">j</m:t>
                  </m:r>
                  <m:r>
                    <w:rPr>
                      <w:rFonts w:ascii="Cambria Math" w:hAnsi="Cambria Math"/>
                    </w:rPr>
                    <m:t xml:space="preserve">∈</m:t>
                  </m:r>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h</m:t>
                      </m:r>
                    </m:sub>
                  </m:sSub>
                </m:sub>
                <m:sup/>
                <m:e>
                  <m:sSub>
                    <m:e>
                      <m:r>
                        <w:rPr>
                          <w:rFonts w:ascii="Cambria Math" w:hAnsi="Cambria Math"/>
                        </w:rPr>
                        <m:t xml:space="preserve">ω</m:t>
                      </m:r>
                    </m:e>
                    <m:sub>
                      <m:r>
                        <w:rPr>
                          <w:rFonts w:ascii="Cambria Math" w:hAnsi="Cambria Math"/>
                        </w:rPr>
                        <m:t xml:space="preserve">j</m:t>
                      </m:r>
                    </m:sub>
                  </m:sSub>
                </m:e>
              </m:nary>
            </m:den>
          </m:f>
          <m:r>
            <w:rPr>
              <w:rFonts w:ascii="Cambria Math" w:hAnsi="Cambria Math"/>
            </w:rPr>
            <m:t xml:space="preserve">,</m:t>
          </m:r>
          <m:r>
            <w:rPr>
              <w:rFonts w:ascii="Cambria Math" w:hAnsi="Cambria Math"/>
            </w:rPr>
            <m:t xml:space="preserve">i</m:t>
          </m:r>
          <m:r>
            <w:rPr>
              <w:rFonts w:ascii="Cambria Math" w:hAnsi="Cambria Math"/>
            </w:rPr>
            <m:t xml:space="preserve">∈</m:t>
          </m:r>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h</m:t>
              </m:r>
            </m:sub>
          </m:sSub>
        </m:oMath>
      </m:oMathPara>
    </w:p>
    <w:p>
      <w:pPr>
        <w:pStyle w:val="Normal"/>
        <w:spacing w:lineRule="auto" w:line="360" w:before="0" w:after="0"/>
        <w:jc w:val="both"/>
        <w:rPr>
          <w:rFonts w:ascii="Times New Roman" w:hAnsi="Times New Roman" w:eastAsia="" w:cs="Times New Roman" w:eastAsiaTheme="minorEastAsia"/>
          <w:sz w:val="20"/>
          <w:szCs w:val="20"/>
        </w:rPr>
      </w:pPr>
      <w:r>
        <w:rPr>
          <w:rFonts w:eastAsia="" w:cs="Times New Roman" w:ascii="Times New Roman" w:hAnsi="Times New Roman" w:eastAsiaTheme="minorEastAsia"/>
          <w:sz w:val="20"/>
          <w:szCs w:val="20"/>
        </w:rPr>
        <w:t>The weighted change for each index and forecast horizon is then calculated as</w:t>
      </w:r>
    </w:p>
    <w:p>
      <w:pPr>
        <w:pStyle w:val="Normal"/>
        <w:spacing w:lineRule="auto" w:line="360" w:before="0" w:after="0"/>
        <w:jc w:val="center"/>
        <w:rPr>
          <w:rFonts w:ascii="Times New Roman" w:hAnsi="Times New Roman" w:eastAsia="" w:cs="Times New Roman" w:eastAsiaTheme="minorEastAsia"/>
          <w:sz w:val="20"/>
          <w:szCs w:val="20"/>
        </w:rPr>
      </w:pPr>
      <w:r>
        <w:rPr/>
      </w:r>
      <m:oMathPara xmlns:m="http://schemas.openxmlformats.org/officeDocument/2006/math">
        <m:oMathParaPr>
          <m:jc m:val="center"/>
        </m:oMathParaPr>
        <m:oMath>
          <m:sSub>
            <m:e>
              <m:r>
                <w:rPr>
                  <w:rFonts w:ascii="Cambria Math" w:hAnsi="Cambria Math"/>
                </w:rPr>
                <m:t xml:space="preserve">Σ</m:t>
              </m:r>
            </m:e>
            <m:sub>
              <m:r>
                <w:rPr>
                  <w:rFonts w:ascii="Cambria Math" w:hAnsi="Cambria Math"/>
                </w:rPr>
                <m:t xml:space="preserve">k</m:t>
              </m:r>
              <m:r>
                <w:rPr>
                  <w:rFonts w:ascii="Cambria Math" w:hAnsi="Cambria Math"/>
                </w:rPr>
                <m:t xml:space="preserve">,</m:t>
              </m:r>
              <m:r>
                <w:rPr>
                  <w:rFonts w:ascii="Cambria Math" w:hAnsi="Cambria Math"/>
                </w:rPr>
                <m:t xml:space="preserve">h</m:t>
              </m:r>
            </m:sub>
          </m:sSub>
          <m:r>
            <w:rPr>
              <w:rFonts w:ascii="Cambria Math" w:hAnsi="Cambria Math"/>
            </w:rPr>
            <m:t xml:space="preserve">=</m:t>
          </m:r>
          <m:nary>
            <m:naryPr>
              <m:chr m:val="∑"/>
              <m:supHide m:val="1"/>
            </m:naryPr>
            <m:sub>
              <m:r>
                <w:rPr>
                  <w:rFonts w:ascii="Cambria Math" w:hAnsi="Cambria Math"/>
                </w:rPr>
                <m:t xml:space="preserve">i</m:t>
              </m:r>
              <m:r>
                <w:rPr>
                  <w:rFonts w:ascii="Cambria Math" w:hAnsi="Cambria Math"/>
                </w:rPr>
                <m:t xml:space="preserve">∈</m:t>
              </m:r>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h</m:t>
                  </m:r>
                </m:sub>
              </m:sSub>
            </m:sub>
            <m:sup/>
            <m:e>
              <m:sSub>
                <m:e>
                  <m:acc>
                    <m:accPr>
                      <m:chr m:val="~"/>
                    </m:accPr>
                    <m:e>
                      <m:r>
                        <w:rPr>
                          <w:rFonts w:ascii="Cambria Math" w:hAnsi="Cambria Math"/>
                        </w:rPr>
                        <m:t xml:space="preserve">ω</m:t>
                      </m:r>
                    </m:e>
                  </m:acc>
                </m:e>
                <m:sub>
                  <m:r>
                    <w:rPr>
                      <w:rFonts w:ascii="Cambria Math" w:hAnsi="Cambria Math"/>
                    </w:rPr>
                    <m:t xml:space="preserve">i</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h</m:t>
                  </m:r>
                </m:sub>
              </m:sSub>
            </m:e>
          </m:nary>
          <m:sSub>
            <m:e>
              <m:r>
                <w:rPr>
                  <w:rFonts w:ascii="Cambria Math" w:hAnsi="Cambria Math"/>
                </w:rPr>
                <m:t xml:space="preserve">δ</m:t>
              </m:r>
            </m:e>
            <m:sub>
              <m:r>
                <w:rPr>
                  <w:rFonts w:ascii="Cambria Math" w:hAnsi="Cambria Math"/>
                </w:rPr>
                <m:t xml:space="preserve">i</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h</m:t>
              </m:r>
            </m:sub>
          </m:sSub>
        </m:oMath>
      </m:oMathPara>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 xml:space="preserve">Weight renormalisation prevents missing observations from reducing the estimated change merely because some analogs are unavailable. The number of analogs contributing to each estimate is recorded alongside the result to indicate the amount of supporting evidence. Directional classification compares each weighted change with a threshold </w:t>
      </w:r>
      <w:r>
        <w:rPr/>
      </w:r>
      <m:oMath xmlns:m="http://schemas.openxmlformats.org/officeDocument/2006/math">
        <m:sSub>
          <m:e>
            <m:r>
              <w:rPr>
                <w:rFonts w:ascii="Cambria Math" w:hAnsi="Cambria Math"/>
              </w:rPr>
              <m:t xml:space="preserve">τ</m:t>
            </m:r>
          </m:e>
          <m:sub>
            <m:r>
              <w:rPr>
                <w:rFonts w:ascii="Cambria Math" w:hAnsi="Cambria Math"/>
              </w:rPr>
              <m:t xml:space="preserve">k</m:t>
            </m:r>
            <m:r>
              <w:rPr>
                <w:rFonts w:ascii="Cambria Math" w:hAnsi="Cambria Math"/>
              </w:rPr>
              <m:t xml:space="preserve">,</m:t>
            </m:r>
            <m:r>
              <w:rPr>
                <w:rFonts w:ascii="Cambria Math" w:hAnsi="Cambria Math"/>
              </w:rPr>
              <m:t xml:space="preserve">h</m:t>
            </m:r>
          </m:sub>
        </m:sSub>
      </m:oMath>
      <w:r>
        <w:rPr>
          <w:rFonts w:cs="Times New Roman" w:ascii="Times New Roman" w:hAnsi="Times New Roman"/>
          <w:sz w:val="20"/>
          <w:szCs w:val="20"/>
        </w:rPr>
        <w:t xml:space="preserve"> specific to index </w:t>
      </w:r>
      <w:r>
        <w:rPr/>
      </w:r>
      <m:oMath xmlns:m="http://schemas.openxmlformats.org/officeDocument/2006/math">
        <m:r>
          <w:rPr>
            <w:rFonts w:ascii="Cambria Math" w:hAnsi="Cambria Math"/>
          </w:rPr>
          <m:t xml:space="preserve">k</m:t>
        </m:r>
      </m:oMath>
      <w:r>
        <w:rPr>
          <w:rFonts w:cs="Times New Roman" w:ascii="Times New Roman" w:hAnsi="Times New Roman"/>
          <w:sz w:val="20"/>
          <w:szCs w:val="20"/>
        </w:rPr>
        <w:t xml:space="preserve"> and horizon </w:t>
      </w:r>
      <w:r>
        <w:rPr/>
      </w:r>
      <m:oMath xmlns:m="http://schemas.openxmlformats.org/officeDocument/2006/math">
        <m:r>
          <w:rPr>
            <w:rFonts w:ascii="Cambria Math" w:hAnsi="Cambria Math"/>
          </w:rPr>
          <m:t xml:space="preserve">h</m:t>
        </m:r>
      </m:oMath>
      <w:r>
        <w:rPr>
          <w:rFonts w:cs="Times New Roman" w:ascii="Times New Roman" w:hAnsi="Times New Roman"/>
          <w:sz w:val="20"/>
          <w:szCs w:val="20"/>
        </w:rPr>
        <w:t xml:space="preserve">, set to half the median absolute change of that index over </w:t>
      </w:r>
      <w:r>
        <w:rPr/>
      </w:r>
      <m:oMath xmlns:m="http://schemas.openxmlformats.org/officeDocument/2006/math">
        <m:r>
          <w:rPr>
            <w:rFonts w:ascii="Cambria Math" w:hAnsi="Cambria Math"/>
          </w:rPr>
          <m:t xml:space="preserve">h</m:t>
        </m:r>
      </m:oMath>
      <w:r>
        <w:rPr>
          <w:rFonts w:cs="Times New Roman" w:ascii="Times New Roman" w:hAnsi="Times New Roman"/>
          <w:sz w:val="20"/>
          <w:szCs w:val="20"/>
        </w:rPr>
        <w:t xml:space="preserve"> years across the cohort:</w:t>
      </w:r>
    </w:p>
    <w:p>
      <w:pPr>
        <w:pStyle w:val="Normal"/>
        <w:spacing w:lineRule="auto" w:line="360" w:before="0" w:after="0"/>
        <w:jc w:val="center"/>
        <w:rPr>
          <w:rFonts w:ascii="Times New Roman" w:hAnsi="Times New Roman" w:cs="Times New Roman"/>
          <w:sz w:val="20"/>
          <w:szCs w:val="20"/>
        </w:rPr>
      </w:pPr>
      <w:r>
        <w:rPr/>
      </w:r>
      <m:oMathPara xmlns:m="http://schemas.openxmlformats.org/officeDocument/2006/math">
        <m:oMathParaPr>
          <m:jc m:val="center"/>
        </m:oMathParaPr>
        <m:oMath>
          <m:sSub>
            <m:e>
              <m:r>
                <w:rPr>
                  <w:rFonts w:ascii="Cambria Math" w:hAnsi="Cambria Math"/>
                </w:rPr>
                <m:t xml:space="preserve">τ</m:t>
              </m:r>
            </m:e>
            <m:sub>
              <m:r>
                <w:rPr>
                  <w:rFonts w:ascii="Cambria Math" w:hAnsi="Cambria Math"/>
                </w:rPr>
                <m:t xml:space="preserve">k</m:t>
              </m:r>
              <m:r>
                <w:rPr>
                  <w:rFonts w:ascii="Cambria Math" w:hAnsi="Cambria Math"/>
                </w:rPr>
                <m:t xml:space="preserve">,</m:t>
              </m:r>
              <m:r>
                <w:rPr>
                  <w:rFonts w:ascii="Cambria Math" w:hAnsi="Cambria Math"/>
                </w:rPr>
                <m:t xml:space="preserve">h</m:t>
              </m:r>
            </m:sub>
          </m:sSub>
          <m:r>
            <w:rPr>
              <w:rFonts w:ascii="Cambria Math" w:hAnsi="Cambria Math"/>
            </w:rPr>
            <m:t xml:space="preserve">=</m:t>
          </m:r>
          <m:r>
            <w:rPr>
              <w:rFonts w:ascii="Cambria Math" w:hAnsi="Cambria Math"/>
            </w:rPr>
            <m:t xml:space="preserve">0.5</m:t>
          </m:r>
          <m:r>
            <w:rPr>
              <w:rFonts w:ascii="Cambria Math" w:hAnsi="Cambria Math"/>
            </w:rPr>
            <m:t xml:space="preserve">⋅</m:t>
          </m:r>
          <m:sSub>
            <m:e>
              <m:r>
                <w:rPr>
                  <w:rFonts w:ascii="Cambria Math" w:hAnsi="Cambria Math"/>
                </w:rPr>
                <m:t xml:space="preserve">median</m:t>
              </m:r>
            </m:e>
            <m:sub>
              <m:r>
                <w:rPr>
                  <w:rFonts w:ascii="Cambria Math" w:hAnsi="Cambria Math"/>
                </w:rPr>
                <m:t xml:space="preserve">L</m:t>
              </m:r>
              <m:r>
                <w:rPr>
                  <w:rFonts w:ascii="Cambria Math" w:hAnsi="Cambria Math"/>
                </w:rPr>
                <m:t xml:space="preserve">,</m:t>
              </m:r>
              <m:r>
                <w:rPr>
                  <w:rFonts w:ascii="Cambria Math" w:hAnsi="Cambria Math"/>
                </w:rPr>
                <m:t xml:space="preserve">y</m:t>
              </m:r>
            </m:sub>
          </m:sSub>
          <m:d>
            <m:dPr>
              <m:begChr m:val="|"/>
              <m:endChr m:val="|"/>
            </m:dPr>
            <m:e>
              <m:sSub>
                <m:e>
                  <m:r>
                    <w:rPr>
                      <w:rFonts w:ascii="Cambria Math" w:hAnsi="Cambria Math"/>
                    </w:rPr>
                    <m:t xml:space="preserve">v</m:t>
                  </m:r>
                </m:e>
                <m:sub>
                  <m:r>
                    <w:rPr>
                      <w:rFonts w:ascii="Cambria Math" w:hAnsi="Cambria Math"/>
                    </w:rPr>
                    <m:t xml:space="preserve">L</m:t>
                  </m:r>
                  <m:r>
                    <w:rPr>
                      <w:rFonts w:ascii="Cambria Math" w:hAnsi="Cambria Math"/>
                    </w:rPr>
                    <m:t xml:space="preserve">,</m:t>
                  </m:r>
                  <m:r>
                    <w:rPr>
                      <w:rFonts w:ascii="Cambria Math" w:hAnsi="Cambria Math"/>
                    </w:rPr>
                    <m:t xml:space="preserve">k</m:t>
                  </m:r>
                </m:sub>
              </m:sSub>
              <m:d>
                <m:dPr>
                  <m:begChr m:val="("/>
                  <m:endChr m:val=")"/>
                </m:dPr>
                <m:e>
                  <m:r>
                    <w:rPr>
                      <w:rFonts w:ascii="Cambria Math" w:hAnsi="Cambria Math"/>
                    </w:rPr>
                    <m:t xml:space="preserve">y</m:t>
                  </m:r>
                  <m:r>
                    <w:rPr>
                      <w:rFonts w:ascii="Cambria Math" w:hAnsi="Cambria Math"/>
                    </w:rPr>
                    <m:t xml:space="preserve">+</m:t>
                  </m:r>
                  <m:r>
                    <w:rPr>
                      <w:rFonts w:ascii="Cambria Math" w:hAnsi="Cambria Math"/>
                    </w:rPr>
                    <m:t xml:space="preserve">h</m:t>
                  </m:r>
                </m:e>
              </m:d>
              <m:r>
                <w:rPr>
                  <w:rFonts w:ascii="Cambria Math" w:hAnsi="Cambria Math"/>
                </w:rPr>
                <m:t xml:space="preserve">−</m:t>
              </m:r>
              <m:sSub>
                <m:e>
                  <m:r>
                    <w:rPr>
                      <w:rFonts w:ascii="Cambria Math" w:hAnsi="Cambria Math"/>
                    </w:rPr>
                    <m:t xml:space="preserve">v</m:t>
                  </m:r>
                </m:e>
                <m:sub>
                  <m:r>
                    <w:rPr>
                      <w:rFonts w:ascii="Cambria Math" w:hAnsi="Cambria Math"/>
                    </w:rPr>
                    <m:t xml:space="preserve">L</m:t>
                  </m:r>
                  <m:r>
                    <w:rPr>
                      <w:rFonts w:ascii="Cambria Math" w:hAnsi="Cambria Math"/>
                    </w:rPr>
                    <m:t xml:space="preserve">,</m:t>
                  </m:r>
                  <m:r>
                    <w:rPr>
                      <w:rFonts w:ascii="Cambria Math" w:hAnsi="Cambria Math"/>
                    </w:rPr>
                    <m:t xml:space="preserve">k</m:t>
                  </m:r>
                </m:sub>
              </m:sSub>
              <m:d>
                <m:dPr>
                  <m:begChr m:val="("/>
                  <m:endChr m:val=")"/>
                </m:dPr>
                <m:e>
                  <m:r>
                    <w:rPr>
                      <w:rFonts w:ascii="Cambria Math" w:hAnsi="Cambria Math"/>
                    </w:rPr>
                    <m:t xml:space="preserve">y</m:t>
                  </m:r>
                </m:e>
              </m:d>
            </m:e>
          </m:d>
        </m:oMath>
      </m:oMathPara>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 xml:space="preserve">where </w:t>
      </w:r>
      <w:r>
        <w:rPr/>
      </w:r>
      <m:oMath xmlns:m="http://schemas.openxmlformats.org/officeDocument/2006/math">
        <m:r>
          <w:rPr>
            <w:rFonts w:ascii="Cambria Math" w:hAnsi="Cambria Math"/>
          </w:rPr>
          <m:t xml:space="preserve">L</m:t>
        </m:r>
      </m:oMath>
      <w:r>
        <w:rPr>
          <w:rFonts w:cs="Times New Roman" w:ascii="Times New Roman" w:hAnsi="Times New Roman"/>
          <w:sz w:val="20"/>
          <w:szCs w:val="20"/>
        </w:rPr>
        <w:t xml:space="preserve"> ranges over the cohort lakes and </w:t>
      </w:r>
      <w:r>
        <w:rPr/>
      </w:r>
      <m:oMath xmlns:m="http://schemas.openxmlformats.org/officeDocument/2006/math">
        <m:r>
          <w:rPr>
            <w:rFonts w:ascii="Cambria Math" w:hAnsi="Cambria Math"/>
          </w:rPr>
          <m:t xml:space="preserve">y</m:t>
        </m:r>
      </m:oMath>
      <w:r>
        <w:rPr>
          <w:rFonts w:cs="Times New Roman" w:ascii="Times New Roman" w:hAnsi="Times New Roman"/>
          <w:sz w:val="20"/>
          <w:szCs w:val="20"/>
        </w:rPr>
        <w:t xml:space="preserve"> over the years in which index </w:t>
      </w:r>
      <w:r>
        <w:rPr/>
      </w:r>
      <m:oMath xmlns:m="http://schemas.openxmlformats.org/officeDocument/2006/math">
        <m:r>
          <w:rPr>
            <w:rFonts w:ascii="Cambria Math" w:hAnsi="Cambria Math"/>
          </w:rPr>
          <m:t xml:space="preserve">k</m:t>
        </m:r>
      </m:oMath>
      <w:r>
        <w:rPr>
          <w:rFonts w:cs="Times New Roman" w:ascii="Times New Roman" w:hAnsi="Times New Roman"/>
          <w:sz w:val="20"/>
          <w:szCs w:val="20"/>
        </w:rPr>
        <w:t xml:space="preserve"> is observed in both </w:t>
      </w:r>
      <w:r>
        <w:rPr/>
      </w:r>
      <m:oMath xmlns:m="http://schemas.openxmlformats.org/officeDocument/2006/math">
        <m:r>
          <w:rPr>
            <w:rFonts w:ascii="Cambria Math" w:hAnsi="Cambria Math"/>
          </w:rPr>
          <m:t xml:space="preserve">y</m:t>
        </m:r>
      </m:oMath>
      <w:r>
        <w:rPr>
          <w:rFonts w:cs="Times New Roman" w:ascii="Times New Roman" w:hAnsi="Times New Roman"/>
          <w:sz w:val="20"/>
          <w:szCs w:val="20"/>
        </w:rPr>
        <w:t xml:space="preserve"> and </w:t>
      </w:r>
      <w:r>
        <w:rPr/>
      </w:r>
      <m:oMath xmlns:m="http://schemas.openxmlformats.org/officeDocument/2006/math">
        <m:r>
          <w:rPr>
            <w:rFonts w:ascii="Cambria Math" w:hAnsi="Cambria Math"/>
          </w:rPr>
          <m:t xml:space="preserve">y</m:t>
        </m:r>
        <m:r>
          <w:rPr>
            <w:rFonts w:ascii="Cambria Math" w:hAnsi="Cambria Math"/>
          </w:rPr>
          <m:t xml:space="preserve">+</m:t>
        </m:r>
        <m:r>
          <w:rPr>
            <w:rFonts w:ascii="Cambria Math" w:hAnsi="Cambria Math"/>
          </w:rPr>
          <m:t xml:space="preserve">h</m:t>
        </m:r>
      </m:oMath>
      <w:r>
        <w:rPr>
          <w:rFonts w:cs="Times New Roman" w:ascii="Times New Roman" w:hAnsi="Times New Roman"/>
          <w:sz w:val="20"/>
          <w:szCs w:val="20"/>
        </w:rPr>
        <w:t>. Only feature records of the current processing version are used; with fewer than 30 such pairs, a fixed fallback threshold of 0.005 applies to each index. Each direction is then assigned as</w:t>
      </w:r>
    </w:p>
    <w:p>
      <w:pPr>
        <w:pStyle w:val="Normal"/>
        <w:spacing w:lineRule="auto" w:line="360" w:before="0" w:after="0"/>
        <w:jc w:val="center"/>
        <w:rPr>
          <w:rFonts w:ascii="Times New Roman" w:hAnsi="Times New Roman" w:cs="Times New Roman"/>
          <w:sz w:val="20"/>
          <w:szCs w:val="20"/>
        </w:rPr>
      </w:pPr>
      <w:r>
        <w:rPr/>
      </w:r>
      <m:oMathPara xmlns:m="http://schemas.openxmlformats.org/officeDocument/2006/math">
        <m:oMathParaPr>
          <m:jc m:val="center"/>
        </m:oMathParaPr>
        <m:oMath>
          <m:sSub>
            <m:e>
              <m:r>
                <w:rPr>
                  <w:rFonts w:ascii="Cambria Math" w:hAnsi="Cambria Math"/>
                </w:rPr>
                <m:t xml:space="preserve">D</m:t>
              </m:r>
            </m:e>
            <m:sub>
              <m:r>
                <w:rPr>
                  <w:rFonts w:ascii="Cambria Math" w:hAnsi="Cambria Math"/>
                </w:rPr>
                <m:t xml:space="preserve">k</m:t>
              </m:r>
              <m:r>
                <w:rPr>
                  <w:rFonts w:ascii="Cambria Math" w:hAnsi="Cambria Math"/>
                </w:rPr>
                <m:t xml:space="preserve">,</m:t>
              </m:r>
              <m:r>
                <w:rPr>
                  <w:rFonts w:ascii="Cambria Math" w:hAnsi="Cambria Math"/>
                </w:rPr>
                <m:t xml:space="preserve">h</m:t>
              </m:r>
            </m:sub>
          </m:sSub>
          <m:r>
            <w:rPr>
              <w:rFonts w:ascii="Cambria Math" w:hAnsi="Cambria Math"/>
            </w:rPr>
            <m:t xml:space="preserve">=</m:t>
          </m:r>
          <m:d>
            <m:dPr>
              <m:begChr m:val="{"/>
              <m:endChr m:val=""/>
            </m:dPr>
            <m:e>
              <m:m>
                <m:mr>
                  <m:e>
                    <m:r>
                      <m:rPr>
                        <m:lit/>
                        <m:nor/>
                      </m:rPr>
                      <w:rPr>
                        <w:rFonts w:ascii="Cambria Math" w:hAnsi="Cambria Math"/>
                      </w:rPr>
                      <m:t xml:space="preserve">uncertain</m:t>
                    </m:r>
                    <m:r>
                      <w:rPr>
                        <w:rFonts w:ascii="Cambria Math" w:hAnsi="Cambria Math"/>
                      </w:rPr>
                      <m:t xml:space="preserve">,</m:t>
                    </m:r>
                  </m:e>
                  <m:e>
                    <m:d>
                      <m:dPr>
                        <m:begChr m:val="|"/>
                        <m:endChr m:val="|"/>
                      </m:dPr>
                      <m:e>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h</m:t>
                            </m:r>
                          </m:sub>
                        </m:sSub>
                      </m:e>
                    </m:d>
                    <m:r>
                      <w:rPr>
                        <w:rFonts w:ascii="Cambria Math" w:hAnsi="Cambria Math"/>
                      </w:rPr>
                      <m:t xml:space="preserve">&lt;</m:t>
                    </m:r>
                    <m:r>
                      <w:rPr>
                        <w:rFonts w:ascii="Cambria Math" w:hAnsi="Cambria Math"/>
                      </w:rPr>
                      <m:t xml:space="preserve">2</m:t>
                    </m:r>
                    <m:r>
                      <w:rPr>
                        <w:rFonts w:ascii="Cambria Math" w:hAnsi="Cambria Math"/>
                      </w:rPr>
                      <m:t xml:space="preserve">,</m:t>
                    </m:r>
                  </m:e>
                </m:mr>
                <m:mr>
                  <m:e>
                    <m:r>
                      <m:rPr>
                        <m:lit/>
                        <m:nor/>
                      </m:rPr>
                      <w:rPr>
                        <w:rFonts w:ascii="Cambria Math" w:hAnsi="Cambria Math"/>
                      </w:rPr>
                      <m:t xml:space="preserve">up</m:t>
                    </m:r>
                    <m:r>
                      <w:rPr>
                        <w:rFonts w:ascii="Cambria Math" w:hAnsi="Cambria Math"/>
                      </w:rPr>
                      <m:t xml:space="preserve">,</m:t>
                    </m:r>
                  </m:e>
                  <m:e>
                    <m:sSub>
                      <m:e>
                        <m:r>
                          <w:rPr>
                            <w:rFonts w:ascii="Cambria Math" w:hAnsi="Cambria Math"/>
                          </w:rPr>
                          <m:t xml:space="preserve">Σ</m:t>
                        </m:r>
                      </m:e>
                      <m:sub>
                        <m:r>
                          <w:rPr>
                            <w:rFonts w:ascii="Cambria Math" w:hAnsi="Cambria Math"/>
                          </w:rPr>
                          <m:t xml:space="preserve">k</m:t>
                        </m:r>
                        <m:r>
                          <w:rPr>
                            <w:rFonts w:ascii="Cambria Math" w:hAnsi="Cambria Math"/>
                          </w:rPr>
                          <m:t xml:space="preserve">,</m:t>
                        </m:r>
                        <m:r>
                          <w:rPr>
                            <w:rFonts w:ascii="Cambria Math" w:hAnsi="Cambria Math"/>
                          </w:rPr>
                          <m:t xml:space="preserve">h</m:t>
                        </m:r>
                      </m:sub>
                    </m:sSub>
                    <m:r>
                      <w:rPr>
                        <w:rFonts w:ascii="Cambria Math" w:hAnsi="Cambria Math"/>
                      </w:rPr>
                      <m:t xml:space="preserve">&gt;</m:t>
                    </m:r>
                    <m:sSub>
                      <m:e>
                        <m:r>
                          <w:rPr>
                            <w:rFonts w:ascii="Cambria Math" w:hAnsi="Cambria Math"/>
                          </w:rPr>
                          <m:t xml:space="preserve">τ</m:t>
                        </m:r>
                      </m:e>
                      <m:sub>
                        <m:r>
                          <w:rPr>
                            <w:rFonts w:ascii="Cambria Math" w:hAnsi="Cambria Math"/>
                          </w:rPr>
                          <m:t xml:space="preserve">k</m:t>
                        </m:r>
                        <m:r>
                          <w:rPr>
                            <w:rFonts w:ascii="Cambria Math" w:hAnsi="Cambria Math"/>
                          </w:rPr>
                          <m:t xml:space="preserve">,</m:t>
                        </m:r>
                        <m:r>
                          <w:rPr>
                            <w:rFonts w:ascii="Cambria Math" w:hAnsi="Cambria Math"/>
                          </w:rPr>
                          <m:t xml:space="preserve">h</m:t>
                        </m:r>
                      </m:sub>
                    </m:sSub>
                    <m:r>
                      <w:rPr>
                        <w:rFonts w:ascii="Cambria Math" w:hAnsi="Cambria Math"/>
                      </w:rPr>
                      <m:t xml:space="preserve">,</m:t>
                    </m:r>
                  </m:e>
                </m:mr>
                <m:mr>
                  <m:e>
                    <m:r>
                      <m:rPr>
                        <m:lit/>
                        <m:nor/>
                      </m:rPr>
                      <w:rPr>
                        <w:rFonts w:ascii="Cambria Math" w:hAnsi="Cambria Math"/>
                      </w:rPr>
                      <m:t xml:space="preserve">down</m:t>
                    </m:r>
                    <m:r>
                      <w:rPr>
                        <w:rFonts w:ascii="Cambria Math" w:hAnsi="Cambria Math"/>
                      </w:rPr>
                      <m:t xml:space="preserve">,</m:t>
                    </m:r>
                  </m:e>
                  <m:e>
                    <m:sSub>
                      <m:e>
                        <m:r>
                          <w:rPr>
                            <w:rFonts w:ascii="Cambria Math" w:hAnsi="Cambria Math"/>
                          </w:rPr>
                          <m:t xml:space="preserve">Σ</m:t>
                        </m:r>
                      </m:e>
                      <m:sub>
                        <m:r>
                          <w:rPr>
                            <w:rFonts w:ascii="Cambria Math" w:hAnsi="Cambria Math"/>
                          </w:rPr>
                          <m:t xml:space="preserve">k</m:t>
                        </m:r>
                        <m:r>
                          <w:rPr>
                            <w:rFonts w:ascii="Cambria Math" w:hAnsi="Cambria Math"/>
                          </w:rPr>
                          <m:t xml:space="preserve">,</m:t>
                        </m:r>
                        <m:r>
                          <w:rPr>
                            <w:rFonts w:ascii="Cambria Math" w:hAnsi="Cambria Math"/>
                          </w:rPr>
                          <m:t xml:space="preserve">h</m:t>
                        </m:r>
                      </m:sub>
                    </m:sSub>
                    <m:r>
                      <w:rPr>
                        <w:rFonts w:ascii="Cambria Math" w:hAnsi="Cambria Math"/>
                      </w:rPr>
                      <m:t xml:space="preserve">←</m:t>
                    </m:r>
                    <m:sSub>
                      <m:e>
                        <m:r>
                          <w:rPr>
                            <w:rFonts w:ascii="Cambria Math" w:hAnsi="Cambria Math"/>
                          </w:rPr>
                          <m:t xml:space="preserve">τ</m:t>
                        </m:r>
                      </m:e>
                      <m:sub>
                        <m:r>
                          <w:rPr>
                            <w:rFonts w:ascii="Cambria Math" w:hAnsi="Cambria Math"/>
                          </w:rPr>
                          <m:t xml:space="preserve">k</m:t>
                        </m:r>
                        <m:r>
                          <w:rPr>
                            <w:rFonts w:ascii="Cambria Math" w:hAnsi="Cambria Math"/>
                          </w:rPr>
                          <m:t xml:space="preserve">,</m:t>
                        </m:r>
                        <m:r>
                          <w:rPr>
                            <w:rFonts w:ascii="Cambria Math" w:hAnsi="Cambria Math"/>
                          </w:rPr>
                          <m:t xml:space="preserve">h</m:t>
                        </m:r>
                      </m:sub>
                    </m:sSub>
                    <m:r>
                      <w:rPr>
                        <w:rFonts w:ascii="Cambria Math" w:hAnsi="Cambria Math"/>
                      </w:rPr>
                      <m:t xml:space="preserve">,</m:t>
                    </m:r>
                  </m:e>
                </m:mr>
                <m:mr>
                  <m:e>
                    <m:r>
                      <m:rPr>
                        <m:lit/>
                        <m:nor/>
                      </m:rPr>
                      <w:rPr>
                        <w:rFonts w:ascii="Cambria Math" w:hAnsi="Cambria Math"/>
                      </w:rPr>
                      <m:t xml:space="preserve">stable</m:t>
                    </m:r>
                    <m:r>
                      <w:rPr>
                        <w:rFonts w:ascii="Cambria Math" w:hAnsi="Cambria Math"/>
                      </w:rPr>
                      <m:t xml:space="preserve">,</m:t>
                    </m:r>
                  </m:e>
                  <m:e>
                    <m:r>
                      <w:rPr>
                        <w:rFonts w:ascii="Cambria Math" w:hAnsi="Cambria Math"/>
                      </w:rPr>
                      <m:t xml:space="preserve">−</m:t>
                    </m:r>
                    <m:sSub>
                      <m:e>
                        <m:r>
                          <w:rPr>
                            <w:rFonts w:ascii="Cambria Math" w:hAnsi="Cambria Math"/>
                          </w:rPr>
                          <m:t xml:space="preserve">τ</m:t>
                        </m:r>
                      </m:e>
                      <m:sub>
                        <m:r>
                          <w:rPr>
                            <w:rFonts w:ascii="Cambria Math" w:hAnsi="Cambria Math"/>
                          </w:rPr>
                          <m:t xml:space="preserve">k</m:t>
                        </m:r>
                        <m:r>
                          <w:rPr>
                            <w:rFonts w:ascii="Cambria Math" w:hAnsi="Cambria Math"/>
                          </w:rPr>
                          <m:t xml:space="preserve">,</m:t>
                        </m:r>
                        <m:r>
                          <w:rPr>
                            <w:rFonts w:ascii="Cambria Math" w:hAnsi="Cambria Math"/>
                          </w:rPr>
                          <m:t xml:space="preserve">h</m:t>
                        </m:r>
                      </m:sub>
                    </m:sSub>
                    <m:r>
                      <w:rPr>
                        <w:rFonts w:ascii="Cambria Math" w:hAnsi="Cambria Math"/>
                      </w:rPr>
                      <m:t xml:space="preserve">≤</m:t>
                    </m:r>
                    <m:sSub>
                      <m:e>
                        <m:r>
                          <w:rPr>
                            <w:rFonts w:ascii="Cambria Math" w:hAnsi="Cambria Math"/>
                          </w:rPr>
                          <m:t xml:space="preserve">Σ</m:t>
                        </m:r>
                      </m:e>
                      <m:sub>
                        <m:r>
                          <w:rPr>
                            <w:rFonts w:ascii="Cambria Math" w:hAnsi="Cambria Math"/>
                          </w:rPr>
                          <m:t xml:space="preserve">k</m:t>
                        </m:r>
                        <m:r>
                          <w:rPr>
                            <w:rFonts w:ascii="Cambria Math" w:hAnsi="Cambria Math"/>
                          </w:rPr>
                          <m:t xml:space="preserve">,</m:t>
                        </m:r>
                        <m:r>
                          <w:rPr>
                            <w:rFonts w:ascii="Cambria Math" w:hAnsi="Cambria Math"/>
                          </w:rPr>
                          <m:t xml:space="preserve">h</m:t>
                        </m:r>
                      </m:sub>
                    </m:sSub>
                    <m:r>
                      <w:rPr>
                        <w:rFonts w:ascii="Cambria Math" w:hAnsi="Cambria Math"/>
                      </w:rPr>
                      <m:t xml:space="preserve">≤</m:t>
                    </m:r>
                    <m:sSub>
                      <m:e>
                        <m:r>
                          <w:rPr>
                            <w:rFonts w:ascii="Cambria Math" w:hAnsi="Cambria Math"/>
                          </w:rPr>
                          <m:t xml:space="preserve">τ</m:t>
                        </m:r>
                      </m:e>
                      <m:sub>
                        <m:r>
                          <w:rPr>
                            <w:rFonts w:ascii="Cambria Math" w:hAnsi="Cambria Math"/>
                          </w:rPr>
                          <m:t xml:space="preserve">k</m:t>
                        </m:r>
                        <m:r>
                          <w:rPr>
                            <w:rFonts w:ascii="Cambria Math" w:hAnsi="Cambria Math"/>
                          </w:rPr>
                          <m:t xml:space="preserve">,</m:t>
                        </m:r>
                        <m:r>
                          <w:rPr>
                            <w:rFonts w:ascii="Cambria Math" w:hAnsi="Cambria Math"/>
                          </w:rPr>
                          <m:t xml:space="preserve">h</m:t>
                        </m:r>
                      </m:sub>
                    </m:sSub>
                    <m:r>
                      <w:rPr>
                        <w:rFonts w:ascii="Cambria Math" w:hAnsi="Cambria Math"/>
                      </w:rPr>
                      <m:t xml:space="preserve">.</m:t>
                    </m:r>
                  </m:e>
                </m:mr>
              </m:m>
            </m:e>
          </m:d>
        </m:oMath>
      </m:oMathPara>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The availability condition is evaluated first. Fewer than two analogs with usable changes results in an uncertain classification. Otherwise, the estimated direction depends on whether the weighted change exceeds the positive or negative threshold. A stable classification indicates that the net weighted change falls within the threshold interval. It does not establish that the analogs agree, because positive and negative changes can cancel each other. Because each threshold is expressed in the units of its own index and widens with the forecast horizon, classifications are comparable across indices with different numerical scales; the factor of 0.5 is, however, a heuristic choice that has not been calibrated. Directional classes describe the weighted change in an index and do not by themselves imply overall ecological improvement or deterioration. An indicative future index value is obtained by adding the weighted change to the target's anchor value</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center"/>
        <w:rPr>
          <w:rFonts w:ascii="Times New Roman" w:hAnsi="Times New Roman" w:eastAsia="" w:cs="Times New Roman" w:eastAsiaTheme="minorEastAsia"/>
          <w:sz w:val="20"/>
          <w:szCs w:val="20"/>
        </w:rPr>
      </w:pPr>
      <w:r>
        <w:rPr/>
      </w:r>
      <m:oMathPara xmlns:m="http://schemas.openxmlformats.org/officeDocument/2006/math">
        <m:oMathParaPr>
          <m:jc m:val="center"/>
        </m:oMathParaPr>
        <m:oMath>
          <m:sSub>
            <m:e>
              <m:acc>
                <m:accPr>
                  <m:chr m:val="^"/>
                </m:accPr>
                <m:e>
                  <m:r>
                    <w:rPr>
                      <w:rFonts w:ascii="Cambria Math" w:hAnsi="Cambria Math"/>
                    </w:rPr>
                    <m:t xml:space="preserve">v</m:t>
                  </m:r>
                </m:e>
              </m:acc>
            </m:e>
            <m:sub>
              <m:r>
                <w:rPr>
                  <w:rFonts w:ascii="Cambria Math" w:hAnsi="Cambria Math"/>
                </w:rPr>
                <m:t xml:space="preserve">k</m:t>
              </m:r>
            </m:sub>
          </m:sSub>
          <m:d>
            <m:dPr>
              <m:begChr m:val="("/>
              <m:endChr m:val=")"/>
            </m:dPr>
            <m:e>
              <m:sSub>
                <m:e>
                  <m:r>
                    <w:rPr>
                      <w:rFonts w:ascii="Cambria Math" w:hAnsi="Cambria Math"/>
                    </w:rPr>
                    <m:t xml:space="preserve">t</m:t>
                  </m:r>
                </m:e>
                <m:sub>
                  <m:r>
                    <w:rPr>
                      <w:rFonts w:ascii="Cambria Math" w:hAnsi="Cambria Math"/>
                    </w:rPr>
                    <m:t xml:space="preserve">0</m:t>
                  </m:r>
                </m:sub>
              </m:sSub>
              <m:r>
                <w:rPr>
                  <w:rFonts w:ascii="Cambria Math" w:hAnsi="Cambria Math"/>
                </w:rPr>
                <m:t xml:space="preserve">+</m:t>
              </m:r>
              <m:r>
                <w:rPr>
                  <w:rFonts w:ascii="Cambria Math" w:hAnsi="Cambria Math"/>
                </w:rPr>
                <m:t xml:space="preserve">h</m:t>
              </m:r>
            </m:e>
          </m:d>
          <m:r>
            <w:rPr>
              <w:rFonts w:ascii="Cambria Math" w:hAnsi="Cambria Math"/>
            </w:rPr>
            <m:t xml:space="preserve">=</m:t>
          </m:r>
          <m:sSub>
            <m:e>
              <m:r>
                <w:rPr>
                  <w:rFonts w:ascii="Cambria Math" w:hAnsi="Cambria Math"/>
                </w:rPr>
                <m:t xml:space="preserve">v</m:t>
              </m:r>
            </m:e>
            <m:sub>
              <m:r>
                <w:rPr>
                  <w:rFonts w:ascii="Cambria Math" w:hAnsi="Cambria Math"/>
                </w:rPr>
                <m:t xml:space="preserve">k</m:t>
              </m:r>
            </m:sub>
          </m:sSub>
          <m:d>
            <m:dPr>
              <m:begChr m:val="("/>
              <m:endChr m:val=")"/>
            </m:dPr>
            <m:e>
              <m:sSub>
                <m:e>
                  <m:r>
                    <w:rPr>
                      <w:rFonts w:ascii="Cambria Math" w:hAnsi="Cambria Math"/>
                    </w:rPr>
                    <m:t xml:space="preserve">t</m:t>
                  </m:r>
                </m:e>
                <m:sub>
                  <m:r>
                    <w:rPr>
                      <w:rFonts w:ascii="Cambria Math" w:hAnsi="Cambria Math"/>
                    </w:rPr>
                    <m:t xml:space="preserve">0</m:t>
                  </m:r>
                </m:sub>
              </m:sSub>
            </m:e>
          </m:d>
          <m:r>
            <w:rPr>
              <w:rFonts w:ascii="Cambria Math" w:hAnsi="Cambria Math"/>
            </w:rPr>
            <m:t xml:space="preserve">+</m:t>
          </m:r>
          <m:sSub>
            <m:e>
              <m:r>
                <w:rPr>
                  <w:rFonts w:ascii="Cambria Math" w:hAnsi="Cambria Math"/>
                </w:rPr>
                <m:t xml:space="preserve">Σ</m:t>
              </m:r>
            </m:e>
            <m:sub>
              <m:r>
                <w:rPr>
                  <w:rFonts w:ascii="Cambria Math" w:hAnsi="Cambria Math"/>
                </w:rPr>
                <m:t xml:space="preserve">k</m:t>
              </m:r>
              <m:r>
                <w:rPr>
                  <w:rFonts w:ascii="Cambria Math" w:hAnsi="Cambria Math"/>
                </w:rPr>
                <m:t xml:space="preserve">,</m:t>
              </m:r>
              <m:r>
                <w:rPr>
                  <w:rFonts w:ascii="Cambria Math" w:hAnsi="Cambria Math"/>
                </w:rPr>
                <m:t xml:space="preserve">h</m:t>
              </m:r>
            </m:sub>
          </m:sSub>
        </m:oMath>
      </m:oMathPara>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 xml:space="preserve">where </w:t>
      </w:r>
      <w:r>
        <w:rPr/>
      </w:r>
      <m:oMath xmlns:m="http://schemas.openxmlformats.org/officeDocument/2006/math">
        <m:sSub>
          <m:e>
            <m:acc>
              <m:accPr>
                <m:chr m:val="^"/>
              </m:accPr>
              <m:e>
                <m:r>
                  <w:rPr>
                    <w:rFonts w:ascii="Cambria Math" w:hAnsi="Cambria Math"/>
                  </w:rPr>
                  <m:t xml:space="preserve">v</m:t>
                </m:r>
              </m:e>
            </m:acc>
          </m:e>
          <m:sub>
            <m:r>
              <w:rPr>
                <w:rFonts w:ascii="Cambria Math" w:hAnsi="Cambria Math"/>
              </w:rPr>
              <m:t xml:space="preserve">k</m:t>
            </m:r>
          </m:sub>
        </m:sSub>
        <m:d>
          <m:dPr>
            <m:begChr m:val="("/>
            <m:endChr m:val=")"/>
          </m:dPr>
          <m:e>
            <m:sSub>
              <m:e>
                <m:r>
                  <w:rPr>
                    <w:rFonts w:ascii="Cambria Math" w:hAnsi="Cambria Math"/>
                  </w:rPr>
                  <m:t xml:space="preserve">t</m:t>
                </m:r>
              </m:e>
              <m:sub>
                <m:r>
                  <w:rPr>
                    <w:rFonts w:ascii="Cambria Math" w:hAnsi="Cambria Math"/>
                  </w:rPr>
                  <m:t xml:space="preserve">0</m:t>
                </m:r>
              </m:sub>
            </m:sSub>
            <m:r>
              <w:rPr>
                <w:rFonts w:ascii="Cambria Math" w:hAnsi="Cambria Math"/>
              </w:rPr>
              <m:t xml:space="preserve">+</m:t>
            </m:r>
            <m:r>
              <w:rPr>
                <w:rFonts w:ascii="Cambria Math" w:hAnsi="Cambria Math"/>
              </w:rPr>
              <m:t xml:space="preserve">h</m:t>
            </m:r>
          </m:e>
        </m:d>
      </m:oMath>
      <w:r>
        <w:rPr>
          <w:rFonts w:cs="Times New Roman" w:ascii="Times New Roman" w:hAnsi="Times New Roman"/>
          <w:sz w:val="20"/>
          <w:szCs w:val="20"/>
        </w:rPr>
        <w:t xml:space="preserve"> is the estimated index value at horizon </w:t>
      </w:r>
      <w:r>
        <w:rPr/>
      </w:r>
      <m:oMath xmlns:m="http://schemas.openxmlformats.org/officeDocument/2006/math">
        <m:r>
          <w:rPr>
            <w:rFonts w:ascii="Cambria Math" w:hAnsi="Cambria Math"/>
          </w:rPr>
          <m:t xml:space="preserve">h</m:t>
        </m:r>
      </m:oMath>
      <w:r>
        <w:rPr>
          <w:rFonts w:cs="Times New Roman" w:ascii="Times New Roman" w:hAnsi="Times New Roman"/>
          <w:sz w:val="20"/>
          <w:szCs w:val="20"/>
        </w:rPr>
        <w:t>. This value is an analog-based estimate rather than a calibrated point prediction. Each forecast retains an audit trail containing the target's anchor values, selected analogs, matched trajectory windows, rank weights, directional classification, and weighted contributions.</w:t>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Unlike a parametric time-series model, EcoTwin does not estimate lake-specific forecasting parameters. Its outputs can instead be traced through the target lake, retrieved analogs, similarity scores, historical trajectories, and transferred index changes. The method uses observed index changes with fixed rank weights and thresholds derived from the cohort's observed index variability, without training a separate forecasting model for each lake.</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A dispersion-based uncertainty measure across analog forecasts was considered but not adopted because a small, unevenly weighted analog set may provide an unstable estimate of spread. The number of usable analogs is therefore reported as an indicator of evidence availability, not as a calibrated measure of confidence.</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An LSTM-based forecasting approach was also considered but not selected. Reddy and Prasad (2018) report LSTM performance for one-week MODIS NDVI prediction using 861 weekly observations per site. EcoTwin uses approximately ten annual observations per lake and estimates changes one to three years ahead. Its design also prioritises traceability to specific analogs and their observed trajectories. Given this short annual record, training a recurrent model would require additional justification and independent validation. The rank-weighted transfer approach instead uses retrieved analogs as explicit evidence and requires no separate model training during the forecasting stage.</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b/>
          <w:b/>
          <w:bCs/>
          <w:sz w:val="20"/>
          <w:szCs w:val="20"/>
        </w:rPr>
      </w:pPr>
      <w:r>
        <w:rPr>
          <w:rFonts w:cs="Times New Roman" w:ascii="Times New Roman" w:hAnsi="Times New Roman"/>
          <w:b/>
          <w:bCs/>
          <w:sz w:val="20"/>
          <w:szCs w:val="20"/>
        </w:rPr>
        <w:t>3.5 Hindcasting and Evaluation Protocol</w:t>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 xml:space="preserve">Forecast performance must be assessed through hindcasting, in which future observations are withheld and predictions are generated using only information available at a specified cutoff year </w:t>
      </w:r>
      <w:r>
        <w:rPr/>
      </w:r>
      <m:oMath xmlns:m="http://schemas.openxmlformats.org/officeDocument/2006/math">
        <m:sSub>
          <m:e>
            <m:r>
              <w:rPr>
                <w:rFonts w:ascii="Cambria Math" w:hAnsi="Cambria Math"/>
              </w:rPr>
              <m:t xml:space="preserve">t</m:t>
            </m:r>
          </m:e>
          <m:sub>
            <m:r>
              <w:rPr>
                <w:rFonts w:ascii="Cambria Math" w:hAnsi="Cambria Math"/>
              </w:rPr>
              <m:t xml:space="preserve">c</m:t>
            </m:r>
          </m:sub>
        </m:sSub>
      </m:oMath>
      <w:r>
        <w:rPr>
          <w:rFonts w:cs="Times New Roman" w:ascii="Times New Roman" w:hAnsi="Times New Roman"/>
          <w:sz w:val="20"/>
          <w:szCs w:val="20"/>
        </w:rPr>
        <w:t xml:space="preserve">. At each cutoff, the target trajectory and every candidate history are restricted to years up to and including </w:t>
      </w:r>
      <w:r>
        <w:rPr/>
      </w:r>
      <m:oMath xmlns:m="http://schemas.openxmlformats.org/officeDocument/2006/math">
        <m:sSub>
          <m:e>
            <m:r>
              <w:rPr>
                <w:rFonts w:ascii="Cambria Math" w:hAnsi="Cambria Math"/>
              </w:rPr>
              <m:t xml:space="preserve">t</m:t>
            </m:r>
          </m:e>
          <m:sub>
            <m:r>
              <w:rPr>
                <w:rFonts w:ascii="Cambria Math" w:hAnsi="Cambria Math"/>
              </w:rPr>
              <m:t xml:space="preserve">c</m:t>
            </m:r>
          </m:sub>
        </m:sSub>
      </m:oMath>
      <w:r>
        <w:rPr>
          <w:rFonts w:cs="Times New Roman" w:ascii="Times New Roman" w:hAnsi="Times New Roman"/>
          <w:sz w:val="20"/>
          <w:szCs w:val="20"/>
        </w:rPr>
        <w:t xml:space="preserve">. To prevent information leakage, an analog's change at horizon </w:t>
      </w:r>
      <w:r>
        <w:rPr/>
      </w:r>
      <m:oMath xmlns:m="http://schemas.openxmlformats.org/officeDocument/2006/math">
        <m:r>
          <w:rPr>
            <w:rFonts w:ascii="Cambria Math" w:hAnsi="Cambria Math"/>
          </w:rPr>
          <m:t xml:space="preserve">h</m:t>
        </m:r>
      </m:oMath>
      <w:r>
        <w:rPr>
          <w:rFonts w:cs="Times New Roman" w:ascii="Times New Roman" w:hAnsi="Times New Roman"/>
          <w:sz w:val="20"/>
          <w:szCs w:val="20"/>
        </w:rPr>
        <w:t xml:space="preserve"> may be used only if </w:t>
      </w:r>
      <w:r>
        <w:rPr/>
      </w:r>
      <m:oMath xmlns:m="http://schemas.openxmlformats.org/officeDocument/2006/math">
        <m:sSub>
          <m:e>
            <m:r>
              <w:rPr>
                <w:rFonts w:ascii="Cambria Math" w:hAnsi="Cambria Math"/>
              </w:rPr>
              <m:t xml:space="preserve">m</m:t>
            </m:r>
          </m:e>
          <m:sub>
            <m:r>
              <w:rPr>
                <w:rFonts w:ascii="Cambria Math" w:hAnsi="Cambria Math"/>
              </w:rPr>
              <m:t xml:space="preserve">i</m:t>
            </m:r>
          </m:sub>
        </m:sSub>
        <m:r>
          <w:rPr>
            <w:rFonts w:ascii="Cambria Math" w:hAnsi="Cambria Math"/>
          </w:rPr>
          <m:t xml:space="preserve">+</m:t>
        </m:r>
        <m:r>
          <w:rPr>
            <w:rFonts w:ascii="Cambria Math" w:hAnsi="Cambria Math"/>
          </w:rPr>
          <m:t xml:space="preserve">h</m:t>
        </m:r>
        <m:r>
          <w:rPr>
            <w:rFonts w:ascii="Cambria Math" w:hAnsi="Cambria Math"/>
          </w:rPr>
          <m:t xml:space="preserve">≤</m:t>
        </m:r>
        <m:sSub>
          <m:e>
            <m:r>
              <w:rPr>
                <w:rFonts w:ascii="Cambria Math" w:hAnsi="Cambria Math"/>
              </w:rPr>
              <m:t xml:space="preserve">t</m:t>
            </m:r>
          </m:e>
          <m:sub>
            <m:r>
              <w:rPr>
                <w:rFonts w:ascii="Cambria Math" w:hAnsi="Cambria Math"/>
              </w:rPr>
              <m:t xml:space="preserve">c</m:t>
            </m:r>
          </m:sub>
        </m:sSub>
      </m:oMath>
      <w:r>
        <w:rPr>
          <w:rFonts w:cs="Times New Roman" w:ascii="Times New Roman" w:hAnsi="Times New Roman"/>
          <w:sz w:val="20"/>
          <w:szCs w:val="20"/>
        </w:rPr>
        <w:t xml:space="preserve">, so that the change was observable by the cutoff; this restriction is applied separately for each horizon. Forecasts are then compared with the held-out observations at </w:t>
      </w:r>
      <w:r>
        <w:rPr/>
      </w:r>
      <m:oMath xmlns:m="http://schemas.openxmlformats.org/officeDocument/2006/math">
        <m:sSub>
          <m:e>
            <m:r>
              <w:rPr>
                <w:rFonts w:ascii="Cambria Math" w:hAnsi="Cambria Math"/>
              </w:rPr>
              <m:t xml:space="preserve">t</m:t>
            </m:r>
          </m:e>
          <m:sub>
            <m:r>
              <w:rPr>
                <w:rFonts w:ascii="Cambria Math" w:hAnsi="Cambria Math"/>
              </w:rPr>
              <m:t xml:space="preserve">c</m:t>
            </m:r>
          </m:sub>
        </m:sSub>
        <m:r>
          <w:rPr>
            <w:rFonts w:ascii="Cambria Math" w:hAnsi="Cambria Math"/>
          </w:rPr>
          <m:t xml:space="preserve">+</m:t>
        </m:r>
        <m:r>
          <w:rPr>
            <w:rFonts w:ascii="Cambria Math" w:hAnsi="Cambria Math"/>
          </w:rPr>
          <m:t xml:space="preserve">h</m:t>
        </m:r>
      </m:oMath>
      <w:r>
        <w:rPr>
          <w:rFonts w:cs="Times New Roman" w:ascii="Times New Roman" w:hAnsi="Times New Roman"/>
          <w:sz w:val="20"/>
          <w:szCs w:val="20"/>
        </w:rPr>
        <w:t>.</w:t>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 xml:space="preserve">These constraints define which evaluations the current record allows. The earliest candidate window ends in 2020, so a change at horizon </w:t>
      </w:r>
      <w:r>
        <w:rPr/>
      </w:r>
      <m:oMath xmlns:m="http://schemas.openxmlformats.org/officeDocument/2006/math">
        <m:r>
          <w:rPr>
            <w:rFonts w:ascii="Cambria Math" w:hAnsi="Cambria Math"/>
          </w:rPr>
          <m:t xml:space="preserve">h</m:t>
        </m:r>
      </m:oMath>
      <w:r>
        <w:rPr>
          <w:rFonts w:cs="Times New Roman" w:ascii="Times New Roman" w:hAnsi="Times New Roman"/>
          <w:sz w:val="20"/>
          <w:szCs w:val="20"/>
        </w:rPr>
        <w:t xml:space="preserve"> is available only when </w:t>
      </w:r>
      <w:r>
        <w:rPr/>
      </w:r>
      <m:oMath xmlns:m="http://schemas.openxmlformats.org/officeDocument/2006/math">
        <m:sSub>
          <m:e>
            <m:r>
              <w:rPr>
                <w:rFonts w:ascii="Cambria Math" w:hAnsi="Cambria Math"/>
              </w:rPr>
              <m:t xml:space="preserve">t</m:t>
            </m:r>
          </m:e>
          <m:sub>
            <m:r>
              <w:rPr>
                <w:rFonts w:ascii="Cambria Math" w:hAnsi="Cambria Math"/>
              </w:rPr>
              <m:t xml:space="preserve">c</m:t>
            </m:r>
          </m:sub>
        </m:sSub>
        <m:r>
          <w:rPr>
            <w:rFonts w:ascii="Cambria Math" w:hAnsi="Cambria Math"/>
          </w:rPr>
          <m:t xml:space="preserve">≥</m:t>
        </m:r>
        <m:r>
          <w:rPr>
            <w:rFonts w:ascii="Cambria Math" w:hAnsi="Cambria Math"/>
          </w:rPr>
          <m:t xml:space="preserve">2020</m:t>
        </m:r>
        <m:r>
          <w:rPr>
            <w:rFonts w:ascii="Cambria Math" w:hAnsi="Cambria Math"/>
          </w:rPr>
          <m:t xml:space="preserve">+</m:t>
        </m:r>
        <m:r>
          <w:rPr>
            <w:rFonts w:ascii="Cambria Math" w:hAnsi="Cambria Math"/>
          </w:rPr>
          <m:t xml:space="preserve">h</m:t>
        </m:r>
      </m:oMath>
      <w:r>
        <w:rPr>
          <w:rFonts w:cs="Times New Roman" w:ascii="Times New Roman" w:hAnsi="Times New Roman"/>
          <w:sz w:val="20"/>
          <w:szCs w:val="20"/>
        </w:rPr>
        <w:t xml:space="preserve">, and the held-out observation requires </w:t>
      </w:r>
      <w:r>
        <w:rPr/>
      </w:r>
      <m:oMath xmlns:m="http://schemas.openxmlformats.org/officeDocument/2006/math">
        <m:sSub>
          <m:e>
            <m:r>
              <w:rPr>
                <w:rFonts w:ascii="Cambria Math" w:hAnsi="Cambria Math"/>
              </w:rPr>
              <m:t xml:space="preserve">t</m:t>
            </m:r>
          </m:e>
          <m:sub>
            <m:r>
              <w:rPr>
                <w:rFonts w:ascii="Cambria Math" w:hAnsi="Cambria Math"/>
              </w:rPr>
              <m:t xml:space="preserve">c</m:t>
            </m:r>
          </m:sub>
        </m:sSub>
        <m:r>
          <w:rPr>
            <w:rFonts w:ascii="Cambria Math" w:hAnsi="Cambria Math"/>
          </w:rPr>
          <m:t xml:space="preserve">+</m:t>
        </m:r>
        <m:r>
          <w:rPr>
            <w:rFonts w:ascii="Cambria Math" w:hAnsi="Cambria Math"/>
          </w:rPr>
          <m:t xml:space="preserve">h</m:t>
        </m:r>
        <m:r>
          <w:rPr>
            <w:rFonts w:ascii="Cambria Math" w:hAnsi="Cambria Math"/>
          </w:rPr>
          <m:t xml:space="preserve">≤</m:t>
        </m:r>
        <m:r>
          <w:rPr>
            <w:rFonts w:ascii="Cambria Math" w:hAnsi="Cambria Math"/>
          </w:rPr>
          <m:t xml:space="preserve">2025</m:t>
        </m:r>
      </m:oMath>
      <w:r>
        <w:rPr>
          <w:rFonts w:cs="Times New Roman" w:ascii="Times New Roman" w:hAnsi="Times New Roman"/>
          <w:sz w:val="20"/>
          <w:szCs w:val="20"/>
        </w:rPr>
        <w:t>. With the 2016–2025 record, one-year hindcasts are therefore possible for cutoffs 2021–2024 and two-year hindcasts for 2022–2023, whereas no leakage-free three-year hindcast is possible until the record extends to at least 2026.</w:t>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 xml:space="preserve">For lake </w:t>
      </w:r>
      <w:r>
        <w:rPr/>
      </w:r>
      <m:oMath xmlns:m="http://schemas.openxmlformats.org/officeDocument/2006/math">
        <m:r>
          <w:rPr>
            <w:rFonts w:ascii="Cambria Math" w:hAnsi="Cambria Math"/>
          </w:rPr>
          <m:t xml:space="preserve">i</m:t>
        </m:r>
      </m:oMath>
      <w:r>
        <w:rPr>
          <w:rFonts w:cs="Times New Roman" w:ascii="Times New Roman" w:hAnsi="Times New Roman"/>
          <w:sz w:val="20"/>
          <w:szCs w:val="20"/>
        </w:rPr>
        <w:t xml:space="preserve">, index </w:t>
      </w:r>
      <w:r>
        <w:rPr/>
      </w:r>
      <m:oMath xmlns:m="http://schemas.openxmlformats.org/officeDocument/2006/math">
        <m:r>
          <w:rPr>
            <w:rFonts w:ascii="Cambria Math" w:hAnsi="Cambria Math"/>
          </w:rPr>
          <m:t xml:space="preserve">k</m:t>
        </m:r>
      </m:oMath>
      <w:r>
        <w:rPr>
          <w:rFonts w:cs="Times New Roman" w:ascii="Times New Roman" w:hAnsi="Times New Roman"/>
          <w:sz w:val="20"/>
          <w:szCs w:val="20"/>
        </w:rPr>
        <w:t xml:space="preserve">, cutoff </w:t>
      </w:r>
      <w:r>
        <w:rPr/>
      </w:r>
      <m:oMath xmlns:m="http://schemas.openxmlformats.org/officeDocument/2006/math">
        <m:sSub>
          <m:e>
            <m:r>
              <w:rPr>
                <w:rFonts w:ascii="Cambria Math" w:hAnsi="Cambria Math"/>
              </w:rPr>
              <m:t xml:space="preserve">t</m:t>
            </m:r>
          </m:e>
          <m:sub>
            <m:r>
              <w:rPr>
                <w:rFonts w:ascii="Cambria Math" w:hAnsi="Cambria Math"/>
              </w:rPr>
              <m:t xml:space="preserve">c</m:t>
            </m:r>
          </m:sub>
        </m:sSub>
      </m:oMath>
      <w:r>
        <w:rPr>
          <w:rFonts w:cs="Times New Roman" w:ascii="Times New Roman" w:hAnsi="Times New Roman"/>
          <w:sz w:val="20"/>
          <w:szCs w:val="20"/>
        </w:rPr>
        <w:t xml:space="preserve">, and horizon </w:t>
      </w:r>
      <w:r>
        <w:rPr/>
      </w:r>
      <m:oMath xmlns:m="http://schemas.openxmlformats.org/officeDocument/2006/math">
        <m:r>
          <w:rPr>
            <w:rFonts w:ascii="Cambria Math" w:hAnsi="Cambria Math"/>
          </w:rPr>
          <m:t xml:space="preserve">h</m:t>
        </m:r>
      </m:oMath>
      <w:r>
        <w:rPr>
          <w:rFonts w:cs="Times New Roman" w:ascii="Times New Roman" w:hAnsi="Times New Roman"/>
          <w:sz w:val="20"/>
          <w:szCs w:val="20"/>
        </w:rPr>
        <w:t>, the observed change is</w:t>
      </w:r>
    </w:p>
    <w:p>
      <w:pPr>
        <w:pStyle w:val="Normal"/>
        <w:spacing w:lineRule="auto" w:line="360" w:before="0" w:after="0"/>
        <w:jc w:val="center"/>
        <w:rPr>
          <w:rFonts w:ascii="Times New Roman" w:hAnsi="Times New Roman" w:eastAsia="" w:cs="Times New Roman" w:eastAsiaTheme="minorEastAsia"/>
          <w:sz w:val="20"/>
          <w:szCs w:val="20"/>
        </w:rPr>
      </w:pPr>
      <w:r>
        <w:rPr/>
      </w:r>
      <m:oMathPara xmlns:m="http://schemas.openxmlformats.org/officeDocument/2006/math">
        <m:oMathParaPr>
          <m:jc m:val="center"/>
        </m:oMathParaPr>
        <m:oMath>
          <m:sSub>
            <m:e>
              <m:r>
                <w:rPr>
                  <w:rFonts w:ascii="Cambria Math" w:hAnsi="Cambria Math"/>
                </w:rPr>
                <m:t xml:space="preserve">Δ</m:t>
              </m:r>
            </m:e>
            <m:sub>
              <m:r>
                <w:rPr>
                  <w:rFonts w:ascii="Cambria Math" w:hAnsi="Cambria Math"/>
                </w:rPr>
                <m:t xml:space="preserve">k</m:t>
              </m:r>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h</m:t>
              </m:r>
            </m:sub>
          </m:sSub>
          <m:r>
            <w:rPr>
              <w:rFonts w:ascii="Cambria Math" w:hAnsi="Cambria Math"/>
            </w:rPr>
            <m:t xml:space="preserve">=</m:t>
          </m:r>
          <m:sSub>
            <m:e>
              <m:r>
                <w:rPr>
                  <w:rFonts w:ascii="Cambria Math" w:hAnsi="Cambria Math"/>
                </w:rPr>
                <m:t xml:space="preserve">v</m:t>
              </m:r>
            </m:e>
            <m:sub>
              <m:r>
                <w:rPr>
                  <w:rFonts w:ascii="Cambria Math" w:hAnsi="Cambria Math"/>
                </w:rPr>
                <m:t xml:space="preserve">k</m:t>
              </m:r>
              <m:r>
                <w:rPr>
                  <w:rFonts w:ascii="Cambria Math" w:hAnsi="Cambria Math"/>
                </w:rPr>
                <m:t xml:space="preserve">,</m:t>
              </m:r>
              <m:r>
                <w:rPr>
                  <w:rFonts w:ascii="Cambria Math" w:hAnsi="Cambria Math"/>
                </w:rPr>
                <m:t xml:space="preserve">i</m:t>
              </m:r>
            </m:sub>
          </m:sSub>
          <m:d>
            <m:dPr>
              <m:begChr m:val="("/>
              <m:endChr m:val=")"/>
            </m:dPr>
            <m:e>
              <m:sSub>
                <m:e>
                  <m:r>
                    <w:rPr>
                      <w:rFonts w:ascii="Cambria Math" w:hAnsi="Cambria Math"/>
                    </w:rPr>
                    <m:t xml:space="preserve">t</m:t>
                  </m:r>
                </m:e>
                <m:sub>
                  <m:r>
                    <w:rPr>
                      <w:rFonts w:ascii="Cambria Math" w:hAnsi="Cambria Math"/>
                    </w:rPr>
                    <m:t xml:space="preserve">c</m:t>
                  </m:r>
                </m:sub>
              </m:sSub>
              <m:r>
                <w:rPr>
                  <w:rFonts w:ascii="Cambria Math" w:hAnsi="Cambria Math"/>
                </w:rPr>
                <m:t xml:space="preserve">+</m:t>
              </m:r>
              <m:r>
                <w:rPr>
                  <w:rFonts w:ascii="Cambria Math" w:hAnsi="Cambria Math"/>
                </w:rPr>
                <m:t xml:space="preserve">h</m:t>
              </m:r>
            </m:e>
          </m:d>
          <m:r>
            <w:rPr>
              <w:rFonts w:ascii="Cambria Math" w:hAnsi="Cambria Math"/>
            </w:rPr>
            <m:t xml:space="preserve">−</m:t>
          </m:r>
          <m:sSub>
            <m:e>
              <m:r>
                <w:rPr>
                  <w:rFonts w:ascii="Cambria Math" w:hAnsi="Cambria Math"/>
                </w:rPr>
                <m:t xml:space="preserve">v</m:t>
              </m:r>
            </m:e>
            <m:sub>
              <m:r>
                <w:rPr>
                  <w:rFonts w:ascii="Cambria Math" w:hAnsi="Cambria Math"/>
                </w:rPr>
                <m:t xml:space="preserve">k</m:t>
              </m:r>
              <m:r>
                <w:rPr>
                  <w:rFonts w:ascii="Cambria Math" w:hAnsi="Cambria Math"/>
                </w:rPr>
                <m:t xml:space="preserve">,</m:t>
              </m:r>
              <m:r>
                <w:rPr>
                  <w:rFonts w:ascii="Cambria Math" w:hAnsi="Cambria Math"/>
                </w:rPr>
                <m:t xml:space="preserve">i</m:t>
              </m:r>
            </m:sub>
          </m:sSub>
          <m:d>
            <m:dPr>
              <m:begChr m:val="("/>
              <m:endChr m:val=")"/>
            </m:dPr>
            <m:e>
              <m:sSub>
                <m:e>
                  <m:r>
                    <w:rPr>
                      <w:rFonts w:ascii="Cambria Math" w:hAnsi="Cambria Math"/>
                    </w:rPr>
                    <m:t xml:space="preserve">t</m:t>
                  </m:r>
                </m:e>
                <m:sub>
                  <m:r>
                    <w:rPr>
                      <w:rFonts w:ascii="Cambria Math" w:hAnsi="Cambria Math"/>
                    </w:rPr>
                    <m:t xml:space="preserve">c</m:t>
                  </m:r>
                </m:sub>
              </m:sSub>
            </m:e>
          </m:d>
        </m:oMath>
      </m:oMathPara>
    </w:p>
    <w:p>
      <w:pPr>
        <w:pStyle w:val="Normal"/>
        <w:spacing w:lineRule="auto" w:line="240" w:before="0" w:after="0"/>
        <w:jc w:val="both"/>
        <w:rPr>
          <w:rFonts w:ascii="Times New Roman" w:hAnsi="Times New Roman" w:eastAsia="" w:cs="Times New Roman" w:eastAsiaTheme="minorEastAsia"/>
          <w:sz w:val="20"/>
          <w:szCs w:val="20"/>
        </w:rPr>
      </w:pPr>
      <w:r>
        <w:rPr>
          <w:rFonts w:eastAsia="" w:cs="Times New Roman" w:eastAsiaTheme="minorEastAsia" w:ascii="Times New Roman" w:hAnsi="Times New Roman"/>
          <w:sz w:val="20"/>
          <w:szCs w:val="20"/>
        </w:rPr>
      </w:r>
    </w:p>
    <w:p>
      <w:pPr>
        <w:pStyle w:val="Normal"/>
        <w:spacing w:lineRule="auto" w:line="360" w:before="0" w:after="0"/>
        <w:jc w:val="both"/>
        <w:rPr>
          <w:rFonts w:ascii="Times New Roman" w:hAnsi="Times New Roman" w:eastAsia="" w:cs="Times New Roman" w:eastAsiaTheme="minorEastAsia"/>
          <w:sz w:val="20"/>
          <w:szCs w:val="20"/>
        </w:rPr>
      </w:pPr>
      <w:r>
        <w:rPr>
          <w:rFonts w:eastAsia="" w:cs="Times New Roman" w:ascii="Times New Roman" w:hAnsi="Times New Roman" w:eastAsiaTheme="minorEastAsia"/>
          <w:sz w:val="20"/>
          <w:szCs w:val="20"/>
        </w:rPr>
        <w:t xml:space="preserve">where </w:t>
      </w:r>
      <w:r>
        <w:rPr/>
      </w:r>
      <m:oMath xmlns:m="http://schemas.openxmlformats.org/officeDocument/2006/math">
        <m:sSub>
          <m:e>
            <m:r>
              <w:rPr>
                <w:rFonts w:ascii="Cambria Math" w:hAnsi="Cambria Math"/>
              </w:rPr>
              <m:t xml:space="preserve">v</m:t>
            </m:r>
          </m:e>
          <m:sub>
            <m:r>
              <w:rPr>
                <w:rFonts w:ascii="Cambria Math" w:hAnsi="Cambria Math"/>
              </w:rPr>
              <m:t xml:space="preserve">k</m:t>
            </m:r>
            <m:r>
              <w:rPr>
                <w:rFonts w:ascii="Cambria Math" w:hAnsi="Cambria Math"/>
              </w:rPr>
              <m:t xml:space="preserve">,</m:t>
            </m:r>
            <m:r>
              <w:rPr>
                <w:rFonts w:ascii="Cambria Math" w:hAnsi="Cambria Math"/>
              </w:rPr>
              <m:t xml:space="preserve">i</m:t>
            </m:r>
          </m:sub>
        </m:sSub>
        <m:d>
          <m:dPr>
            <m:begChr m:val="("/>
            <m:endChr m:val=")"/>
          </m:dPr>
          <m:e>
            <m:r>
              <w:rPr>
                <w:rFonts w:ascii="Cambria Math" w:hAnsi="Cambria Math"/>
              </w:rPr>
              <m:t xml:space="preserve">t</m:t>
            </m:r>
          </m:e>
        </m:d>
      </m:oMath>
      <w:r>
        <w:rPr>
          <w:rFonts w:eastAsia="" w:cs="Times New Roman" w:ascii="Times New Roman" w:hAnsi="Times New Roman" w:eastAsiaTheme="minorEastAsia"/>
          <w:sz w:val="20"/>
          <w:szCs w:val="20"/>
        </w:rPr>
        <w:t xml:space="preserve"> is the observed value of index </w:t>
      </w:r>
      <w:r>
        <w:rPr/>
      </w:r>
      <m:oMath xmlns:m="http://schemas.openxmlformats.org/officeDocument/2006/math">
        <m:r>
          <w:rPr>
            <w:rFonts w:ascii="Cambria Math" w:hAnsi="Cambria Math"/>
          </w:rPr>
          <m:t xml:space="preserve">k</m:t>
        </m:r>
      </m:oMath>
      <w:r>
        <w:rPr>
          <w:rFonts w:eastAsia="" w:cs="Times New Roman" w:ascii="Times New Roman" w:hAnsi="Times New Roman" w:eastAsiaTheme="minorEastAsia"/>
          <w:sz w:val="20"/>
          <w:szCs w:val="20"/>
        </w:rPr>
        <w:t xml:space="preserve"> for lake </w:t>
      </w:r>
      <w:r>
        <w:rPr/>
      </w:r>
      <m:oMath xmlns:m="http://schemas.openxmlformats.org/officeDocument/2006/math">
        <m:r>
          <w:rPr>
            <w:rFonts w:ascii="Cambria Math" w:hAnsi="Cambria Math"/>
          </w:rPr>
          <m:t xml:space="preserve">i</m:t>
        </m:r>
      </m:oMath>
      <w:r>
        <w:rPr>
          <w:rFonts w:eastAsia="" w:cs="Times New Roman" w:ascii="Times New Roman" w:hAnsi="Times New Roman" w:eastAsiaTheme="minorEastAsia"/>
          <w:sz w:val="20"/>
          <w:szCs w:val="20"/>
        </w:rPr>
        <w:t xml:space="preserve"> in year </w:t>
      </w:r>
      <w:r>
        <w:rPr/>
      </w:r>
      <m:oMath xmlns:m="http://schemas.openxmlformats.org/officeDocument/2006/math">
        <m:r>
          <w:rPr>
            <w:rFonts w:ascii="Cambria Math" w:hAnsi="Cambria Math"/>
          </w:rPr>
          <m:t xml:space="preserve">t</m:t>
        </m:r>
      </m:oMath>
      <w:r>
        <w:rPr>
          <w:rFonts w:eastAsia="" w:cs="Times New Roman" w:ascii="Times New Roman" w:hAnsi="Times New Roman" w:eastAsiaTheme="minorEastAsia"/>
          <w:sz w:val="20"/>
          <w:szCs w:val="20"/>
        </w:rPr>
        <w:t>.</w:t>
      </w:r>
    </w:p>
    <w:p>
      <w:pPr>
        <w:pStyle w:val="Normal"/>
        <w:spacing w:lineRule="auto" w:line="360" w:before="0" w:after="0"/>
        <w:jc w:val="both"/>
        <w:rPr>
          <w:rFonts w:ascii="Times New Roman" w:hAnsi="Times New Roman" w:eastAsia="" w:cs="Times New Roman" w:eastAsiaTheme="minorEastAsia"/>
          <w:sz w:val="20"/>
          <w:szCs w:val="20"/>
        </w:rPr>
      </w:pPr>
      <w:r>
        <w:rPr>
          <w:rFonts w:eastAsia="" w:cs="Times New Roman" w:ascii="Times New Roman" w:hAnsi="Times New Roman" w:eastAsiaTheme="minorEastAsia"/>
          <w:sz w:val="20"/>
          <w:szCs w:val="20"/>
        </w:rPr>
        <w:t>Forecast accuracy can be evaluated using the mean absolute error (MAE) of the estimated index values</w:t>
      </w:r>
    </w:p>
    <w:p>
      <w:pPr>
        <w:pStyle w:val="Normal"/>
        <w:spacing w:lineRule="auto" w:line="240" w:before="0" w:after="0"/>
        <w:jc w:val="both"/>
        <w:rPr>
          <w:rFonts w:ascii="Times New Roman" w:hAnsi="Times New Roman" w:eastAsia="" w:cs="Times New Roman" w:eastAsiaTheme="minorEastAsia"/>
          <w:sz w:val="20"/>
          <w:szCs w:val="20"/>
        </w:rPr>
      </w:pPr>
      <w:r>
        <w:rPr>
          <w:rFonts w:eastAsia="" w:cs="Times New Roman" w:eastAsiaTheme="minorEastAsia" w:ascii="Times New Roman" w:hAnsi="Times New Roman"/>
          <w:sz w:val="20"/>
          <w:szCs w:val="20"/>
        </w:rPr>
      </w:r>
    </w:p>
    <w:p>
      <w:pPr>
        <w:pStyle w:val="Normal"/>
        <w:spacing w:lineRule="auto" w:line="360" w:before="0" w:after="0"/>
        <w:jc w:val="center"/>
        <w:rPr>
          <w:rFonts w:ascii="Times New Roman" w:hAnsi="Times New Roman" w:eastAsia="" w:cs="Times New Roman" w:eastAsiaTheme="minorEastAsia"/>
          <w:sz w:val="20"/>
          <w:szCs w:val="20"/>
        </w:rPr>
      </w:pPr>
      <w:r>
        <w:rPr/>
      </w:r>
      <m:oMathPara xmlns:m="http://schemas.openxmlformats.org/officeDocument/2006/math">
        <m:oMathParaPr>
          <m:jc m:val="center"/>
        </m:oMathParaPr>
        <m:oMath>
          <m:sSub>
            <m:e>
              <m:r>
                <w:rPr>
                  <w:rFonts w:ascii="Cambria Math" w:hAnsi="Cambria Math"/>
                </w:rPr>
                <m:t xml:space="preserve">MAE</m:t>
              </m:r>
            </m:e>
            <m:sub>
              <m:r>
                <w:rPr>
                  <w:rFonts w:ascii="Cambria Math" w:hAnsi="Cambria Math"/>
                </w:rPr>
                <m:t xml:space="preserve">k</m:t>
              </m:r>
            </m:sub>
          </m:sSub>
          <m:d>
            <m:dPr>
              <m:begChr m:val="("/>
              <m:endChr m:val=")"/>
            </m:dPr>
            <m:e>
              <m:r>
                <w:rPr>
                  <w:rFonts w:ascii="Cambria Math" w:hAnsi="Cambria Math"/>
                </w:rPr>
                <m:t xml:space="preserve">h</m:t>
              </m:r>
            </m:e>
          </m:d>
          <m:r>
            <w:rPr>
              <w:rFonts w:ascii="Cambria Math" w:hAnsi="Cambria Math"/>
            </w:rPr>
            <m:t xml:space="preserve">=</m:t>
          </m:r>
          <m:f>
            <m:num>
              <m:r>
                <w:rPr>
                  <w:rFonts w:ascii="Cambria Math" w:hAnsi="Cambria Math"/>
                </w:rPr>
                <m:t xml:space="preserve">1</m:t>
              </m:r>
            </m:num>
            <m:den>
              <m:sSub>
                <m:e>
                  <m:r>
                    <w:rPr>
                      <w:rFonts w:ascii="Cambria Math" w:hAnsi="Cambria Math"/>
                    </w:rPr>
                    <m:t xml:space="preserve">n</m:t>
                  </m:r>
                </m:e>
                <m:sub>
                  <m:r>
                    <w:rPr>
                      <w:rFonts w:ascii="Cambria Math" w:hAnsi="Cambria Math"/>
                    </w:rPr>
                    <m:t xml:space="preserve">k</m:t>
                  </m:r>
                  <m:r>
                    <w:rPr>
                      <w:rFonts w:ascii="Cambria Math" w:hAnsi="Cambria Math"/>
                    </w:rPr>
                    <m:t xml:space="preserve">,</m:t>
                  </m:r>
                  <m:r>
                    <w:rPr>
                      <w:rFonts w:ascii="Cambria Math" w:hAnsi="Cambria Math"/>
                    </w:rPr>
                    <m:t xml:space="preserve">h</m:t>
                  </m:r>
                </m:sub>
              </m:sSub>
            </m:den>
          </m:f>
          <m:nary>
            <m:naryPr>
              <m:chr m:val="∑"/>
            </m:naryPr>
            <m:sub>
              <m:r>
                <w:rPr>
                  <w:rFonts w:ascii="Cambria Math" w:hAnsi="Cambria Math"/>
                </w:rPr>
                <m:t xml:space="preserve">r</m:t>
              </m:r>
              <m:r>
                <w:rPr>
                  <w:rFonts w:ascii="Cambria Math" w:hAnsi="Cambria Math"/>
                </w:rPr>
                <m:t xml:space="preserve">=</m:t>
              </m:r>
              <m:r>
                <w:rPr>
                  <w:rFonts w:ascii="Cambria Math" w:hAnsi="Cambria Math"/>
                </w:rPr>
                <m:t xml:space="preserve">1</m:t>
              </m:r>
            </m:sub>
            <m:sup>
              <m:sSub>
                <m:e>
                  <m:r>
                    <w:rPr>
                      <w:rFonts w:ascii="Cambria Math" w:hAnsi="Cambria Math"/>
                    </w:rPr>
                    <m:t xml:space="preserve">n</m:t>
                  </m:r>
                </m:e>
                <m:sub>
                  <m:r>
                    <w:rPr>
                      <w:rFonts w:ascii="Cambria Math" w:hAnsi="Cambria Math"/>
                    </w:rPr>
                    <m:t xml:space="preserve">k</m:t>
                  </m:r>
                  <m:r>
                    <w:rPr>
                      <w:rFonts w:ascii="Cambria Math" w:hAnsi="Cambria Math"/>
                    </w:rPr>
                    <m:t xml:space="preserve">,</m:t>
                  </m:r>
                  <m:r>
                    <w:rPr>
                      <w:rFonts w:ascii="Cambria Math" w:hAnsi="Cambria Math"/>
                    </w:rPr>
                    <m:t xml:space="preserve">h</m:t>
                  </m:r>
                </m:sub>
              </m:sSub>
            </m:sup>
            <m:e>
              <m:d>
                <m:dPr>
                  <m:begChr m:val="|"/>
                  <m:endChr m:val="|"/>
                </m:dPr>
                <m:e>
                  <m:sSub>
                    <m:e>
                      <m:acc>
                        <m:accPr>
                          <m:chr m:val="^"/>
                        </m:accPr>
                        <m:e>
                          <m:r>
                            <w:rPr>
                              <w:rFonts w:ascii="Cambria Math" w:hAnsi="Cambria Math"/>
                            </w:rPr>
                            <m:t xml:space="preserve">v</m:t>
                          </m:r>
                        </m:e>
                      </m:acc>
                    </m:e>
                    <m:sub>
                      <m:r>
                        <w:rPr>
                          <w:rFonts w:ascii="Cambria Math" w:hAnsi="Cambria Math"/>
                        </w:rPr>
                        <m:t xml:space="preserve">k</m:t>
                      </m:r>
                      <m:r>
                        <w:rPr>
                          <w:rFonts w:ascii="Cambria Math" w:hAnsi="Cambria Math"/>
                        </w:rPr>
                        <m:t xml:space="preserve">,</m:t>
                      </m:r>
                      <m:r>
                        <w:rPr>
                          <w:rFonts w:ascii="Cambria Math" w:hAnsi="Cambria Math"/>
                        </w:rPr>
                        <m:t xml:space="preserve">r</m:t>
                      </m:r>
                    </m:sub>
                  </m:sSub>
                  <m:d>
                    <m:dPr>
                      <m:begChr m:val="("/>
                      <m:endChr m:val=")"/>
                    </m:dPr>
                    <m:e>
                      <m:sSub>
                        <m:e>
                          <m:r>
                            <w:rPr>
                              <w:rFonts w:ascii="Cambria Math" w:hAnsi="Cambria Math"/>
                            </w:rPr>
                            <m:t xml:space="preserve">t</m:t>
                          </m:r>
                        </m:e>
                        <m:sub>
                          <m:r>
                            <w:rPr>
                              <w:rFonts w:ascii="Cambria Math" w:hAnsi="Cambria Math"/>
                            </w:rPr>
                            <m:t xml:space="preserve">c</m:t>
                          </m:r>
                          <m:r>
                            <w:rPr>
                              <w:rFonts w:ascii="Cambria Math" w:hAnsi="Cambria Math"/>
                            </w:rPr>
                            <m:t xml:space="preserve">,</m:t>
                          </m:r>
                          <m:r>
                            <w:rPr>
                              <w:rFonts w:ascii="Cambria Math" w:hAnsi="Cambria Math"/>
                            </w:rPr>
                            <m:t xml:space="preserve">r</m:t>
                          </m:r>
                        </m:sub>
                      </m:sSub>
                      <m:r>
                        <w:rPr>
                          <w:rFonts w:ascii="Cambria Math" w:hAnsi="Cambria Math"/>
                        </w:rPr>
                        <m:t xml:space="preserve">+</m:t>
                      </m:r>
                      <m:r>
                        <w:rPr>
                          <w:rFonts w:ascii="Cambria Math" w:hAnsi="Cambria Math"/>
                        </w:rPr>
                        <m:t xml:space="preserve">h</m:t>
                      </m:r>
                    </m:e>
                  </m:d>
                  <m:r>
                    <w:rPr>
                      <w:rFonts w:ascii="Cambria Math" w:hAnsi="Cambria Math"/>
                    </w:rPr>
                    <m:t xml:space="preserve">−</m:t>
                  </m:r>
                  <m:sSub>
                    <m:e>
                      <m:r>
                        <w:rPr>
                          <w:rFonts w:ascii="Cambria Math" w:hAnsi="Cambria Math"/>
                        </w:rPr>
                        <m:t xml:space="preserve">v</m:t>
                      </m:r>
                    </m:e>
                    <m:sub>
                      <m:r>
                        <w:rPr>
                          <w:rFonts w:ascii="Cambria Math" w:hAnsi="Cambria Math"/>
                        </w:rPr>
                        <m:t xml:space="preserve">k</m:t>
                      </m:r>
                      <m:r>
                        <w:rPr>
                          <w:rFonts w:ascii="Cambria Math" w:hAnsi="Cambria Math"/>
                        </w:rPr>
                        <m:t xml:space="preserve">,</m:t>
                      </m:r>
                      <m:r>
                        <w:rPr>
                          <w:rFonts w:ascii="Cambria Math" w:hAnsi="Cambria Math"/>
                        </w:rPr>
                        <m:t xml:space="preserve">r</m:t>
                      </m:r>
                    </m:sub>
                  </m:sSub>
                  <m:d>
                    <m:dPr>
                      <m:begChr m:val="("/>
                      <m:endChr m:val=")"/>
                    </m:dPr>
                    <m:e>
                      <m:sSub>
                        <m:e>
                          <m:r>
                            <w:rPr>
                              <w:rFonts w:ascii="Cambria Math" w:hAnsi="Cambria Math"/>
                            </w:rPr>
                            <m:t xml:space="preserve">t</m:t>
                          </m:r>
                        </m:e>
                        <m:sub>
                          <m:r>
                            <w:rPr>
                              <w:rFonts w:ascii="Cambria Math" w:hAnsi="Cambria Math"/>
                            </w:rPr>
                            <m:t xml:space="preserve">c</m:t>
                          </m:r>
                          <m:r>
                            <w:rPr>
                              <w:rFonts w:ascii="Cambria Math" w:hAnsi="Cambria Math"/>
                            </w:rPr>
                            <m:t xml:space="preserve">,</m:t>
                          </m:r>
                          <m:r>
                            <w:rPr>
                              <w:rFonts w:ascii="Cambria Math" w:hAnsi="Cambria Math"/>
                            </w:rPr>
                            <m:t xml:space="preserve">r</m:t>
                          </m:r>
                        </m:sub>
                      </m:sSub>
                      <m:r>
                        <w:rPr>
                          <w:rFonts w:ascii="Cambria Math" w:hAnsi="Cambria Math"/>
                        </w:rPr>
                        <m:t xml:space="preserve">+</m:t>
                      </m:r>
                      <m:r>
                        <w:rPr>
                          <w:rFonts w:ascii="Cambria Math" w:hAnsi="Cambria Math"/>
                        </w:rPr>
                        <m:t xml:space="preserve">h</m:t>
                      </m:r>
                    </m:e>
                  </m:d>
                </m:e>
              </m:d>
            </m:e>
          </m:nary>
        </m:oMath>
      </m:oMathPara>
    </w:p>
    <w:p>
      <w:pPr>
        <w:pStyle w:val="Normal"/>
        <w:spacing w:lineRule="auto" w:line="360" w:before="0" w:after="0"/>
        <w:jc w:val="both"/>
        <w:rPr>
          <w:rFonts w:ascii="Times New Roman" w:hAnsi="Times New Roman" w:eastAsia="" w:cs="Times New Roman" w:eastAsiaTheme="minorEastAsia"/>
          <w:sz w:val="20"/>
          <w:szCs w:val="20"/>
        </w:rPr>
      </w:pPr>
      <w:r>
        <w:rPr>
          <w:rFonts w:eastAsia="" w:cs="Times New Roman" w:ascii="Times New Roman" w:hAnsi="Times New Roman" w:eastAsiaTheme="minorEastAsia"/>
          <w:sz w:val="20"/>
          <w:szCs w:val="20"/>
        </w:rPr>
        <w:t xml:space="preserve">where </w:t>
      </w:r>
      <w:r>
        <w:rPr/>
      </w:r>
      <m:oMath xmlns:m="http://schemas.openxmlformats.org/officeDocument/2006/math">
        <m:sSub>
          <m:e>
            <m:r>
              <w:rPr>
                <w:rFonts w:ascii="Cambria Math" w:hAnsi="Cambria Math"/>
              </w:rPr>
              <m:t xml:space="preserve">n</m:t>
            </m:r>
          </m:e>
          <m:sub>
            <m:r>
              <w:rPr>
                <w:rFonts w:ascii="Cambria Math" w:hAnsi="Cambria Math"/>
              </w:rPr>
              <m:t xml:space="preserve">k</m:t>
            </m:r>
            <m:r>
              <w:rPr>
                <w:rFonts w:ascii="Cambria Math" w:hAnsi="Cambria Math"/>
              </w:rPr>
              <m:t xml:space="preserve">,</m:t>
            </m:r>
            <m:r>
              <w:rPr>
                <w:rFonts w:ascii="Cambria Math" w:hAnsi="Cambria Math"/>
              </w:rPr>
              <m:t xml:space="preserve">h</m:t>
            </m:r>
          </m:sub>
        </m:sSub>
      </m:oMath>
      <w:r>
        <w:rPr>
          <w:rFonts w:eastAsia="" w:cs="Times New Roman" w:ascii="Times New Roman" w:hAnsi="Times New Roman" w:eastAsiaTheme="minorEastAsia"/>
          <w:sz w:val="20"/>
          <w:szCs w:val="20"/>
        </w:rPr>
        <w:t xml:space="preserve"> is the number of valid lake-cutoff cases for index </w:t>
      </w:r>
      <w:r>
        <w:rPr/>
      </w:r>
      <m:oMath xmlns:m="http://schemas.openxmlformats.org/officeDocument/2006/math">
        <m:r>
          <w:rPr>
            <w:rFonts w:ascii="Cambria Math" w:hAnsi="Cambria Math"/>
          </w:rPr>
          <m:t xml:space="preserve">k</m:t>
        </m:r>
      </m:oMath>
      <w:r>
        <w:rPr>
          <w:rFonts w:eastAsia="" w:cs="Times New Roman" w:ascii="Times New Roman" w:hAnsi="Times New Roman" w:eastAsiaTheme="minorEastAsia"/>
          <w:sz w:val="20"/>
          <w:szCs w:val="20"/>
        </w:rPr>
        <w:t xml:space="preserve"> and horizon </w:t>
      </w:r>
      <w:r>
        <w:rPr/>
      </w:r>
      <m:oMath xmlns:m="http://schemas.openxmlformats.org/officeDocument/2006/math">
        <m:r>
          <w:rPr>
            <w:rFonts w:ascii="Cambria Math" w:hAnsi="Cambria Math"/>
          </w:rPr>
          <m:t xml:space="preserve">h</m:t>
        </m:r>
      </m:oMath>
      <w:r>
        <w:rPr>
          <w:rFonts w:eastAsia="" w:cs="Times New Roman" w:ascii="Times New Roman" w:hAnsi="Times New Roman" w:eastAsiaTheme="minorEastAsia"/>
          <w:sz w:val="20"/>
          <w:szCs w:val="20"/>
        </w:rPr>
        <w:t xml:space="preserve">, and </w:t>
      </w:r>
      <w:r>
        <w:rPr/>
      </w:r>
      <m:oMath xmlns:m="http://schemas.openxmlformats.org/officeDocument/2006/math">
        <m:r>
          <w:rPr>
            <w:rFonts w:ascii="Cambria Math" w:hAnsi="Cambria Math"/>
          </w:rPr>
          <m:t xml:space="preserve">r</m:t>
        </m:r>
      </m:oMath>
      <w:r>
        <w:rPr>
          <w:rFonts w:eastAsia="" w:cs="Times New Roman" w:ascii="Times New Roman" w:hAnsi="Times New Roman" w:eastAsiaTheme="minorEastAsia"/>
          <w:sz w:val="20"/>
          <w:szCs w:val="20"/>
        </w:rPr>
        <w:t xml:space="preserve"> indexes those cases. Because each estimate equals the anchor value plus the weighted change, this error is identical to the absolute difference between the estimated change </w:t>
      </w:r>
      <w:r>
        <w:rPr/>
      </w:r>
      <m:oMath xmlns:m="http://schemas.openxmlformats.org/officeDocument/2006/math">
        <m:sSub>
          <m:e>
            <m:r>
              <w:rPr>
                <w:rFonts w:ascii="Cambria Math" w:hAnsi="Cambria Math"/>
              </w:rPr>
              <m:t xml:space="preserve">Σ</m:t>
            </m:r>
          </m:e>
          <m:sub>
            <m:r>
              <w:rPr>
                <w:rFonts w:ascii="Cambria Math" w:hAnsi="Cambria Math"/>
              </w:rPr>
              <m:t xml:space="preserve">k</m:t>
            </m:r>
            <m:r>
              <w:rPr>
                <w:rFonts w:ascii="Cambria Math" w:hAnsi="Cambria Math"/>
              </w:rPr>
              <m:t xml:space="preserve">,</m:t>
            </m:r>
            <m:r>
              <w:rPr>
                <w:rFonts w:ascii="Cambria Math" w:hAnsi="Cambria Math"/>
              </w:rPr>
              <m:t xml:space="preserve">h</m:t>
            </m:r>
          </m:sub>
        </m:sSub>
      </m:oMath>
      <w:r>
        <w:rPr>
          <w:rFonts w:eastAsia="" w:cs="Times New Roman" w:ascii="Times New Roman" w:hAnsi="Times New Roman" w:eastAsiaTheme="minorEastAsia"/>
          <w:sz w:val="20"/>
          <w:szCs w:val="20"/>
        </w:rPr>
        <w:t xml:space="preserve"> and the observed change </w:t>
      </w:r>
      <w:r>
        <w:rPr/>
      </w:r>
      <m:oMath xmlns:m="http://schemas.openxmlformats.org/officeDocument/2006/math">
        <m:sSub>
          <m:e>
            <m:r>
              <w:rPr>
                <w:rFonts w:ascii="Cambria Math" w:hAnsi="Cambria Math"/>
              </w:rPr>
              <m:t xml:space="preserve">Δ</m:t>
            </m:r>
          </m:e>
          <m:sub>
            <m:r>
              <w:rPr>
                <w:rFonts w:ascii="Cambria Math" w:hAnsi="Cambria Math"/>
              </w:rPr>
              <m:t xml:space="preserve">k</m:t>
            </m:r>
            <m:r>
              <w:rPr>
                <w:rFonts w:ascii="Cambria Math" w:hAnsi="Cambria Math"/>
              </w:rPr>
              <m:t xml:space="preserve">,</m:t>
            </m:r>
            <m:r>
              <w:rPr>
                <w:rFonts w:ascii="Cambria Math" w:hAnsi="Cambria Math"/>
              </w:rPr>
              <m:t xml:space="preserve">r</m:t>
            </m:r>
            <m:r>
              <w:rPr>
                <w:rFonts w:ascii="Cambria Math" w:hAnsi="Cambria Math"/>
              </w:rPr>
              <m:t xml:space="preserve">,</m:t>
            </m:r>
            <m:r>
              <w:rPr>
                <w:rFonts w:ascii="Cambria Math" w:hAnsi="Cambria Math"/>
              </w:rPr>
              <m:t xml:space="preserve">h</m:t>
            </m:r>
          </m:sub>
        </m:sSub>
      </m:oMath>
      <w:r>
        <w:rPr>
          <w:rFonts w:eastAsia="" w:cs="Times New Roman" w:ascii="Times New Roman" w:hAnsi="Times New Roman" w:eastAsiaTheme="minorEastAsia"/>
          <w:sz w:val="20"/>
          <w:szCs w:val="20"/>
        </w:rPr>
        <w:t>; the evaluation therefore compares predicted and observed changes.</w:t>
      </w:r>
    </w:p>
    <w:p>
      <w:pPr>
        <w:pStyle w:val="Normal"/>
        <w:spacing w:lineRule="auto" w:line="360" w:before="0" w:after="0"/>
        <w:jc w:val="both"/>
        <w:rPr>
          <w:rFonts w:ascii="Times New Roman" w:hAnsi="Times New Roman" w:eastAsia="" w:cs="Times New Roman" w:eastAsiaTheme="minorEastAsia"/>
          <w:sz w:val="20"/>
          <w:szCs w:val="20"/>
        </w:rPr>
      </w:pPr>
      <w:r>
        <w:rPr>
          <w:rFonts w:eastAsia="" w:cs="Times New Roman" w:ascii="Times New Roman" w:hAnsi="Times New Roman" w:eastAsiaTheme="minorEastAsia"/>
          <w:sz w:val="20"/>
          <w:szCs w:val="20"/>
        </w:rPr>
        <w:t>Directional performance can be assessed using the directional hit rate:</w:t>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center"/>
        <w:rPr>
          <w:rFonts w:ascii="Times New Roman" w:hAnsi="Times New Roman" w:eastAsia="" w:cs="Times New Roman" w:eastAsiaTheme="minorEastAsia"/>
          <w:sz w:val="20"/>
          <w:szCs w:val="20"/>
        </w:rPr>
      </w:pPr>
      <w:r>
        <w:rPr/>
      </w:r>
      <m:oMathPara xmlns:m="http://schemas.openxmlformats.org/officeDocument/2006/math">
        <m:oMathParaPr>
          <m:jc m:val="center"/>
        </m:oMathParaPr>
        <m:oMath>
          <m:sSub>
            <m:e>
              <m:r>
                <w:rPr>
                  <w:rFonts w:ascii="Cambria Math" w:hAnsi="Cambria Math"/>
                </w:rPr>
                <m:t xml:space="preserve">HitRate</m:t>
              </m:r>
            </m:e>
            <m:sub>
              <m:r>
                <w:rPr>
                  <w:rFonts w:ascii="Cambria Math" w:hAnsi="Cambria Math"/>
                </w:rPr>
                <m:t xml:space="preserve">k</m:t>
              </m:r>
            </m:sub>
          </m:sSub>
          <m:d>
            <m:dPr>
              <m:begChr m:val="("/>
              <m:endChr m:val=")"/>
            </m:dPr>
            <m:e>
              <m:r>
                <w:rPr>
                  <w:rFonts w:ascii="Cambria Math" w:hAnsi="Cambria Math"/>
                </w:rPr>
                <m:t xml:space="preserve">h</m:t>
              </m:r>
            </m:e>
          </m:d>
          <m:r>
            <w:rPr>
              <w:rFonts w:ascii="Cambria Math" w:hAnsi="Cambria Math"/>
            </w:rPr>
            <m:t xml:space="preserve">=</m:t>
          </m:r>
          <m:f>
            <m:num>
              <m:r>
                <w:rPr>
                  <w:rFonts w:ascii="Cambria Math" w:hAnsi="Cambria Math"/>
                </w:rPr>
                <m:t xml:space="preserve">1</m:t>
              </m:r>
            </m:num>
            <m:den>
              <m:sSub>
                <m:e>
                  <m:r>
                    <w:rPr>
                      <w:rFonts w:ascii="Cambria Math" w:hAnsi="Cambria Math"/>
                    </w:rPr>
                    <m:t xml:space="preserve">n</m:t>
                  </m:r>
                </m:e>
                <m:sub>
                  <m:r>
                    <w:rPr>
                      <w:rFonts w:ascii="Cambria Math" w:hAnsi="Cambria Math"/>
                    </w:rPr>
                    <m:t xml:space="preserve">k</m:t>
                  </m:r>
                  <m:r>
                    <w:rPr>
                      <w:rFonts w:ascii="Cambria Math" w:hAnsi="Cambria Math"/>
                    </w:rPr>
                    <m:t xml:space="preserve">,</m:t>
                  </m:r>
                  <m:r>
                    <w:rPr>
                      <w:rFonts w:ascii="Cambria Math" w:hAnsi="Cambria Math"/>
                    </w:rPr>
                    <m:t xml:space="preserve">h</m:t>
                  </m:r>
                </m:sub>
              </m:sSub>
            </m:den>
          </m:f>
          <m:nary>
            <m:naryPr>
              <m:chr m:val="∑"/>
            </m:naryPr>
            <m:sub>
              <m:r>
                <w:rPr>
                  <w:rFonts w:ascii="Cambria Math" w:hAnsi="Cambria Math"/>
                </w:rPr>
                <m:t xml:space="preserve">r</m:t>
              </m:r>
              <m:r>
                <w:rPr>
                  <w:rFonts w:ascii="Cambria Math" w:hAnsi="Cambria Math"/>
                </w:rPr>
                <m:t xml:space="preserve">=</m:t>
              </m:r>
              <m:r>
                <w:rPr>
                  <w:rFonts w:ascii="Cambria Math" w:hAnsi="Cambria Math"/>
                </w:rPr>
                <m:t xml:space="preserve">1</m:t>
              </m:r>
            </m:sub>
            <m:sup>
              <m:sSub>
                <m:e>
                  <m:r>
                    <w:rPr>
                      <w:rFonts w:ascii="Cambria Math" w:hAnsi="Cambria Math"/>
                    </w:rPr>
                    <m:t xml:space="preserve">n</m:t>
                  </m:r>
                </m:e>
                <m:sub>
                  <m:r>
                    <w:rPr>
                      <w:rFonts w:ascii="Cambria Math" w:hAnsi="Cambria Math"/>
                    </w:rPr>
                    <m:t xml:space="preserve">k</m:t>
                  </m:r>
                  <m:r>
                    <w:rPr>
                      <w:rFonts w:ascii="Cambria Math" w:hAnsi="Cambria Math"/>
                    </w:rPr>
                    <m:t xml:space="preserve">,</m:t>
                  </m:r>
                  <m:r>
                    <w:rPr>
                      <w:rFonts w:ascii="Cambria Math" w:hAnsi="Cambria Math"/>
                    </w:rPr>
                    <m:t xml:space="preserve">h</m:t>
                  </m:r>
                </m:sub>
              </m:sSub>
            </m:sup>
            <m:e>
              <m:r>
                <w:rPr>
                  <w:rFonts w:ascii="Cambria Math" w:hAnsi="Cambria Math"/>
                </w:rPr>
                <m:t xml:space="preserve">1</m:t>
              </m:r>
            </m:e>
          </m:nary>
          <m:d>
            <m:dPr>
              <m:begChr m:val="["/>
              <m:endChr m:val="]"/>
            </m:dPr>
            <m:e>
              <m:r>
                <w:rPr>
                  <w:rFonts w:ascii="Cambria Math" w:hAnsi="Cambria Math"/>
                </w:rPr>
                <m:t xml:space="preserve">sign</m:t>
              </m:r>
              <m:d>
                <m:dPr>
                  <m:begChr m:val="("/>
                  <m:endChr m:val=")"/>
                </m:dPr>
                <m:e>
                  <m:sSub>
                    <m:e>
                      <m:acc>
                        <m:accPr>
                          <m:chr m:val="^"/>
                        </m:accPr>
                        <m:e>
                          <m:r>
                            <w:rPr>
                              <w:rFonts w:ascii="Cambria Math" w:hAnsi="Cambria Math"/>
                            </w:rPr>
                            <m:t xml:space="preserve">Δ</m:t>
                          </m:r>
                        </m:e>
                      </m:acc>
                    </m:e>
                    <m:sub>
                      <m:r>
                        <w:rPr>
                          <w:rFonts w:ascii="Cambria Math" w:hAnsi="Cambria Math"/>
                        </w:rPr>
                        <m:t xml:space="preserve">k</m:t>
                      </m:r>
                      <m:r>
                        <w:rPr>
                          <w:rFonts w:ascii="Cambria Math" w:hAnsi="Cambria Math"/>
                        </w:rPr>
                        <m:t xml:space="preserve">,</m:t>
                      </m:r>
                      <m:r>
                        <w:rPr>
                          <w:rFonts w:ascii="Cambria Math" w:hAnsi="Cambria Math"/>
                        </w:rPr>
                        <m:t xml:space="preserve">r</m:t>
                      </m:r>
                      <m:r>
                        <w:rPr>
                          <w:rFonts w:ascii="Cambria Math" w:hAnsi="Cambria Math"/>
                        </w:rPr>
                        <m:t xml:space="preserve">,</m:t>
                      </m:r>
                      <m:r>
                        <w:rPr>
                          <w:rFonts w:ascii="Cambria Math" w:hAnsi="Cambria Math"/>
                        </w:rPr>
                        <m:t xml:space="preserve">h</m:t>
                      </m:r>
                    </m:sub>
                  </m:sSub>
                </m:e>
              </m:d>
              <m:r>
                <w:rPr>
                  <w:rFonts w:ascii="Cambria Math" w:hAnsi="Cambria Math"/>
                </w:rPr>
                <m:t xml:space="preserve">=</m:t>
              </m:r>
              <m:r>
                <w:rPr>
                  <w:rFonts w:ascii="Cambria Math" w:hAnsi="Cambria Math"/>
                </w:rPr>
                <m:t xml:space="preserve">sign</m:t>
              </m:r>
              <m:d>
                <m:dPr>
                  <m:begChr m:val="("/>
                  <m:endChr m:val=")"/>
                </m:dPr>
                <m:e>
                  <m:sSub>
                    <m:e>
                      <m:r>
                        <w:rPr>
                          <w:rFonts w:ascii="Cambria Math" w:hAnsi="Cambria Math"/>
                        </w:rPr>
                        <m:t xml:space="preserve">Δ</m:t>
                      </m:r>
                    </m:e>
                    <m:sub>
                      <m:r>
                        <w:rPr>
                          <w:rFonts w:ascii="Cambria Math" w:hAnsi="Cambria Math"/>
                        </w:rPr>
                        <m:t xml:space="preserve">k</m:t>
                      </m:r>
                      <m:r>
                        <w:rPr>
                          <w:rFonts w:ascii="Cambria Math" w:hAnsi="Cambria Math"/>
                        </w:rPr>
                        <m:t xml:space="preserve">,</m:t>
                      </m:r>
                      <m:r>
                        <w:rPr>
                          <w:rFonts w:ascii="Cambria Math" w:hAnsi="Cambria Math"/>
                        </w:rPr>
                        <m:t xml:space="preserve">r</m:t>
                      </m:r>
                      <m:r>
                        <w:rPr>
                          <w:rFonts w:ascii="Cambria Math" w:hAnsi="Cambria Math"/>
                        </w:rPr>
                        <m:t xml:space="preserve">,</m:t>
                      </m:r>
                      <m:r>
                        <w:rPr>
                          <w:rFonts w:ascii="Cambria Math" w:hAnsi="Cambria Math"/>
                        </w:rPr>
                        <m:t xml:space="preserve">h</m:t>
                      </m:r>
                    </m:sub>
                  </m:sSub>
                </m:e>
              </m:d>
            </m:e>
          </m:d>
        </m:oMath>
      </m:oMathPara>
    </w:p>
    <w:p>
      <w:pPr>
        <w:pStyle w:val="Normal"/>
        <w:spacing w:lineRule="auto" w:line="240" w:before="0" w:after="0"/>
        <w:jc w:val="both"/>
        <w:rPr>
          <w:rFonts w:ascii="Times New Roman" w:hAnsi="Times New Roman" w:eastAsia="" w:cs="Times New Roman" w:eastAsiaTheme="minorEastAsia"/>
          <w:sz w:val="20"/>
          <w:szCs w:val="20"/>
        </w:rPr>
      </w:pPr>
      <w:r>
        <w:rPr>
          <w:rFonts w:eastAsia="" w:cs="Times New Roman" w:eastAsiaTheme="minorEastAsia" w:ascii="Times New Roman" w:hAnsi="Times New Roman"/>
          <w:sz w:val="20"/>
          <w:szCs w:val="20"/>
        </w:rPr>
      </w:r>
    </w:p>
    <w:p>
      <w:pPr>
        <w:pStyle w:val="Normal"/>
        <w:spacing w:lineRule="auto" w:line="360" w:before="0" w:after="0"/>
        <w:jc w:val="both"/>
        <w:rPr>
          <w:rFonts w:ascii="Times New Roman" w:hAnsi="Times New Roman" w:eastAsia="" w:cs="Times New Roman" w:eastAsiaTheme="minorEastAsia"/>
          <w:sz w:val="20"/>
          <w:szCs w:val="20"/>
        </w:rPr>
      </w:pPr>
      <w:r>
        <w:rPr>
          <w:rFonts w:eastAsia="" w:cs="Times New Roman" w:ascii="Times New Roman" w:hAnsi="Times New Roman" w:eastAsiaTheme="minorEastAsia"/>
          <w:sz w:val="20"/>
          <w:szCs w:val="20"/>
        </w:rPr>
        <w:t xml:space="preserve">where </w:t>
      </w:r>
      <w:r>
        <w:rPr/>
      </w:r>
      <m:oMath xmlns:m="http://schemas.openxmlformats.org/officeDocument/2006/math">
        <m:sSub>
          <m:e>
            <m:acc>
              <m:accPr>
                <m:chr m:val="^"/>
              </m:accPr>
              <m:e>
                <m:r>
                  <w:rPr>
                    <w:rFonts w:ascii="Cambria Math" w:hAnsi="Cambria Math"/>
                  </w:rPr>
                  <m:t xml:space="preserve">Δ</m:t>
                </m:r>
              </m:e>
            </m:acc>
          </m:e>
          <m:sub>
            <m:r>
              <w:rPr>
                <w:rFonts w:ascii="Cambria Math" w:hAnsi="Cambria Math"/>
              </w:rPr>
              <m:t xml:space="preserve">k</m:t>
            </m:r>
            <m:r>
              <w:rPr>
                <w:rFonts w:ascii="Cambria Math" w:hAnsi="Cambria Math"/>
              </w:rPr>
              <m:t xml:space="preserve">,</m:t>
            </m:r>
            <m:r>
              <w:rPr>
                <w:rFonts w:ascii="Cambria Math" w:hAnsi="Cambria Math"/>
              </w:rPr>
              <m:t xml:space="preserve">r</m:t>
            </m:r>
            <m:r>
              <w:rPr>
                <w:rFonts w:ascii="Cambria Math" w:hAnsi="Cambria Math"/>
              </w:rPr>
              <m:t xml:space="preserve">,</m:t>
            </m:r>
            <m:r>
              <w:rPr>
                <w:rFonts w:ascii="Cambria Math" w:hAnsi="Cambria Math"/>
              </w:rPr>
              <m:t xml:space="preserve">h</m:t>
            </m:r>
          </m:sub>
        </m:sSub>
      </m:oMath>
      <w:r>
        <w:rPr>
          <w:rFonts w:eastAsia="" w:cs="Times New Roman" w:ascii="Times New Roman" w:hAnsi="Times New Roman" w:eastAsiaTheme="minorEastAsia"/>
          <w:sz w:val="20"/>
          <w:szCs w:val="20"/>
        </w:rPr>
        <w:t xml:space="preserve"> is the estimated change, </w:t>
      </w:r>
      <w:r>
        <w:rPr/>
      </w:r>
      <m:oMath xmlns:m="http://schemas.openxmlformats.org/officeDocument/2006/math">
        <m:sSub>
          <m:e>
            <m:r>
              <w:rPr>
                <w:rFonts w:ascii="Cambria Math" w:hAnsi="Cambria Math"/>
              </w:rPr>
              <m:t xml:space="preserve">Δ</m:t>
            </m:r>
          </m:e>
          <m:sub>
            <m:r>
              <w:rPr>
                <w:rFonts w:ascii="Cambria Math" w:hAnsi="Cambria Math"/>
              </w:rPr>
              <m:t xml:space="preserve">k</m:t>
            </m:r>
            <m:r>
              <w:rPr>
                <w:rFonts w:ascii="Cambria Math" w:hAnsi="Cambria Math"/>
              </w:rPr>
              <m:t xml:space="preserve">,</m:t>
            </m:r>
            <m:r>
              <w:rPr>
                <w:rFonts w:ascii="Cambria Math" w:hAnsi="Cambria Math"/>
              </w:rPr>
              <m:t xml:space="preserve">r</m:t>
            </m:r>
            <m:r>
              <w:rPr>
                <w:rFonts w:ascii="Cambria Math" w:hAnsi="Cambria Math"/>
              </w:rPr>
              <m:t xml:space="preserve">,</m:t>
            </m:r>
            <m:r>
              <w:rPr>
                <w:rFonts w:ascii="Cambria Math" w:hAnsi="Cambria Math"/>
              </w:rPr>
              <m:t xml:space="preserve">h</m:t>
            </m:r>
          </m:sub>
        </m:sSub>
      </m:oMath>
      <w:r>
        <w:rPr>
          <w:rFonts w:eastAsia="" w:cs="Times New Roman" w:ascii="Times New Roman" w:hAnsi="Times New Roman" w:eastAsiaTheme="minorEastAsia"/>
          <w:sz w:val="20"/>
          <w:szCs w:val="20"/>
        </w:rPr>
        <w:t xml:space="preserve"> is the observed change defined above, and </w:t>
      </w:r>
      <w:r>
        <w:rPr/>
      </w:r>
      <m:oMath xmlns:m="http://schemas.openxmlformats.org/officeDocument/2006/math">
        <m:r>
          <w:rPr>
            <w:rFonts w:ascii="Cambria Math" w:hAnsi="Cambria Math"/>
          </w:rPr>
          <m:t xml:space="preserve">1</m:t>
        </m:r>
        <m:d>
          <m:dPr>
            <m:begChr m:val="["/>
            <m:endChr m:val="]"/>
          </m:dPr>
          <m:e>
            <m:r>
              <w:rPr>
                <w:rFonts w:ascii="Cambria Math" w:hAnsi="Cambria Math"/>
              </w:rPr>
              <m:t xml:space="preserve">⋅</m:t>
            </m:r>
          </m:e>
        </m:d>
      </m:oMath>
      <w:r>
        <w:rPr>
          <w:rFonts w:eastAsia="" w:cs="Times New Roman" w:ascii="Times New Roman" w:hAnsi="Times New Roman" w:eastAsiaTheme="minorEastAsia"/>
          <w:sz w:val="20"/>
          <w:szCs w:val="20"/>
        </w:rPr>
        <w:t xml:space="preserve"> equals one when the condition is satisfied and zero otherwise. The directional hit rate measures the proportion of cases in which the forecast and observed changes have the same sign. Cases with an observed change of exactly zero and cases classified as uncertain are excluded from the hit rate, and stable classifications are evaluated separately by checking whether </w:t>
      </w:r>
      <w:r>
        <w:rPr/>
      </w:r>
      <m:oMath xmlns:m="http://schemas.openxmlformats.org/officeDocument/2006/math">
        <m:d>
          <m:dPr>
            <m:begChr m:val="|"/>
            <m:endChr m:val="|"/>
          </m:dPr>
          <m:e>
            <m:sSub>
              <m:e>
                <m:r>
                  <w:rPr>
                    <w:rFonts w:ascii="Cambria Math" w:hAnsi="Cambria Math"/>
                  </w:rPr>
                  <m:t xml:space="preserve">Δ</m:t>
                </m:r>
              </m:e>
              <m:sub>
                <m:r>
                  <w:rPr>
                    <w:rFonts w:ascii="Cambria Math" w:hAnsi="Cambria Math"/>
                  </w:rPr>
                  <m:t xml:space="preserve">k</m:t>
                </m:r>
                <m:r>
                  <w:rPr>
                    <w:rFonts w:ascii="Cambria Math" w:hAnsi="Cambria Math"/>
                  </w:rPr>
                  <m:t xml:space="preserve">,</m:t>
                </m:r>
                <m:r>
                  <w:rPr>
                    <w:rFonts w:ascii="Cambria Math" w:hAnsi="Cambria Math"/>
                  </w:rPr>
                  <m:t xml:space="preserve">r</m:t>
                </m:r>
                <m:r>
                  <w:rPr>
                    <w:rFonts w:ascii="Cambria Math" w:hAnsi="Cambria Math"/>
                  </w:rPr>
                  <m:t xml:space="preserve">,</m:t>
                </m:r>
                <m:r>
                  <w:rPr>
                    <w:rFonts w:ascii="Cambria Math" w:hAnsi="Cambria Math"/>
                  </w:rPr>
                  <m:t xml:space="preserve">h</m:t>
                </m:r>
              </m:sub>
            </m:sSub>
          </m:e>
        </m:d>
        <m:r>
          <w:rPr>
            <w:rFonts w:ascii="Cambria Math" w:hAnsi="Cambria Math"/>
          </w:rPr>
          <m:t xml:space="preserve">≤</m:t>
        </m:r>
        <m:sSub>
          <m:e>
            <m:r>
              <w:rPr>
                <w:rFonts w:ascii="Cambria Math" w:hAnsi="Cambria Math"/>
              </w:rPr>
              <m:t xml:space="preserve">τ</m:t>
            </m:r>
          </m:e>
          <m:sub>
            <m:r>
              <w:rPr>
                <w:rFonts w:ascii="Cambria Math" w:hAnsi="Cambria Math"/>
              </w:rPr>
              <m:t xml:space="preserve">k</m:t>
            </m:r>
            <m:r>
              <w:rPr>
                <w:rFonts w:ascii="Cambria Math" w:hAnsi="Cambria Math"/>
              </w:rPr>
              <m:t xml:space="preserve">,</m:t>
            </m:r>
            <m:r>
              <w:rPr>
                <w:rFonts w:ascii="Cambria Math" w:hAnsi="Cambria Math"/>
              </w:rPr>
              <m:t xml:space="preserve">h</m:t>
            </m:r>
          </m:sub>
        </m:sSub>
      </m:oMath>
      <w:r>
        <w:rPr>
          <w:rFonts w:eastAsia="" w:cs="Times New Roman" w:ascii="Times New Roman" w:hAnsi="Times New Roman" w:eastAsiaTheme="minorEastAsia"/>
          <w:sz w:val="20"/>
          <w:szCs w:val="20"/>
        </w:rPr>
        <w:t>. The number of evaluable cases should be reported for each index and horizon. The ten-year observation period limits the scope of independent evaluation, and performance estimates may be sensitive to the cutoff year and the lakes included in each evaluation. The hindcasting procedure is specified as a validation protocol rather than a completed evaluation. Forecast accuracy should not be claimed until the hindcasts have been run and the results assessed.</w:t>
      </w:r>
    </w:p>
    <w:p>
      <w:pPr>
        <w:pStyle w:val="Normal"/>
        <w:spacing w:lineRule="auto" w:line="240" w:before="0" w:after="0"/>
        <w:jc w:val="both"/>
        <w:rPr>
          <w:rFonts w:ascii="Times New Roman" w:hAnsi="Times New Roman" w:eastAsia="" w:cs="Times New Roman" w:eastAsiaTheme="minorEastAsia"/>
          <w:sz w:val="20"/>
          <w:szCs w:val="20"/>
        </w:rPr>
      </w:pPr>
      <w:r>
        <w:rPr>
          <w:rFonts w:eastAsia="" w:cs="Times New Roman" w:eastAsiaTheme="minorEastAsia" w:ascii="Times New Roman" w:hAnsi="Times New Roman"/>
          <w:sz w:val="20"/>
          <w:szCs w:val="20"/>
        </w:rPr>
      </w:r>
    </w:p>
    <w:p>
      <w:pPr>
        <w:pStyle w:val="Normal"/>
        <w:spacing w:lineRule="auto" w:line="360" w:before="0" w:after="0"/>
        <w:jc w:val="both"/>
        <w:rPr>
          <w:rFonts w:ascii="Times New Roman" w:hAnsi="Times New Roman" w:eastAsia="" w:cs="Times New Roman" w:eastAsiaTheme="minorEastAsia"/>
          <w:b/>
          <w:b/>
          <w:bCs/>
          <w:sz w:val="20"/>
          <w:szCs w:val="20"/>
        </w:rPr>
      </w:pPr>
      <w:r>
        <w:rPr>
          <w:rFonts w:eastAsia="" w:cs="Times New Roman" w:ascii="Times New Roman" w:hAnsi="Times New Roman" w:eastAsiaTheme="minorEastAsia"/>
          <w:b/>
          <w:bCs/>
          <w:sz w:val="20"/>
          <w:szCs w:val="20"/>
        </w:rPr>
        <w:t>4. System Architecture and Implementation</w:t>
      </w:r>
    </w:p>
    <w:p>
      <w:pPr>
        <w:pStyle w:val="Normal"/>
        <w:spacing w:lineRule="auto" w:line="360" w:before="0" w:after="0"/>
        <w:jc w:val="both"/>
        <w:rPr>
          <w:rFonts w:ascii="Times New Roman" w:hAnsi="Times New Roman" w:eastAsia="" w:cs="Times New Roman" w:eastAsiaTheme="minorEastAsia"/>
          <w:b/>
          <w:b/>
          <w:bCs/>
          <w:sz w:val="20"/>
          <w:szCs w:val="20"/>
        </w:rPr>
      </w:pPr>
      <w:r>
        <w:rPr>
          <w:rFonts w:eastAsia="" w:cs="Times New Roman" w:ascii="Times New Roman" w:hAnsi="Times New Roman" w:eastAsiaTheme="minorEastAsia"/>
          <w:b/>
          <w:bCs/>
          <w:sz w:val="20"/>
          <w:szCs w:val="20"/>
        </w:rPr>
        <w:t>4.1 System Architecture and Data Management</w:t>
      </w:r>
    </w:p>
    <w:p>
      <w:pPr>
        <w:pStyle w:val="Normal"/>
        <w:spacing w:lineRule="auto" w:line="360" w:before="0" w:after="0"/>
        <w:jc w:val="both"/>
        <w:rPr>
          <w:rFonts w:ascii="Times New Roman" w:hAnsi="Times New Roman" w:eastAsia="" w:cs="Times New Roman" w:eastAsiaTheme="minorEastAsia"/>
          <w:sz w:val="20"/>
          <w:szCs w:val="20"/>
        </w:rPr>
      </w:pPr>
      <w:r>
        <w:rPr>
          <w:rFonts w:eastAsia="" w:cs="Times New Roman" w:ascii="Times New Roman" w:hAnsi="Times New Roman" w:eastAsiaTheme="minorEastAsia"/>
          <w:sz w:val="20"/>
          <w:szCs w:val="20"/>
        </w:rPr>
        <w:t>EcoTwin separates offline data processing from online retrieval and visualisation. The offline pipeline acquires satellite imagery, processes raster data, generates embeddings, and populates the database. The online application uses these stored outputs for similarity search, temporal profiling, and directional forecasting. Processing status is retained so that interrupted jobs can resume without repeating completed work. Figure 2 presents the five principal system components and their interactions. All communication between components passes through the FastAPI backend, and analysis requests, such as similarity searches, forecasts, and reports, do not trigger Earth Engine processing or foundation-model inference.</w:t>
      </w:r>
    </w:p>
    <w:p>
      <w:pPr>
        <w:pStyle w:val="Normal"/>
        <w:spacing w:lineRule="auto" w:line="240" w:before="0" w:after="0"/>
        <w:jc w:val="both"/>
        <w:rPr>
          <w:rFonts w:ascii="Times New Roman" w:hAnsi="Times New Roman" w:eastAsia="" w:cs="Times New Roman" w:eastAsiaTheme="minorEastAsia"/>
          <w:sz w:val="20"/>
          <w:szCs w:val="20"/>
        </w:rPr>
      </w:pPr>
      <w:r>
        <w:rPr>
          <w:rFonts w:eastAsia="" w:cs="Times New Roman" w:eastAsiaTheme="minorEastAsia" w:ascii="Times New Roman" w:hAnsi="Times New Roman"/>
          <w:sz w:val="20"/>
          <w:szCs w:val="20"/>
        </w:rPr>
      </w:r>
    </w:p>
    <w:p>
      <w:pPr>
        <w:pStyle w:val="Normal"/>
        <w:spacing w:lineRule="auto" w:line="360" w:before="0" w:after="0"/>
        <w:jc w:val="both"/>
        <w:rPr>
          <w:rFonts w:ascii="Times New Roman" w:hAnsi="Times New Roman" w:eastAsia="" w:cs="Times New Roman" w:eastAsiaTheme="minorEastAsia"/>
          <w:sz w:val="20"/>
          <w:szCs w:val="20"/>
        </w:rPr>
      </w:pPr>
      <w:r>
        <w:rPr>
          <w:rFonts w:eastAsia="" w:cs="Times New Roman" w:ascii="Times New Roman" w:hAnsi="Times New Roman" w:eastAsiaTheme="minorEastAsia"/>
          <w:sz w:val="20"/>
          <w:szCs w:val="20"/>
        </w:rPr>
        <w:t>PostgreSQL provides persistent storage for the system. PostGIS manages lake geometries and supports spatial operations, including intersection, containment, area calculation, and map queries. The pgvector extension stores the 768-dimensional Prithvi embeddings and supports vector similarity operations. Together, these components link each representation to its lake, observation year, and spatial context.</w:t>
      </w:r>
    </w:p>
    <w:p>
      <w:pPr>
        <w:pStyle w:val="Normal"/>
        <w:spacing w:lineRule="auto" w:line="240" w:before="0" w:after="0"/>
        <w:jc w:val="both"/>
        <w:rPr>
          <w:rFonts w:ascii="Times New Roman" w:hAnsi="Times New Roman" w:eastAsia="" w:cs="Times New Roman" w:eastAsiaTheme="minorEastAsia"/>
          <w:sz w:val="20"/>
          <w:szCs w:val="20"/>
        </w:rPr>
      </w:pPr>
      <w:r>
        <w:rPr>
          <w:rFonts w:eastAsia="" w:cs="Times New Roman" w:eastAsiaTheme="minorEastAsia" w:ascii="Times New Roman" w:hAnsi="Times New Roman"/>
          <w:sz w:val="20"/>
          <w:szCs w:val="20"/>
        </w:rPr>
      </w:r>
    </w:p>
    <w:p>
      <w:pPr>
        <w:pStyle w:val="Normal"/>
        <w:spacing w:lineRule="auto" w:line="360" w:before="0" w:after="0"/>
        <w:jc w:val="both"/>
        <w:rPr>
          <w:rFonts w:ascii="Times New Roman" w:hAnsi="Times New Roman" w:eastAsia="" w:cs="Times New Roman" w:eastAsiaTheme="minorEastAsia"/>
          <w:sz w:val="20"/>
          <w:szCs w:val="20"/>
        </w:rPr>
      </w:pPr>
      <w:r>
        <w:rPr>
          <w:rFonts w:eastAsia="" w:cs="Times New Roman" w:ascii="Times New Roman" w:hAnsi="Times New Roman" w:eastAsiaTheme="minorEastAsia"/>
          <w:sz w:val="20"/>
          <w:szCs w:val="20"/>
        </w:rPr>
        <w:t>The database schema separates lake-level embeddings from measured spectral features. The regions table stores one record per lake-year, enforced by a uniqueness constraint on (lake_id, year); each record holds the combined embedding together with the lake and shoreline vectors, their token weights, the lake weight used, and an embedding-version marker. The lake_features table stores, for pixels inside the lake polygon, the mean, standard deviation, minimum, maximum, and median of all 11 spectral bands, statistics of the number of cloud-free observations, pixel and coverage counts, cloud percentage, grey-level co-occurrence matrix (GLCM) texture features computed on B8, per-pixel statistics of additional spectral indices (including NDVI, NDWI, MNDWI, EVI, SAVI, and NBR), and counts of water, vegetation, and soil pixels. These stored index statistics are not used for forecasting. The five forecast indicators are calculated from the stored band means when required. This structure keeps the representations used for analog retrieval separate from the measured features used to construct environmental-index time series and directional forecasts.</w:t>
      </w:r>
    </w:p>
    <w:p>
      <w:pPr>
        <w:pStyle w:val="Normal"/>
        <w:spacing w:lineRule="auto" w:line="240" w:before="0" w:after="0"/>
        <w:jc w:val="both"/>
        <w:rPr>
          <w:rFonts w:ascii="Times New Roman" w:hAnsi="Times New Roman" w:eastAsia="" w:cs="Times New Roman" w:eastAsiaTheme="minorEastAsia"/>
          <w:sz w:val="20"/>
          <w:szCs w:val="20"/>
        </w:rPr>
      </w:pPr>
      <w:r>
        <w:rPr>
          <w:rFonts w:eastAsia="" w:cs="Times New Roman" w:eastAsiaTheme="minorEastAsia" w:ascii="Times New Roman" w:hAnsi="Times New Roman"/>
          <w:sz w:val="20"/>
          <w:szCs w:val="20"/>
        </w:rPr>
      </w:r>
    </w:p>
    <w:p>
      <w:pPr>
        <w:pStyle w:val="Normal"/>
        <w:spacing w:lineRule="auto" w:line="360" w:before="0" w:after="0"/>
        <w:jc w:val="both"/>
        <w:rPr>
          <w:rFonts w:ascii="Times New Roman" w:hAnsi="Times New Roman" w:eastAsia="" w:cs="Times New Roman" w:eastAsiaTheme="minorEastAsia"/>
          <w:b/>
          <w:b/>
          <w:bCs/>
          <w:sz w:val="20"/>
          <w:szCs w:val="20"/>
        </w:rPr>
      </w:pPr>
      <w:r>
        <w:rPr>
          <w:rFonts w:eastAsia="" w:cs="Times New Roman" w:ascii="Times New Roman" w:hAnsi="Times New Roman" w:eastAsiaTheme="minorEastAsia"/>
          <w:b/>
          <w:bCs/>
          <w:sz w:val="20"/>
          <w:szCs w:val="20"/>
        </w:rPr>
        <w:t>4.2 Processing Orchestration and Data Services</w:t>
      </w:r>
    </w:p>
    <w:p>
      <w:pPr>
        <w:pStyle w:val="Normal"/>
        <w:spacing w:lineRule="auto" w:line="360" w:before="0" w:after="0"/>
        <w:jc w:val="both"/>
        <w:rPr>
          <w:rFonts w:ascii="Times New Roman" w:hAnsi="Times New Roman" w:eastAsia="" w:cs="Times New Roman" w:eastAsiaTheme="minorEastAsia"/>
          <w:sz w:val="20"/>
          <w:szCs w:val="20"/>
        </w:rPr>
      </w:pPr>
      <w:r>
        <w:rPr>
          <w:rFonts w:eastAsia="" w:cs="Times New Roman" w:ascii="Times New Roman" w:hAnsi="Times New Roman" w:eastAsiaTheme="minorEastAsia"/>
          <w:sz w:val="20"/>
          <w:szCs w:val="20"/>
        </w:rPr>
        <w:t>The FastAPI backend provides services for lake metadata, analog retrieval, temporal feature access, forecast generation, report production, and processing-status monitoring. Long-running operations, including imagery acquisition, raster merging, and embedding inference, run asynchronously through FastAPI background tasks within the single backend deployment used in this study; this does not provide the scaling or recovery characteristics of a dedicated distributed task queue. Progress information, including completed items, elapsed time, throughput, and estimated completion time, is held in memory and retrieved periodically by the frontend, so it is lost if the backend restarts. Recovery after a restart instead relies on the persisted outputs: each stage re-examines the database and files and processes only lake-years whose outputs are missing or out of date. A cancellation request stops the imagery stage once the tile requests already in progress have finished.</w:t>
      </w:r>
    </w:p>
    <w:p>
      <w:pPr>
        <w:pStyle w:val="Normal"/>
        <w:spacing w:lineRule="auto" w:line="240" w:before="0" w:after="0"/>
        <w:jc w:val="both"/>
        <w:rPr>
          <w:rFonts w:ascii="Times New Roman" w:hAnsi="Times New Roman" w:eastAsia="" w:cs="Times New Roman" w:eastAsiaTheme="minorEastAsia"/>
          <w:sz w:val="20"/>
          <w:szCs w:val="20"/>
        </w:rPr>
      </w:pPr>
      <w:r>
        <w:rPr>
          <w:rFonts w:eastAsia="" w:cs="Times New Roman" w:eastAsiaTheme="minorEastAsia" w:ascii="Times New Roman" w:hAnsi="Times New Roman"/>
          <w:sz w:val="20"/>
          <w:szCs w:val="20"/>
        </w:rPr>
      </w:r>
    </w:p>
    <w:p>
      <w:pPr>
        <w:pStyle w:val="Normal"/>
        <w:spacing w:lineRule="auto" w:line="360" w:before="0" w:after="0"/>
        <w:jc w:val="both"/>
        <w:rPr>
          <w:rFonts w:ascii="Times New Roman" w:hAnsi="Times New Roman" w:eastAsia="" w:cs="Times New Roman" w:eastAsiaTheme="minorEastAsia"/>
          <w:sz w:val="20"/>
          <w:szCs w:val="20"/>
        </w:rPr>
      </w:pPr>
      <w:r>
        <w:rPr>
          <w:rFonts w:eastAsia="" w:cs="Times New Roman" w:ascii="Times New Roman" w:hAnsi="Times New Roman" w:eastAsiaTheme="minorEastAsia"/>
          <w:sz w:val="20"/>
          <w:szCs w:val="20"/>
        </w:rPr>
        <w:t>Earlier versions of the pipeline obtained band B8 through a separate Earth Engine reduceRegions pass because the downloaded imagery contained only B2–B7. In the final pipeline, B8 is part of the 12-band annual composite, so that separate step was removed, and the 8,268 lake-years with embeddings are the same lake-years that have feature records.</w:t>
      </w:r>
    </w:p>
    <w:p>
      <w:pPr>
        <w:pStyle w:val="Normal"/>
        <w:spacing w:lineRule="auto" w:line="240" w:before="0" w:after="0"/>
        <w:jc w:val="both"/>
        <w:rPr>
          <w:rFonts w:ascii="Times New Roman" w:hAnsi="Times New Roman" w:eastAsia="" w:cs="Times New Roman" w:eastAsiaTheme="minorEastAsia"/>
          <w:sz w:val="20"/>
          <w:szCs w:val="20"/>
        </w:rPr>
      </w:pPr>
      <w:r>
        <w:rPr>
          <w:rFonts w:eastAsia="" w:cs="Times New Roman" w:eastAsiaTheme="minorEastAsia" w:ascii="Times New Roman" w:hAnsi="Times New Roman"/>
          <w:sz w:val="20"/>
          <w:szCs w:val="20"/>
        </w:rPr>
      </w:r>
    </w:p>
    <w:p>
      <w:pPr>
        <w:pStyle w:val="Normal"/>
        <w:spacing w:lineRule="auto" w:line="360" w:before="0" w:after="0"/>
        <w:jc w:val="both"/>
        <w:rPr>
          <w:rFonts w:ascii="Times New Roman" w:hAnsi="Times New Roman" w:eastAsia="" w:cs="Times New Roman" w:eastAsiaTheme="minorEastAsia"/>
          <w:sz w:val="20"/>
          <w:szCs w:val="20"/>
        </w:rPr>
      </w:pPr>
      <w:r>
        <w:rPr>
          <w:rFonts w:eastAsia="" w:cs="Times New Roman" w:ascii="Times New Roman" w:hAnsi="Times New Roman" w:eastAsiaTheme="minorEastAsia"/>
          <w:sz w:val="20"/>
          <w:szCs w:val="20"/>
        </w:rPr>
        <w:t>Some processing parameters are supplied through environment configuration, including Earth Engine credentials, storage paths, the lake buffer, tile size, shoreline-ring width, lake weight, and worker settings. Others are fixed constants in the code, including the surface-reflectance collection, the 20% scene cloud limit, the Cloud Score+ threshold, the 30 m scale, the median compositing method, and the band lists. Centralising these values allows the processing configuration to be reviewed and adjusted in one place.</w:t>
      </w:r>
    </w:p>
    <w:p>
      <w:pPr>
        <w:pStyle w:val="Normal"/>
        <w:spacing w:lineRule="auto" w:line="240" w:before="0" w:after="0"/>
        <w:jc w:val="both"/>
        <w:rPr>
          <w:rFonts w:ascii="Times New Roman" w:hAnsi="Times New Roman" w:eastAsia="" w:cs="Times New Roman" w:eastAsiaTheme="minorEastAsia"/>
          <w:sz w:val="20"/>
          <w:szCs w:val="20"/>
        </w:rPr>
      </w:pPr>
      <w:r>
        <w:rPr>
          <w:rFonts w:eastAsia="" w:cs="Times New Roman" w:eastAsiaTheme="minorEastAsia" w:ascii="Times New Roman" w:hAnsi="Times New Roman"/>
          <w:sz w:val="20"/>
          <w:szCs w:val="20"/>
        </w:rPr>
      </w:r>
    </w:p>
    <w:p>
      <w:pPr>
        <w:pStyle w:val="Normal"/>
        <w:spacing w:lineRule="auto" w:line="360" w:before="0" w:after="0"/>
        <w:jc w:val="both"/>
        <w:rPr>
          <w:rFonts w:ascii="Times New Roman" w:hAnsi="Times New Roman" w:eastAsia="" w:cs="Times New Roman" w:eastAsiaTheme="minorEastAsia"/>
          <w:b/>
          <w:b/>
          <w:bCs/>
          <w:sz w:val="20"/>
          <w:szCs w:val="20"/>
        </w:rPr>
      </w:pPr>
      <w:r>
        <w:rPr>
          <w:rFonts w:eastAsia="" w:cs="Times New Roman" w:ascii="Times New Roman" w:hAnsi="Times New Roman" w:eastAsiaTheme="minorEastAsia"/>
          <w:b/>
          <w:bCs/>
          <w:sz w:val="20"/>
          <w:szCs w:val="20"/>
        </w:rPr>
        <w:t>4.3 Application Interface and Reporting</w:t>
      </w:r>
    </w:p>
    <w:p>
      <w:pPr>
        <w:pStyle w:val="Normal"/>
        <w:spacing w:lineRule="auto" w:line="360" w:before="0" w:after="0"/>
        <w:jc w:val="both"/>
        <w:rPr>
          <w:rFonts w:ascii="Times New Roman" w:hAnsi="Times New Roman" w:eastAsia="" w:cs="Times New Roman" w:eastAsiaTheme="minorEastAsia"/>
          <w:sz w:val="20"/>
          <w:szCs w:val="20"/>
        </w:rPr>
      </w:pPr>
      <w:r>
        <w:rPr>
          <w:rFonts w:eastAsia="" w:cs="Times New Roman" w:ascii="Times New Roman" w:hAnsi="Times New Roman" w:eastAsiaTheme="minorEastAsia"/>
          <w:sz w:val="20"/>
          <w:szCs w:val="20"/>
        </w:rPr>
        <w:t>The frontend uses React, Vite, TypeScript, and Leaflet. Users can select a lake, inspect its boundary, retrieve analogous lakes, view their locations and similarity scores, and compare historical environmental-index trajectories with directional forecasts. The application obtains lake geometries from the same PostGIS database used in the spatial analysis, ensuring that the displayed boundaries correspond to the stored spatial records. EcoTwin generates lake-specific PDF reports using Jinja2 templates rendered through WeasyPrint. Each report contains lake metadata, a map of the target lake and its analogs, historical index profiles, a ranked analog table, and the directional forecast with its supporting audit information. The resulting document provides a record of the retrieved analogs, the historical evidence used for the forecast, and the reported outputs for subsequent review.</w:t>
      </w:r>
    </w:p>
    <w:p>
      <w:pPr>
        <w:pStyle w:val="Normal"/>
        <w:spacing w:lineRule="auto" w:line="240" w:before="0" w:after="0"/>
        <w:jc w:val="both"/>
        <w:rPr>
          <w:rFonts w:ascii="Times New Roman" w:hAnsi="Times New Roman" w:eastAsia="" w:cs="Times New Roman" w:eastAsiaTheme="minorEastAsia"/>
          <w:sz w:val="20"/>
          <w:szCs w:val="20"/>
        </w:rPr>
      </w:pPr>
      <w:r>
        <w:rPr>
          <w:rFonts w:eastAsia="" w:cs="Times New Roman" w:eastAsiaTheme="minorEastAsia" w:ascii="Times New Roman" w:hAnsi="Times New Roman"/>
          <w:sz w:val="20"/>
          <w:szCs w:val="20"/>
        </w:rPr>
      </w:r>
    </w:p>
    <w:p>
      <w:pPr>
        <w:pStyle w:val="Normal"/>
        <w:spacing w:lineRule="auto" w:line="360" w:before="0" w:after="0"/>
        <w:jc w:val="both"/>
        <w:rPr>
          <w:rFonts w:ascii="Times New Roman" w:hAnsi="Times New Roman" w:cs="Times New Roman"/>
          <w:b/>
          <w:b/>
          <w:bCs/>
          <w:sz w:val="20"/>
          <w:szCs w:val="20"/>
        </w:rPr>
      </w:pPr>
      <w:r>
        <w:rPr>
          <w:rFonts w:cs="Times New Roman" w:ascii="Times New Roman" w:hAnsi="Times New Roman"/>
          <w:b/>
          <w:bCs/>
          <w:sz w:val="20"/>
          <w:szCs w:val="20"/>
        </w:rPr>
        <w:t>5. Experimental Results and Engineering Evaluation</w:t>
      </w:r>
    </w:p>
    <w:p>
      <w:pPr>
        <w:pStyle w:val="Normal"/>
        <w:spacing w:lineRule="auto" w:line="360" w:before="0" w:after="0"/>
        <w:jc w:val="both"/>
        <w:rPr>
          <w:rFonts w:ascii="Times New Roman" w:hAnsi="Times New Roman" w:cs="Times New Roman"/>
          <w:b/>
          <w:b/>
          <w:bCs/>
          <w:sz w:val="20"/>
          <w:szCs w:val="20"/>
        </w:rPr>
      </w:pPr>
      <w:r>
        <w:rPr>
          <w:rFonts w:cs="Times New Roman" w:ascii="Times New Roman" w:hAnsi="Times New Roman"/>
          <w:b/>
          <w:bCs/>
          <w:sz w:val="20"/>
          <w:szCs w:val="20"/>
        </w:rPr>
        <w:t>5.1 Deployed Cohort and Processing Configuration</w:t>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The HydroLAKES-derived inventory contains 11,130 lakes in India. Of these, 829 were designated as active and included in the EcoTwin processing cohort. The remaining lakes were retained for inventory and map visualisation but were excluded from the computationally intensive imagery-processing and embedding-generation stages. The cohort comprises every lake with an area of at least 2 km², a threshold chosen so that each lake is large enough to be represented by several 480 m model tokens.</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The retrieval and forecasting workflow was evaluated using five Ramsar-designated sites: Chilika Lagoon, Maharana Pratap Sagar (Beas), Tawa Reservoir, Tso Morari, and Sasthamcotta Lake. These sites represent contrasting environmental settings, including a tropical brackish lagoon, a high-altitude Trans-Himalayan lake, natural lakes, and dam-regulated reservoirs. Their reported elevations range from sea level to 4,522 m, and their areas vary substantially. This diversity provides a test of retrieval performance across water bodies with different geographic and environmental characteristics. However, the five-site evaluation is illustrative and does not establish generalisable performance across all Indian lakes.</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All five sites were processed using the same retrieval protocol. For each query, the target trajectory comprised five consecutive annual embeddings from 2021 to 2025. The system searched the available histories of the other 828 lakes using sliding five-year windows and ranked the candidate trajectories by mean cosine similarity across aligned years. Up to five eligible analogs were then selected from the ten highest-ranked candidates for directional forecasting. Their subsequent environmental-index changes were combined using fixed rank-based weights, renormalised when observations were unavailable. The forecast anchor year was 2025, and the forecast horizons were 2026, 2027, and 2028. These outputs are an illustrative prospective forecast exercise, distinct from a hindcast using withheld observations; their predictive accuracy must be assessed separately.</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5.2 Engineering Performance and Processing Reliability</w:t>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Table 3 summarises the measured retrieval results for the five Ramsar-site queries on the final dataset. Each query compared 4,946 candidate windows from the other 828 lakes using 768-dimensional embeddings; the target lake is excluded from its own candidate set. The implementation performs exhaustive comparisons rather than approximate nearest-neighbour retrieval. Accordingly, the returned ranking is exact with respect to the implemented similarity metric and eligible candidate-window set, subject to the numerical precision of the computation. An exact ranking does not by itself establish ecological equivalence or forecast accuracy.</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Across the five queries, the raw cosine similarity of the top-ranked analog ranged from 0.9944 to 0.9986. For four sites, the tenth-ranked analog was within 0.0013–0.0027 of the highest-ranked result; Tso Morari was the exception, with a gap of 0.0168. These tightly clustered scores limit the interpretability of absolute similarity values. One possible explanation is that the embeddings, generated by the same encoder from comparable remote-sensing inputs, share substantial feature structure even when the lakes differ in location or environmental characteristics. However, the observed score distribution alone does not establish the cause of this clustering.</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The ranking is therefore more useful for identifying candidate analogs than the raw scores are for quantifying ecological similarity. Interpretation should also consider the matched temporal windows, lake metadata, geographic distribution of retrieved analogs, and their observed environmental-index histories. Establishing an interpretable absolute similarity scale would require calibration against labelled lake pairs or another independent reference representing known degrees of ecological similarity. Until such calibration is undertaken, the scores should be treated as relative retrieval measures, not as probabilities or calibrated measures of ecological equivalence.</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Processing Reliability and Implementation Challenges</w:t>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EcoTwin supports resumable processing through explicit status tracking for each tile and lake-year, together with checks that existing outputs are complete and current. Records can be marked as pending, processing, completed, or failed, and stages skip lake-years whose outputs already exist and match the current method. This approach avoids unnecessary recomputation and allows multi-year processing jobs to resume after interruption; in a verification run, every stage skipped all completed work when rerun, including after the downloaded tiles had been deleted.</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Several engineering constraints influenced the implementation. When a Google Earth Engine request exceeded the user memory limit, the tile was split into four parts, and if necessary up to sixteen, which were downloaded separately and stitched together locally. Transient errors were retried up to three times with increasing delays. To stay within request quotas, the downloader used several Earth Engine service accounts and switched to another account when a request was rejected with HTTP 429. Processing within one long-running server process accumulated about 4 GB of memory and was terminated on an 8 GB machine; the merging, embedding, and feature-generation steps were therefore run in separate short-lived processes. Under this arrangement, all ten years were processed in about 12 hours of elapsed time.</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b/>
          <w:b/>
          <w:bCs/>
          <w:sz w:val="20"/>
          <w:szCs w:val="20"/>
        </w:rPr>
      </w:pPr>
      <w:r>
        <w:rPr>
          <w:rFonts w:cs="Times New Roman" w:ascii="Times New Roman" w:hAnsi="Times New Roman"/>
          <w:sz w:val="20"/>
          <w:szCs w:val="20"/>
        </w:rPr>
        <w:t>Merged annual rasters occupy about 3.4 GB per year, or about 33 GB for the full record, making storage management and optional deletion of tiles after merging important. Earth Engine authentication failures were handled separately from individual lake-processing failures, with errors recorded to prevent incomplete outputs from being treated as successfully processed records. Because processing and development involved multiple team members, a database-consolidation procedure was established to combine their results. Individual PostgreSQL dumps were restored to temporary databases, validated, and merged into the production database. This workflow preserved spatial geometries managed by PostGIS and embedding vectors stored through pgvector, avoiding the potential loss of structure or precision associated with CSV-only transfers.</w:t>
      </w:r>
    </w:p>
    <w:p>
      <w:pPr>
        <w:pStyle w:val="Normal"/>
        <w:spacing w:lineRule="auto" w:line="360" w:before="0" w:after="0"/>
        <w:jc w:val="both"/>
        <w:rPr>
          <w:rFonts w:ascii="Times New Roman" w:hAnsi="Times New Roman" w:cs="Times New Roman"/>
          <w:b/>
          <w:b/>
          <w:bCs/>
          <w:sz w:val="20"/>
          <w:szCs w:val="20"/>
        </w:rPr>
      </w:pPr>
      <w:r>
        <w:rPr>
          <w:rFonts w:cs="Times New Roman" w:ascii="Times New Roman" w:hAnsi="Times New Roman"/>
          <w:b/>
          <w:bCs/>
          <w:sz w:val="20"/>
          <w:szCs w:val="20"/>
        </w:rPr>
      </w:r>
    </w:p>
    <w:p>
      <w:pPr>
        <w:pStyle w:val="Normal"/>
        <w:spacing w:lineRule="auto" w:line="240" w:before="0" w:after="0"/>
        <w:jc w:val="both"/>
        <w:rPr>
          <w:rFonts w:ascii="Times New Roman" w:hAnsi="Times New Roman" w:cs="Times New Roman"/>
          <w:b/>
          <w:b/>
          <w:bCs/>
          <w:sz w:val="20"/>
          <w:szCs w:val="20"/>
        </w:rPr>
      </w:pPr>
      <w:r>
        <w:rPr>
          <w:rFonts w:cs="Times New Roman" w:ascii="Times New Roman" w:hAnsi="Times New Roman"/>
          <w:b/>
          <w:bCs/>
          <w:sz w:val="20"/>
          <w:szCs w:val="20"/>
        </w:rPr>
        <w:t>5.3 Application to Five Ramsar Sites</w:t>
      </w:r>
    </w:p>
    <w:p>
      <w:pPr>
        <w:pStyle w:val="Normal"/>
        <w:spacing w:lineRule="auto" w:line="240" w:before="0" w:after="0"/>
        <w:jc w:val="both"/>
        <w:rPr>
          <w:rFonts w:ascii="Times New Roman" w:hAnsi="Times New Roman" w:cs="Times New Roman"/>
          <w:b/>
          <w:b/>
          <w:bCs/>
          <w:sz w:val="20"/>
          <w:szCs w:val="20"/>
        </w:rPr>
      </w:pPr>
      <w:r>
        <w:rPr>
          <w:rFonts w:cs="Times New Roman" w:ascii="Times New Roman" w:hAnsi="Times New Roman"/>
          <w:b/>
          <w:bCs/>
          <w:sz w:val="20"/>
          <w:szCs w:val="20"/>
        </w:rPr>
      </w:r>
    </w:p>
    <w:p>
      <w:pPr>
        <w:pStyle w:val="Normal"/>
        <w:spacing w:lineRule="auto" w:line="240" w:before="0" w:after="0"/>
        <w:jc w:val="both"/>
        <w:rPr>
          <w:rFonts w:ascii="Times New Roman" w:hAnsi="Times New Roman" w:cs="Times New Roman"/>
          <w:b/>
          <w:b/>
          <w:bCs/>
          <w:sz w:val="20"/>
          <w:szCs w:val="20"/>
        </w:rPr>
      </w:pPr>
      <w:r>
        <w:rPr>
          <w:rFonts w:cs="Times New Roman" w:ascii="Times New Roman" w:hAnsi="Times New Roman"/>
          <w:b/>
          <w:bCs/>
          <w:sz w:val="20"/>
          <w:szCs w:val="20"/>
        </w:rPr>
        <w:t>5.3.1 Chilika Lagoon, Odisha</w:t>
      </w:r>
    </w:p>
    <w:p>
      <w:pPr>
        <w:pStyle w:val="Normal"/>
        <w:spacing w:lineRule="auto" w:line="240" w:before="0" w:after="0"/>
        <w:jc w:val="both"/>
        <w:rPr>
          <w:rFonts w:ascii="Times New Roman" w:hAnsi="Times New Roman" w:cs="Times New Roman"/>
          <w:b/>
          <w:b/>
          <w:bCs/>
          <w:sz w:val="20"/>
          <w:szCs w:val="20"/>
        </w:rPr>
      </w:pPr>
      <w:r>
        <w:rPr>
          <w:rFonts w:cs="Times New Roman" w:ascii="Times New Roman" w:hAnsi="Times New Roman"/>
          <w:b/>
          <w:bCs/>
          <w:sz w:val="20"/>
          <w:szCs w:val="20"/>
        </w:rPr>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Chilika is a large brackish-water lagoon on the Odisha coast, separated from the Bay of Bengal by a barrier spit. With an area of approximately 843 km², it is the largest lake in the deployed cohort. Figure 3 shows its boundary in the EcoTwin application. Its measured index history is given in Table 4, its retrieved analogs in Table 5, and its forecast in Table 6.</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Chilika's NDVI is negative (−0.22 to −0.08) and its NDWI positive (0.13 to 0.36) in every year of our record. This combination is typical of open water, which absorbs strongly in the near-infrared and reflects relatively more green light (McFeeters, 1996). We therefore read Chilika's signature as dominated by open water, although neither index directly measures vegetation cover or water extent. Its five highest-ranked analogs are large inland reservoirs rather than coastal lagoons, led by Govind Ballabh Pant Sagar in Uttar Pradesh (raw cosine 0.99590). Four of the nine candidates examined (ranks 1, 4, 6, and 8) have matched windows ending in 2025 and cannot contribute, so our forecast uses the analogs at ranks 2, 3, 5, 7, and 9. For 2026, with all five contributing, the forecast indicates increasing NDVI, with NDCI, NDWI, and NDTI stable; the NDWI change (−0.033) falls just inside its threshold (±0.035). Only two analogs provide observations for 2027 and 2028, and every index is classified as stable in both years, although the 2028 NDVI and NDWI changes have the same signs as in 2026. Put simply, lakes whose recent history resembles Chilika's subsequently appeared slightly “greener”, and slightly less like open water, to the satellite. This would be expected if floating or emergent vegetation expanded in the lagoon. However, higher turbidity, algal growth, shallower water, or a larger share of shoreline pixels could produce the same spectral change. We therefore do not read it as a prediction that vegetation cover will increase or that open water will decline, particularly as the 2027 and 2028 estimates rest on only two analogs.</w:t>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 xml:space="preserve">Chilika has a documented history of large vegetation change. The Chilika Development Authority (n.d.) reports that the weed-infested area grew from about 20 km² in 1972 to 684.7 km² in 2000, which it attributes to siltation and declining salinity. After a new sea mouth was opened in 2000, the area infested by freshwater invasive species, particularly water hyacinth, declined (Chilika Development Authority, n.d.; Kumar et al., 2011). Kumar et al. (2011) subsequently reported an expansion of </w:t>
      </w:r>
      <w:r>
        <w:rPr>
          <w:rFonts w:cs="Times New Roman" w:ascii="Times New Roman" w:hAnsi="Times New Roman"/>
          <w:i/>
          <w:iCs/>
          <w:sz w:val="20"/>
          <w:szCs w:val="20"/>
        </w:rPr>
        <w:t>Phragmites karka</w:t>
      </w:r>
      <w:r>
        <w:rPr>
          <w:rFonts w:cs="Times New Roman" w:ascii="Times New Roman" w:hAnsi="Times New Roman"/>
          <w:sz w:val="20"/>
          <w:szCs w:val="20"/>
        </w:rPr>
        <w:t xml:space="preserve"> in the northern lagoon from 76.4 to 105.1 km² between 2000 and 2010 and discussed its implications for fisheries. We use this history as context: it shows that substantial vegetation change in Chilika is plausible, so the vegetation-associated shift in our estimates is not unexpected. It does not, however, confirm the direction, magnitude, or timing of our 2026–2028 estimates.</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b/>
          <w:b/>
          <w:bCs/>
          <w:sz w:val="20"/>
          <w:szCs w:val="20"/>
        </w:rPr>
      </w:pPr>
      <w:r>
        <w:rPr>
          <w:rFonts w:cs="Times New Roman" w:ascii="Times New Roman" w:hAnsi="Times New Roman"/>
          <w:b/>
          <w:bCs/>
          <w:sz w:val="20"/>
          <w:szCs w:val="20"/>
        </w:rPr>
        <w:t>5.3.2 Maharana Pratap Sagar (Beas), Himachal Pradesh</w:t>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Maharana Pratap Sagar, also known as Pong Dam Lake, is a reservoir on the Beas River and has been designated a Ramsar site since 2002. It supports migratory waterbirds and serves several water-management purposes. In the deployed dataset, the site is recorded under the source-river name Beas (lake_id 1423). As a regulated reservoir, its water extent and shoreline conditions may reflect reservoir operations, seasonal hydrological variation, and ecological processes.</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The highest-ranked analog retrieved for Beas is Gandhisagar Reservoir in Madhya Pradesh, another large, dam-regulated water body (raw cosine 0.99822). However, the matched windows of three of the ten highest-ranked candidates, including Gandhisagar at rank 1, end in 2025, leaving no subsequent observations with which to calculate the required post-window index changes. These candidates therefore cannot contribute to the forecast under the implemented eligibility rules, and the analogs at ranks 2, 3, 5, 7, and 8 are used instead; they include Bansagar Lake, Hirakud Reservoir, and Chilika. This case illustrates that similarity ranking and forecast eligibility are distinct: a highly ranked analog may be unavailable for forecasting when its historical record does not extend beyond the matched window.</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The historical index profiles show NDVI values fluctuating between approximately −0.24 and +0.07 and NDWI values ranging from 0.14 to 0.42, without a sustained monotonic trend. These fluctuations may reflect changes in water extent, exposed shoreline, vegetation, or the composition of mixed pixels. The available analysis does not independently isolate the effects of reservoir operations from other hydrological and ecological influences.</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Five analogs contribute to the 2026 estimate and four to each of the 2027 and 2028 estimates, so no Beas forecast cell is classified as uncertain. All four indices are classified as stable in 2026 and 2028. For 2027, NDCI and NDTI increase and NDWI decreases, while NDVI is stable. The 2027 changes are not sustained: in 2028 the NDCI and NDWI changes reverse sign while remaining within their thresholds. This reflects the variability of the analogs' subsequent changes rather than a sustained trend.</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Public documentation of Maharana Pratap Sagar emphasises its Ramsar status, importance as bird habitat, fisheries, and hydroelectric role (Ramsar Convention Secretariat, 2002a). No published spectral-index record directly comparable with our annual, polygon-based values was identified in the sources reviewed for this study. This limits the available independent comparison but does not constitute evidence either for or against the index trajectories or forecast outputs generated by EcoTwin.</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b/>
          <w:b/>
          <w:bCs/>
          <w:sz w:val="20"/>
          <w:szCs w:val="20"/>
        </w:rPr>
      </w:pPr>
      <w:r>
        <w:rPr>
          <w:rFonts w:cs="Times New Roman" w:ascii="Times New Roman" w:hAnsi="Times New Roman"/>
          <w:b/>
          <w:bCs/>
          <w:sz w:val="20"/>
          <w:szCs w:val="20"/>
        </w:rPr>
        <w:t>5.3.3 Tawa Reservoir, Madhya Pradesh</w:t>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Tawa Reservoir is an irrigation and flood-control reservoir on the Tawa River, a tributary of the Narmada, in Madhya Pradesh's Narmadapuram district. Located within the Satpura Tiger Reserve, it was designated a Ramsar site in 2024. Tawa provides a second regulated freshwater system for comparison with Maharana Pratap Sagar (Beas).</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All ten highest-ranked analogs for Tawa are reservoirs and lakes in central, eastern, and southern India, between 156 and 810 km away. The top-ranked candidate is an unnamed lake in Maharashtra (HydroLAKES 15616; raw cosine 0.99856, matched window 2017–2021), followed by Ravishankar Sagar in Chhattisgarh and Erai Reservoir in Maharashtra. The forecast uses the analogs at ranks 1, 2, 4, 6, and 9, because the windows of the candidates at ranks 3, 5, 7, and 8 end in 2025.</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Tawa's environmental indices fluctuate over the ten-year study period rather than showing a consistent directional trend. The year 2019 is an extremum in all four indices: NDCI (+0.106), NDVI (+0.231), and NDTI (+0.029) reach their maxima, and NDWI reaches its minimum (−0.258), with 2018 showing the same pattern less strongly. Negative NDWI and positive NDVI are unusual for a reservoir and are consistent with a reduced open-water fraction within the HydroLAKES polygon in the annual composite. Our pixel classification supports this reading: in the 2019 composite only 29.7% of the reservoir polygon is classified as water, against 45.8% vegetation and 24.5% soil, compared with 75.7% water in 2018 and 89.9–98.6% in the remaining years. The composite is well observed (about 119 cloud-free observations per pixel), so cloud contamination is an unlikely explanation. The Central Water Commission recorded heavy inflows and surplus releases at Tawa in September 2019 (Central Water Commission, 2019a, 2019b), but these monsoon-period conditions are largely absent from an annual composite built from cloud-free scenes. Without reservoir-level records for the rest of the year, we do not attribute the 2019 pattern to drawdown, drought, or flooding.</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Five analogs contribute to the 2026 and 2027 estimates and three to the 2028 estimate. All four indices are classified as stable in 2026 and 2027, although the NDVI changes are positive and the NDWI changes negative in both years. In 2028, NDCI, NDVI, and NDTI increase and NDWI decreases. The 2028 changes are much larger than those in earlier years (for example, an NDVI change of +0.097 and an NDWI change of −0.126), because they come from three analogs whose matched windows end in 2021. These estimates should be interpreted as tentative directional outputs rather than calibrated predictions of vegetation or water-quality change.</w:t>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Tawa Reservoir was designated a Ramsar site on 8 January 2024, with the designation announced later that year (Ministry of Environment, Forest and Climate Change, 2024; Ramsar Sites Information Service, 2024). Available documentation highlights its biodiversity, including reported fish, mammal, and migratory bird species. No published directional ecological trend was identified in the sources reviewed for comparison with the measured index fluctuations. The available evidence establishes the site's ecological importance but does not independently confirm or contradict the spectral patterns or forecast outputs produced by EcoTwin.</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b/>
          <w:b/>
          <w:bCs/>
          <w:sz w:val="20"/>
          <w:szCs w:val="20"/>
        </w:rPr>
      </w:pPr>
      <w:r>
        <w:rPr>
          <w:rFonts w:cs="Times New Roman" w:ascii="Times New Roman" w:hAnsi="Times New Roman"/>
          <w:b/>
          <w:bCs/>
          <w:sz w:val="20"/>
          <w:szCs w:val="20"/>
        </w:rPr>
        <w:t>5.3.4 Tso Morari, Ladakh</w:t>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Tso Morari is a high-altitude evaporative lake in the Trans-Himalayan cold desert (Mishra et al., 2014), at 4,522 m according to HydroLAKES. Its elevation, limited surrounding vegetation, and snowmelt inputs distinguish it from the other sites in this evaluation.</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The strongest retrieval match in this study is between Tso Morari and Pangong Tso, another high-altitude lake in eastern Ladakh about 105 km away (distance between polygon centroids). Pangong Tso ranks first among the 828 candidate lakes, with a raw cosine similarity score of 0.99721, compared with 0.98351 for the second-ranked analog, a small unnamed lake also in Ladakh. The gap between the first and second ranks (0.0137) is more than four times the spread between ranks 2 and 10 (0.0031). Because the retrieval method compares satellite-derived embeddings without using geographic proximity or lake-type metadata, the match is consistent with the ability of the embedding representation to identify similar spectral-temporal patterns. However, the two lakes are in the same region, and the similarity scores alone do not establish which environmental characteristics account for the match.</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Among the five study sites, Tso Morari has the highest NDWI value (0.570, in 2017) and the most negative NDTI value (−0.451, in 2017). These values distinguish its spectral profile from that of Sasthamcotta, which exhibits a stronger vegetation-associated signal in the earlier record. However, these indices are relative spectral indicators rather than direct measurements of water clarity, suspended sediment concentration, or ecological condition. Such interpretations would require independent water-quality or field observations.</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Pangong Tso does not contribute to the forecast: its matched window, like those of the candidates at ranks 2 and 5, ends in 2025. The forecast therefore uses the analogs at ranks 3, 4, 6, 7, and 8, all of which are reservoirs or lakes outside Ladakh, including the Rana Pratap, Matatila, and Nagarjuna reservoirs and Beas. Five analogs contribute in 2026, three in 2027, and two in 2028. The 2026 estimates indicate increasing NDCI, with NDVI, NDWI, and NDTI stable; all indices are classified as stable in 2027 and 2028. Because the contributing analogs differ from the retrieval match that motivates the case, the Tso Morari forecast illustrates that strong retrieval and forecast evidence are separate. Fewer contributing analogs indicate reduced evidence availability, but their effect on accuracy has not been evaluated.</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Tso Morari is an evaporative lake supplied by snowmelt and summer-monsoon precipitation, with its water level governed by the balance between inflow and evaporation (Mishra et al., 2014). Global assessments have documented accelerated glacier mass loss (Hugonnet et al., 2021), providing broader context for the potential long-term hydrological sensitivity of mountain environments. Tso Morari's measured index series fluctuates (NDWI between 0.29 and 0.57) without a monotonic trend during the study period. This describes only its observed spectral pattern; it does not establish long-term hydrological stability or quantify the effects of glacier retreat on the lake. Within our record, the classified water area inside the polygon declines from 139.5 km² (2016) to 136.4 km² (2025). Because our water area is bounded by the HydroLAKES polygon, this change is indicative only.</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b/>
          <w:b/>
          <w:bCs/>
          <w:sz w:val="20"/>
          <w:szCs w:val="20"/>
        </w:rPr>
      </w:pPr>
      <w:r>
        <w:rPr>
          <w:rFonts w:cs="Times New Roman" w:ascii="Times New Roman" w:hAnsi="Times New Roman"/>
          <w:b/>
          <w:bCs/>
          <w:sz w:val="20"/>
          <w:szCs w:val="20"/>
        </w:rPr>
        <w:t>5.3.5 Sasthamcotta Lake, Kerala</w:t>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Sasthamcotta is Kerala's largest freshwater lake and an important drinking-water source for Kollam district. It has been designated a Ramsar site since 2002. In the active dataset, the lake is recorded as Unnamed Lake #179921 (Kerala; lake_id 179921). This HydroLAKES identifier is retained because the polygon has no name in the source database; its location corresponds to Sasthamcotta Lake.</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Four of Sasthamcotta's five highest-ranked analogs are small water bodies in Kerala, the nearest about 29 km away, giving it the strongest geographic clustering of retrieved analogs among the five case studies. The candidates at ranks 4 (in Punjab), 5, and 7 (both in Kerala) have matched windows ending in 2025 and cannot contribute, so the forecast uses the analogs at ranks 1, 2, 3, 6, and 8. The clustering suggests that geographically proximate lakes can rank highly under the trajectory-based retrieval method, although geographic proximity alone does not establish ecological equivalence.</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Sasthamcotta exhibits substantial spectral changes over the 2016–2025 period. NDVI decreases from 0.448 to 0.185, while NDWI changes from −0.278 to +0.070. These trajectories indicate a declining vegetation-associated spectral response and a shift towards a more positive water-associated spectral response. The largest changes occur between 2016 and 2019, followed by smaller fluctuations. The 2016 and 2017 composites are, however, based on few cloud-free observations (on average 3.6 and 5.7 per pixel, compared with 15–32 from 2018 onwards), so the earliest values are the least reliable. The indices alone cannot establish whether these patterns reflect changes in in-lake vegetation, water conditions, or other changes in the pixels sampled within the lake boundary.</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Five analogs contribute to the 2026 estimate, three to 2027, and only one to 2028, so all four 2028 cells are classified as uncertain. For 2026, the forecast indicates increasing NDCI, NDVI, and NDTI and decreasing NDWI. In 2027, with three analogs, all four indices are classified as stable, although each change keeps its 2026 sign. The 2026 estimates therefore suggest a partial reversal of the observed decline in the vegetation-associated indices rather than its continuation. The limited support at the later horizons should be reported when interpreting these estimates, although the number of contributing analogs alone does not determine their accuracy.</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The Ramsar Information Sheet identifies agricultural reclamation, sewage, and agrochemical pollution among the pressures affecting Sasthamcotta (Ramsar Convention Secretariat, 2002b). Divya Raj and Mophin Kani (2018) analysed 16 water-quality parameters in samples collected between November 2017 and February 2018 and reported deteriorating water quality in November–December 2017. These sources document environmental pressures and water-quality concerns, but they do not directly validate the direction or magnitude of EcoTwin's spectral-index trajectories.</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The Ramsar Information Sheet states that no water plant grows in the lake (Ramsar Convention Secretariat, 2002b). Because the index statistics use only pixels inside the lake polygon, cultivated land outside it does not enter these values directly; the relatively high NDVI of the earlier years may instead reflect mixed 30 m pixels along the shoreline, vegetated areas inside the HydroLAKES boundary, or the low number of cloud-free observations in 2016–2017. These are hypotheses rather than established causes. Testing them would require mapping the spatial distribution of NDVI within the polygon, separating open-water and edge pixels, or independent field observations.</w:t>
      </w:r>
    </w:p>
    <w:p>
      <w:pPr>
        <w:pStyle w:val="Normal"/>
        <w:spacing w:lineRule="auto" w:line="240" w:before="0" w:after="0"/>
        <w:jc w:val="both"/>
        <w:rPr>
          <w:rFonts w:ascii="Times New Roman" w:hAnsi="Times New Roman" w:cs="Times New Roman"/>
          <w:b/>
          <w:b/>
          <w:bCs/>
          <w:sz w:val="20"/>
          <w:szCs w:val="20"/>
        </w:rPr>
      </w:pPr>
      <w:r>
        <w:rPr>
          <w:rFonts w:cs="Times New Roman" w:ascii="Times New Roman" w:hAnsi="Times New Roman"/>
          <w:b/>
          <w:bCs/>
          <w:sz w:val="20"/>
          <w:szCs w:val="20"/>
        </w:rPr>
      </w:r>
    </w:p>
    <w:p>
      <w:pPr>
        <w:pStyle w:val="Normal"/>
        <w:spacing w:lineRule="auto" w:line="360" w:before="0" w:after="0"/>
        <w:jc w:val="both"/>
        <w:rPr>
          <w:rFonts w:ascii="Times New Roman" w:hAnsi="Times New Roman" w:cs="Times New Roman"/>
          <w:b/>
          <w:b/>
          <w:bCs/>
          <w:sz w:val="20"/>
          <w:szCs w:val="20"/>
        </w:rPr>
      </w:pPr>
      <w:r>
        <w:rPr>
          <w:rFonts w:cs="Times New Roman" w:ascii="Times New Roman" w:hAnsi="Times New Roman"/>
          <w:b/>
          <w:bCs/>
          <w:sz w:val="20"/>
          <w:szCs w:val="20"/>
        </w:rPr>
        <w:t>5.4 Cross-Site Synthesis</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First, the Tso Morari–Pangong Tso pairing is the clearest retrieval result: Pangong Tso ranks well above the second-ranked candidate even though location is not an input to retrieval. The two lakes lie in the same region, however, and the scores alone do not show which environmental characteristics account for the match.</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Second, geographic proximity alone does not determine the ranking. Beas retrieves another large, regulated reservoir, Chilika retrieves inland reservoirs rather than coastal lagoons, and Sasthamcotta retrieves mostly small water bodies in Kerala, so retrieval outcomes depend on the embedding trajectories and on the composition of the candidate collection.</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Third, the index histories distinguish the sites: Tso Morari has the highest NDWI and the lowest NDTI values, whereas Sasthamcotta shows the strongest vegetation-associated signal in the early record.</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Fourth, forecast evidence thins where matched windows end late. At every site, three to five of the ten highest-ranked candidates have windows ending in the 2025 anchor year and cannot contribute, including Pangong Tso for Tso Morari, and the number of contributing analogs falls from five in 2026 to between one (Sasthamcotta) and four (Beas) in 2028.</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Fifth, Table 6 lists the 60 forecast cells (five sites, four indices, three horizons). Four (6.7%) are classified as uncertain, all of them Sasthamcotta's 2028 estimates, which rest on a single analog. Of the remaining cells, 10 are classified as increasing, 3 as decreasing, and 43 as stable; most estimated changes fall within their index- and horizon-specific thresholds, and the 13 directional cells are concentrated in 2026 (6), the Beas 2027 estimates (3), and the Tawa 2028 estimates (4).</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b/>
          <w:b/>
          <w:bCs/>
          <w:sz w:val="20"/>
          <w:szCs w:val="20"/>
        </w:rPr>
      </w:pPr>
      <w:r>
        <w:rPr>
          <w:rFonts w:cs="Times New Roman" w:ascii="Times New Roman" w:hAnsi="Times New Roman"/>
          <w:b/>
          <w:bCs/>
          <w:sz w:val="20"/>
          <w:szCs w:val="20"/>
        </w:rPr>
        <w:t>6. Discussion</w:t>
      </w:r>
    </w:p>
    <w:p>
      <w:pPr>
        <w:pStyle w:val="Normal"/>
        <w:spacing w:lineRule="auto" w:line="360" w:before="0" w:after="0"/>
        <w:jc w:val="both"/>
        <w:rPr>
          <w:rFonts w:ascii="Times New Roman" w:hAnsi="Times New Roman" w:cs="Times New Roman"/>
          <w:b/>
          <w:b/>
          <w:bCs/>
          <w:sz w:val="20"/>
          <w:szCs w:val="20"/>
        </w:rPr>
      </w:pPr>
      <w:r>
        <w:rPr>
          <w:rFonts w:cs="Times New Roman" w:ascii="Times New Roman" w:hAnsi="Times New Roman"/>
          <w:b/>
          <w:bCs/>
          <w:sz w:val="20"/>
          <w:szCs w:val="20"/>
        </w:rPr>
        <w:t>6.1 Strengths and Limitations</w:t>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EcoTwin's main methodological feature is the comparison of multi-year embedding sequences rather than isolated annual representations, which allowed it to retrieve closely matching lakes without location information (Section 5.4). Its forecasts transfer observed index changes from eligible analogs rather than decoding future embeddings; every estimate can be traced to its contributing lakes, matched windows, and weights; and the system abstains, returning an uncertain classification, when fewer than two analogs provide usable changes.</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For retrieval, high embedding similarity does not establish ecological equivalence. Raw cosine scores are compressed near one, with the first- and tenth-ranked candidates differing by only 0.0013 to 0.0168, so rankings rest on very small differences; the rescaled scores are a display device rather than a calibrated similarity measure, and the rankings depend on configuration choices that remain to be tested (Section 6.3).</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The analog approach is promising, but the scale of the current dataset limits its ability to predict. With only ten annual observations per lake, fewer in the cloud-affected early years, a five-year window leaves at most six candidate windows per lake, and only windows that end early enough to be followed by later observations can contribute. This is why many top-ranked candidates were unusable and why evidence thins at later horizons (Section 5.4). The abstention rule exposes this limitation but does not measure accuracy, and more contributing analogs need not mean a better forecast, since analogs may differ in relevance.</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Documentary comparisons provide context rather than validation. Published accounts of weed expansion at Chilika and of environmental pressures at Sasthamcotta help interpret the spectral changes but do not confirm their magnitude, timing, or causes. Published spectral-index records are scarce and use different sensors, seasons, and spatial definitions: the one reported trend we found, increasing NDTI in Chilika between 2019 and 2021 (Das et al., 2024), appears only weakly in our series (−0.110 to −0.105), and we found no comparable series for Beas, Tawa, or Sasthamcotta.</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6.2 Assumptions and Scope of Applicability</w:t>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EcoTwin relies on several assumptions that define the scope of its outputs. First, the 829 lakes and their HydroLAKES-derived boundaries form a cohort for evaluating the workflow, not a statistically representative sample of Indian lakes, and five consecutive annual Prithvi-EO embeddings are assumed to capture the spectral-temporal characteristics relevant for comparing lakes; whether they do remains an empirical question.</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Second, the forecasting method assumes that lakes with similar historical embedding trajectories can provide useful evidence about subsequent changes in a target lake. It transfers observed index changes across lakes despite differences in climate, catchment characteristics, water management, and other local conditions. These differences may limit how well an analog's subsequent trajectory applies to the target. The assumption is therefore a basis for testing analog forecasting, not a guarantee that similar historical representations will lead to similar future changes. The three-year forecast horizon is a practical design choice given the available temporal coverage, rather than an empirically established limit of the method.</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Third, NDVI, NDWI, NDCI, and NDTI are treated as spectral indicators rather than direct measurements of vegetation cover, chlorophyll-a concentration, water quality, or suspended-sediment concentration. Their interpretation depends on the spectral composition of the observed pixels, including possible contributions from shoreline vegetation and mixed land-water pixels. Consistent preprocessing and band selection are also necessary because changes in the index calculation can alter the resulting trajectories and forecast classifications.</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Finally, similarity scores, analog counts, and directional classes describe how retrieval and forecasts were constructed; they are not probabilities of forecast accuracy.</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6.3 Future Work</w:t>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 xml:space="preserve">The immediate priority, and the only way to establish forecast performance, is to implement the hindcasting protocol using temporally withheld observations and multiple forecast cutoffs where the available record permits. At each cutoff, both analog selection and forecast construction must use only information available at that time; in particular, an analog's change at horizon </w:t>
      </w:r>
      <w:r>
        <w:rPr/>
      </w:r>
      <m:oMath xmlns:m="http://schemas.openxmlformats.org/officeDocument/2006/math">
        <m:r>
          <w:rPr>
            <w:rFonts w:ascii="Cambria Math" w:hAnsi="Cambria Math"/>
          </w:rPr>
          <m:t xml:space="preserve">h</m:t>
        </m:r>
      </m:oMath>
      <w:r>
        <w:rPr>
          <w:rFonts w:cs="Times New Roman" w:ascii="Times New Roman" w:hAnsi="Times New Roman"/>
          <w:sz w:val="20"/>
          <w:szCs w:val="20"/>
        </w:rPr>
        <w:t xml:space="preserve"> may be used only if its matched window ends at least </w:t>
      </w:r>
      <w:r>
        <w:rPr/>
      </w:r>
      <m:oMath xmlns:m="http://schemas.openxmlformats.org/officeDocument/2006/math">
        <m:r>
          <w:rPr>
            <w:rFonts w:ascii="Cambria Math" w:hAnsi="Cambria Math"/>
          </w:rPr>
          <m:t xml:space="preserve">h</m:t>
        </m:r>
      </m:oMath>
      <w:r>
        <w:rPr>
          <w:rFonts w:cs="Times New Roman" w:ascii="Times New Roman" w:hAnsi="Times New Roman"/>
          <w:sz w:val="20"/>
          <w:szCs w:val="20"/>
        </w:rPr>
        <w:t xml:space="preserve"> years before the cutoff. With the current record, this permits one- and two-year hindcasts but no three-year hindcast. Evaluation should report errors in estimated changes, directional hit rates, the number of evaluable cases, and performance by forecast horizon and index. Comparisons with simple baselines would help establish whether trajectory-based analog retrieval provides useful predictive information beyond straightforward alternatives. The hindcasts can also be used to calibrate the lake weight, the number of analogs, and the rank weights. Extending the record beyond 2025 and the cohort beyond 829 lakes would add evaluation cutoffs and eligible analogs, but any gain in accuracy must be demonstrated rather than assumed.</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Independent field measurements, water-quality observations, and documented ecological changes are also needed to assess how well the spectral indicators correspond to environmental conditions. Where possible, validation should distinguish open-water pixels from shoreline and mixed pixels, particularly for lakes where boundary-cell composition may affect the indices. Such analysis would help determine whether observed spectral changes reflect in-lake conditions, shoreline variation, or a combination of factors.</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Several computational and methodological extensions could improve scalability and retrieval quality. The current exhaustive search provides an exact baseline against which approximate nearest-neighbour (ANN) retrieval can be assessed. Evaluating pgvector's native ANN operators could reduce search time as the cohort expands, provided that retrieval agreement and downstream forecast effects are measured against the exhaustive results. The displayed similarity scale could also be calibrated using labelled pairs of lakes with independently assessed environmental similarity, and subtracting the cohort mean embedding before computing cosine similarity may spread the compressed scores. Further experiments could compare the lake-and-shoreline token pooling with alternative pooling strategies, including learned weighting, and assess the effects of different shoreline widths, lake weights, trajectory lengths, input bands, and similarity measures. These extensions should be evaluated against the current configuration to distinguish genuine improvements from changes caused by different processing choices. More robust shared production infrastructure could also improve job recovery, maintenance, and access as the system grows.</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b/>
          <w:b/>
          <w:bCs/>
          <w:sz w:val="20"/>
          <w:szCs w:val="20"/>
        </w:rPr>
      </w:pPr>
      <w:r>
        <w:rPr>
          <w:rFonts w:cs="Times New Roman" w:ascii="Times New Roman" w:hAnsi="Times New Roman"/>
          <w:b/>
          <w:bCs/>
          <w:sz w:val="20"/>
          <w:szCs w:val="20"/>
        </w:rPr>
        <w:t>7. Conclusion</w:t>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EcoTwin treats historically observed lakes as retrievable analogs rather than forecasting each lake in isolation. It integrates HydroLAKES and Sentinel-2 processing, Prithvi-EO embeddings of each lake and its shoreline, five-year trajectory retrieval, and the transfer of observed index changes within an auditable workflow, implemented for 829 Indian lakes over 2016–2025.</w:t>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Applied to five Ramsar sites, retrieval paired Tso Morari with Pangong Tso without using location, Chilika's projected vegetation-associated changes were set against its documented history of aquatic weed expansion as context rather than validation, and 4 of 60 forecast cells (6.7%) were classified as uncertain because too few analogs had usable observations.</w:t>
      </w:r>
    </w:p>
    <w:p>
      <w:pPr>
        <w:pStyle w:val="Normal"/>
        <w:spacing w:lineRule="auto" w:line="24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These results demonstrate the feasibility of the workflow, not its predictive accuracy. Temporal hindcasting and independent ecological validation are the next steps needed to establish forecast performance and the conditions under which analog-based transfer is reliable.</w:t>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r>
    </w:p>
    <w:p>
      <w:pPr>
        <w:pStyle w:val="Normal"/>
        <w:spacing w:lineRule="auto" w:line="360" w:before="0" w:after="0"/>
        <w:jc w:val="both"/>
        <w:rPr>
          <w:rFonts w:ascii="Times New Roman" w:hAnsi="Times New Roman" w:cs="Times New Roman"/>
          <w:b/>
          <w:b/>
          <w:bCs/>
          <w:sz w:val="20"/>
          <w:szCs w:val="20"/>
        </w:rPr>
      </w:pPr>
      <w:r>
        <w:rPr>
          <w:rFonts w:cs="Times New Roman" w:ascii="Times New Roman" w:hAnsi="Times New Roman"/>
          <w:b/>
          <w:bCs/>
          <w:sz w:val="20"/>
          <w:szCs w:val="20"/>
        </w:rPr>
        <w:t>Acknowledgements</w:t>
      </w:r>
    </w:p>
    <w:p>
      <w:pPr>
        <w:pStyle w:val="TextBody"/>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t>We thank the European Space Agency and the Copernicus Programme of the European Union for Sentinel-2 imagery (this work contains modified Copernicus Sentinel data, 2016–2025), and Google for access to the Google Earth Engine platform, through which the imagery was filtered, composited, and exported. Lake boundaries and attributes were taken from the HydroLAKES v1.0 polygon dataset of the HydroSHEDS project (Messager et al., 2016), which provided the inventory of 11,130 Indian lakes from which the 829-lake cohort was drawn. State and union-territory boundaries, used to assign each lake to an Indian state, were taken from the geoBoundaries ADM1 dataset for India (Runfola et al., 2020). Shoreline dynamics were assessed with the Global Surface Water dataset of the European Commission Joint Research Centre. We thank NASA and IBM for openly releasing the Prithvi-EO foundation model, and the Ramsar Convention Secretariat, the Central Water Commission, and the Chilika Development Authority for publicly available site documentation. Data processing and model inference were carried out on computing facilities of the Lab of Spatial Informatics, International Institute of Information Technology Hyderabad.</w:t>
      </w:r>
    </w:p>
    <w:p>
      <w:pPr>
        <w:pStyle w:val="Normal"/>
        <w:spacing w:lineRule="auto" w:line="360" w:before="0" w:after="0"/>
        <w:jc w:val="both"/>
        <w:rPr>
          <w:rFonts w:ascii="Times New Roman" w:hAnsi="Times New Roman" w:cs="Times New Roman"/>
          <w:sz w:val="20"/>
          <w:szCs w:val="20"/>
        </w:rPr>
      </w:pPr>
      <w:r>
        <w:rPr>
          <w:rFonts w:cs="Times New Roman" w:ascii="Times New Roman" w:hAnsi="Times New Roman"/>
          <w:sz w:val="20"/>
          <w:szCs w:val="20"/>
        </w:rPr>
      </w:r>
    </w:p>
    <w:p>
      <w:pPr>
        <w:pStyle w:val="APAH1"/>
        <w:spacing w:lineRule="auto" w:line="360"/>
        <w:jc w:val="left"/>
        <w:rPr>
          <w:rFonts w:cs="Times New Roman"/>
          <w:sz w:val="20"/>
          <w:szCs w:val="20"/>
        </w:rPr>
      </w:pPr>
      <w:r>
        <w:rPr>
          <w:rFonts w:cs="Times New Roman"/>
          <w:bCs/>
          <w:sz w:val="20"/>
          <w:szCs w:val="20"/>
        </w:rPr>
        <w:t>References</w:t>
      </w:r>
    </w:p>
    <w:p>
      <w:pPr>
        <w:pStyle w:val="APABodyNoIndent"/>
        <w:spacing w:lineRule="auto" w:line="360"/>
        <w:ind w:left="720" w:hanging="720"/>
        <w:rPr>
          <w:rFonts w:cs="Times New Roman"/>
          <w:sz w:val="20"/>
          <w:szCs w:val="20"/>
        </w:rPr>
      </w:pPr>
      <w:r>
        <w:rPr>
          <w:rFonts w:cs="Times New Roman"/>
          <w:sz w:val="20"/>
          <w:szCs w:val="20"/>
        </w:rPr>
        <w:t xml:space="preserve">Central Water Commission. (2019a, September 9). </w:t>
      </w:r>
      <w:r>
        <w:rPr>
          <w:rFonts w:cs="Times New Roman"/>
          <w:i/>
          <w:iCs/>
          <w:sz w:val="20"/>
          <w:szCs w:val="20"/>
        </w:rPr>
        <w:t>Daily flood situation report cum advisories</w:t>
      </w:r>
      <w:r>
        <w:rPr>
          <w:rFonts w:cs="Times New Roman"/>
          <w:sz w:val="20"/>
          <w:szCs w:val="20"/>
        </w:rPr>
        <w:t>. Government of India. https://cwc.gov.in/sites/default/files/dfsrca09092019.pdf</w:t>
      </w:r>
    </w:p>
    <w:p>
      <w:pPr>
        <w:pStyle w:val="APABodyNoIndent"/>
        <w:spacing w:lineRule="auto" w:line="360"/>
        <w:ind w:left="720" w:hanging="720"/>
        <w:rPr>
          <w:rFonts w:cs="Times New Roman"/>
          <w:sz w:val="20"/>
          <w:szCs w:val="20"/>
        </w:rPr>
      </w:pPr>
      <w:r>
        <w:rPr>
          <w:rFonts w:cs="Times New Roman"/>
          <w:sz w:val="20"/>
          <w:szCs w:val="20"/>
        </w:rPr>
        <w:t xml:space="preserve">Central Water Commission. (2019b, September 11). </w:t>
      </w:r>
      <w:r>
        <w:rPr>
          <w:rFonts w:cs="Times New Roman"/>
          <w:i/>
          <w:iCs/>
          <w:sz w:val="20"/>
          <w:szCs w:val="20"/>
        </w:rPr>
        <w:t>Daily flood situation report cum advisories</w:t>
      </w:r>
      <w:r>
        <w:rPr>
          <w:rFonts w:cs="Times New Roman"/>
          <w:sz w:val="20"/>
          <w:szCs w:val="20"/>
        </w:rPr>
        <w:t>. Government of India. https://cwc.gov.in/sites/default/files/dfsrca11092019.pdf</w:t>
      </w:r>
    </w:p>
    <w:p>
      <w:pPr>
        <w:pStyle w:val="APABodyNoIndent"/>
        <w:spacing w:lineRule="auto" w:line="360"/>
        <w:ind w:left="720" w:hanging="720"/>
        <w:rPr>
          <w:rFonts w:cs="Times New Roman"/>
          <w:sz w:val="20"/>
          <w:szCs w:val="20"/>
        </w:rPr>
      </w:pPr>
      <w:r>
        <w:rPr>
          <w:rFonts w:cs="Times New Roman"/>
          <w:sz w:val="20"/>
          <w:szCs w:val="20"/>
        </w:rPr>
        <w:t xml:space="preserve">Chilika Development Authority. (n.d.). </w:t>
      </w:r>
      <w:r>
        <w:rPr>
          <w:rFonts w:cs="Times New Roman"/>
          <w:i/>
          <w:iCs/>
          <w:sz w:val="20"/>
          <w:szCs w:val="20"/>
        </w:rPr>
        <w:t>Visit Chilika</w:t>
      </w:r>
      <w:r>
        <w:rPr>
          <w:rFonts w:cs="Times New Roman"/>
          <w:sz w:val="20"/>
          <w:szCs w:val="20"/>
        </w:rPr>
        <w:t xml:space="preserve">. Government of Odisha. </w:t>
      </w:r>
      <w:hyperlink r:id="rId2">
        <w:r>
          <w:rPr>
            <w:rFonts w:cs="Times New Roman"/>
            <w:sz w:val="20"/>
            <w:szCs w:val="20"/>
          </w:rPr>
          <w:t>https://www.chilika.com/visit-chilika.php</w:t>
        </w:r>
      </w:hyperlink>
    </w:p>
    <w:p>
      <w:pPr>
        <w:pStyle w:val="APABodyNoIndent"/>
        <w:spacing w:lineRule="auto" w:line="360"/>
        <w:ind w:left="720" w:hanging="720"/>
        <w:rPr>
          <w:rFonts w:cs="Times New Roman"/>
          <w:sz w:val="20"/>
          <w:szCs w:val="20"/>
        </w:rPr>
      </w:pPr>
      <w:r>
        <w:rPr>
          <w:rFonts w:cs="Times New Roman"/>
          <w:sz w:val="20"/>
          <w:szCs w:val="20"/>
        </w:rPr>
        <w:t xml:space="preserve">Das, S., Nandi, D., Thakur, R. R., Bera, D. K., Behera, D., Đurin, B., &amp; Cetl, V. (2024). A novel approach for ex situ water quality monitoring using the Google Earth Engine and spectral indices in Chilika Lake, Odisha, India. </w:t>
      </w:r>
      <w:r>
        <w:rPr>
          <w:rFonts w:cs="Times New Roman"/>
          <w:i/>
          <w:iCs/>
          <w:sz w:val="20"/>
          <w:szCs w:val="20"/>
        </w:rPr>
        <w:t>ISPRS International Journal of Geo-Information, 13</w:t>
      </w:r>
      <w:r>
        <w:rPr>
          <w:rFonts w:cs="Times New Roman"/>
          <w:sz w:val="20"/>
          <w:szCs w:val="20"/>
        </w:rPr>
        <w:t>(11), Article 381. https://doi.org/10.3390/ijgi13110381</w:t>
      </w:r>
    </w:p>
    <w:p>
      <w:pPr>
        <w:pStyle w:val="APABodyNoIndent"/>
        <w:spacing w:lineRule="auto" w:line="360"/>
        <w:ind w:left="720" w:hanging="720"/>
        <w:rPr>
          <w:rFonts w:cs="Times New Roman"/>
          <w:sz w:val="20"/>
          <w:szCs w:val="20"/>
        </w:rPr>
      </w:pPr>
      <w:r>
        <w:rPr>
          <w:rFonts w:cs="Times New Roman"/>
          <w:sz w:val="20"/>
          <w:szCs w:val="20"/>
        </w:rPr>
        <w:t xml:space="preserve">Divya Raj, S., &amp; Mophin Kani, K. (2018). Water quality assessment of Sasthamcotta Lake, Kollam, Kerala. </w:t>
      </w:r>
      <w:r>
        <w:rPr>
          <w:rFonts w:cs="Times New Roman"/>
          <w:i/>
          <w:iCs/>
          <w:sz w:val="20"/>
          <w:szCs w:val="20"/>
        </w:rPr>
        <w:t>International Journal of Engineering and Advanced Technology, 7</w:t>
      </w:r>
      <w:r>
        <w:rPr>
          <w:rFonts w:cs="Times New Roman"/>
          <w:sz w:val="20"/>
          <w:szCs w:val="20"/>
        </w:rPr>
        <w:t xml:space="preserve">(3), 119–129. </w:t>
      </w:r>
      <w:hyperlink r:id="rId3">
        <w:r>
          <w:rPr>
            <w:rFonts w:cs="Times New Roman"/>
            <w:sz w:val="20"/>
            <w:szCs w:val="20"/>
          </w:rPr>
          <w:t>https://www.ijeat.org/wp-content/uploads/papers/v7i3/C5315027318.pdf</w:t>
        </w:r>
      </w:hyperlink>
    </w:p>
    <w:p>
      <w:pPr>
        <w:pStyle w:val="APABodyNoIndent"/>
        <w:spacing w:lineRule="auto" w:line="360"/>
        <w:ind w:left="720" w:hanging="720"/>
        <w:rPr>
          <w:rFonts w:cs="Times New Roman"/>
          <w:sz w:val="20"/>
          <w:szCs w:val="20"/>
        </w:rPr>
      </w:pPr>
      <w:r>
        <w:rPr>
          <w:rFonts w:cs="Times New Roman"/>
          <w:sz w:val="20"/>
          <w:szCs w:val="20"/>
        </w:rPr>
        <w:t xml:space="preserve">European Space Agency. (n.d.). </w:t>
      </w:r>
      <w:r>
        <w:rPr>
          <w:rFonts w:cs="Times New Roman"/>
          <w:i/>
          <w:iCs/>
          <w:sz w:val="20"/>
          <w:szCs w:val="20"/>
        </w:rPr>
        <w:t>Sentinel-2 mission</w:t>
      </w:r>
      <w:r>
        <w:rPr>
          <w:rFonts w:cs="Times New Roman"/>
          <w:sz w:val="20"/>
          <w:szCs w:val="20"/>
        </w:rPr>
        <w:t xml:space="preserve">. Copernicus SentiWiki. </w:t>
      </w:r>
      <w:hyperlink r:id="rId4">
        <w:r>
          <w:rPr>
            <w:rFonts w:cs="Times New Roman"/>
            <w:sz w:val="20"/>
            <w:szCs w:val="20"/>
          </w:rPr>
          <w:t>https://sentiwiki.copernicus.eu/web/s2-mission</w:t>
        </w:r>
      </w:hyperlink>
    </w:p>
    <w:p>
      <w:pPr>
        <w:pStyle w:val="APABodyNoIndent"/>
        <w:spacing w:lineRule="auto" w:line="360"/>
        <w:ind w:left="720" w:hanging="720"/>
        <w:rPr>
          <w:rFonts w:cs="Times New Roman"/>
          <w:sz w:val="20"/>
          <w:szCs w:val="20"/>
        </w:rPr>
      </w:pPr>
      <w:r>
        <w:rPr>
          <w:rFonts w:cs="Times New Roman"/>
          <w:sz w:val="20"/>
          <w:szCs w:val="20"/>
        </w:rPr>
        <w:t xml:space="preserve">Gorelick, N., Hancher, M., Dixon, M., Ilyushchenko, S., Thau, D., &amp; Moore, R. (2017). Google Earth Engine: Planetary-scale geospatial analysis for everyone. </w:t>
      </w:r>
      <w:r>
        <w:rPr>
          <w:rFonts w:cs="Times New Roman"/>
          <w:i/>
          <w:iCs/>
          <w:sz w:val="20"/>
          <w:szCs w:val="20"/>
        </w:rPr>
        <w:t>Remote Sensing of Environment, 202</w:t>
      </w:r>
      <w:r>
        <w:rPr>
          <w:rFonts w:cs="Times New Roman"/>
          <w:sz w:val="20"/>
          <w:szCs w:val="20"/>
        </w:rPr>
        <w:t xml:space="preserve">, 18–27. </w:t>
      </w:r>
      <w:hyperlink r:id="rId5">
        <w:r>
          <w:rPr>
            <w:rFonts w:cs="Times New Roman"/>
            <w:sz w:val="20"/>
            <w:szCs w:val="20"/>
          </w:rPr>
          <w:t>https://doi.org/10.1016/j.rse.2017.06.031</w:t>
        </w:r>
      </w:hyperlink>
    </w:p>
    <w:p>
      <w:pPr>
        <w:pStyle w:val="APABodyNoIndent"/>
        <w:spacing w:lineRule="auto" w:line="360"/>
        <w:ind w:left="720" w:hanging="720"/>
        <w:rPr>
          <w:rFonts w:cs="Times New Roman"/>
          <w:sz w:val="20"/>
          <w:szCs w:val="20"/>
        </w:rPr>
      </w:pPr>
      <w:r>
        <w:rPr>
          <w:rFonts w:cs="Times New Roman"/>
          <w:sz w:val="20"/>
          <w:szCs w:val="20"/>
        </w:rPr>
        <w:t xml:space="preserve">Green, K. C., &amp; Armstrong, J. S. (2007). Structured analogies for forecasting. </w:t>
      </w:r>
      <w:r>
        <w:rPr>
          <w:rFonts w:cs="Times New Roman"/>
          <w:i/>
          <w:iCs/>
          <w:sz w:val="20"/>
          <w:szCs w:val="20"/>
        </w:rPr>
        <w:t>International Journal of Forecasting, 23</w:t>
      </w:r>
      <w:r>
        <w:rPr>
          <w:rFonts w:cs="Times New Roman"/>
          <w:sz w:val="20"/>
          <w:szCs w:val="20"/>
        </w:rPr>
        <w:t xml:space="preserve">(3), 365–376. </w:t>
      </w:r>
      <w:hyperlink r:id="rId6">
        <w:r>
          <w:rPr>
            <w:rFonts w:cs="Times New Roman"/>
            <w:sz w:val="20"/>
            <w:szCs w:val="20"/>
          </w:rPr>
          <w:t>https://doi.org/10.1016/j.ijforecast.2007.05.005</w:t>
        </w:r>
      </w:hyperlink>
    </w:p>
    <w:p>
      <w:pPr>
        <w:pStyle w:val="APABodyNoIndent"/>
        <w:spacing w:lineRule="auto" w:line="360"/>
        <w:ind w:left="720" w:hanging="720"/>
        <w:rPr>
          <w:rFonts w:cs="Times New Roman"/>
          <w:sz w:val="20"/>
          <w:szCs w:val="20"/>
        </w:rPr>
      </w:pPr>
      <w:r>
        <w:rPr>
          <w:rFonts w:cs="Times New Roman"/>
          <w:sz w:val="20"/>
          <w:szCs w:val="20"/>
        </w:rPr>
        <w:t xml:space="preserve">Hsu, C.-Y., Li, W., &amp; Wang, S. (2024). Geospatial foundation models for image analysis: Evaluating and enhancing NASA-IBM Prithvi's domain adaptability. </w:t>
      </w:r>
      <w:r>
        <w:rPr>
          <w:rFonts w:cs="Times New Roman"/>
          <w:i/>
          <w:iCs/>
          <w:sz w:val="20"/>
          <w:szCs w:val="20"/>
        </w:rPr>
        <w:t>arXiv</w:t>
      </w:r>
      <w:r>
        <w:rPr>
          <w:rFonts w:cs="Times New Roman"/>
          <w:sz w:val="20"/>
          <w:szCs w:val="20"/>
        </w:rPr>
        <w:t xml:space="preserve">. </w:t>
      </w:r>
      <w:hyperlink r:id="rId7">
        <w:r>
          <w:rPr>
            <w:rFonts w:cs="Times New Roman"/>
            <w:sz w:val="20"/>
            <w:szCs w:val="20"/>
          </w:rPr>
          <w:t>https://doi.org/10.48550/arXiv.2409.00489</w:t>
        </w:r>
      </w:hyperlink>
    </w:p>
    <w:p>
      <w:pPr>
        <w:pStyle w:val="APABodyNoIndent"/>
        <w:spacing w:lineRule="auto" w:line="360"/>
        <w:ind w:left="720" w:hanging="720"/>
        <w:rPr>
          <w:rFonts w:cs="Times New Roman"/>
          <w:sz w:val="20"/>
          <w:szCs w:val="20"/>
        </w:rPr>
      </w:pPr>
      <w:r>
        <w:rPr>
          <w:rFonts w:cs="Times New Roman"/>
          <w:sz w:val="20"/>
          <w:szCs w:val="20"/>
        </w:rPr>
        <w:t xml:space="preserve">Huete, A., Didan, K., Miura, T., Rodriguez, E. P., Gao, X., &amp; Ferreira, L. G. (2002). Overview of the radiometric and biophysical performance of the MODIS vegetation indices. </w:t>
      </w:r>
      <w:r>
        <w:rPr>
          <w:rFonts w:cs="Times New Roman"/>
          <w:i/>
          <w:iCs/>
          <w:sz w:val="20"/>
          <w:szCs w:val="20"/>
        </w:rPr>
        <w:t>Remote Sensing of Environment, 83</w:t>
      </w:r>
      <w:r>
        <w:rPr>
          <w:rFonts w:cs="Times New Roman"/>
          <w:sz w:val="20"/>
          <w:szCs w:val="20"/>
        </w:rPr>
        <w:t xml:space="preserve">(1–2), 195–213. </w:t>
      </w:r>
      <w:hyperlink r:id="rId8">
        <w:r>
          <w:rPr>
            <w:rFonts w:cs="Times New Roman"/>
            <w:sz w:val="20"/>
            <w:szCs w:val="20"/>
          </w:rPr>
          <w:t>https://doi.org/10.1016/S0034-4257(02)00096-2</w:t>
        </w:r>
      </w:hyperlink>
    </w:p>
    <w:p>
      <w:pPr>
        <w:pStyle w:val="APABodyNoIndent"/>
        <w:spacing w:lineRule="auto" w:line="360"/>
        <w:ind w:left="720" w:hanging="720"/>
        <w:rPr>
          <w:rFonts w:cs="Times New Roman"/>
          <w:sz w:val="20"/>
          <w:szCs w:val="20"/>
        </w:rPr>
      </w:pPr>
      <w:r>
        <w:rPr>
          <w:rFonts w:cs="Times New Roman"/>
          <w:sz w:val="20"/>
          <w:szCs w:val="20"/>
        </w:rPr>
        <w:t xml:space="preserve">Hugonnet, R., McNabb, R., Berthier, E., Menounos, B., Nuth, C., Girod, L., Farinotti, D., Huss, M., Dussaillant, I., Brun, F., &amp; Kääb, A. (2021). Accelerated global glacier mass loss in the early twenty-first century. </w:t>
      </w:r>
      <w:r>
        <w:rPr>
          <w:rFonts w:cs="Times New Roman"/>
          <w:i/>
          <w:iCs/>
          <w:sz w:val="20"/>
          <w:szCs w:val="20"/>
        </w:rPr>
        <w:t>Nature, 592</w:t>
      </w:r>
      <w:r>
        <w:rPr>
          <w:rFonts w:cs="Times New Roman"/>
          <w:sz w:val="20"/>
          <w:szCs w:val="20"/>
        </w:rPr>
        <w:t xml:space="preserve">(7856), 726–731. </w:t>
      </w:r>
      <w:hyperlink r:id="rId9">
        <w:r>
          <w:rPr>
            <w:rFonts w:cs="Times New Roman"/>
            <w:sz w:val="20"/>
            <w:szCs w:val="20"/>
          </w:rPr>
          <w:t>https://doi.org/10.1038/s41586-021-03436-z</w:t>
        </w:r>
      </w:hyperlink>
    </w:p>
    <w:p>
      <w:pPr>
        <w:pStyle w:val="APABodyNoIndent"/>
        <w:spacing w:lineRule="auto" w:line="360"/>
        <w:ind w:left="720" w:hanging="720"/>
        <w:rPr>
          <w:rFonts w:cs="Times New Roman"/>
          <w:sz w:val="20"/>
          <w:szCs w:val="20"/>
        </w:rPr>
      </w:pPr>
      <w:r>
        <w:rPr>
          <w:rFonts w:cs="Times New Roman"/>
          <w:sz w:val="20"/>
          <w:szCs w:val="20"/>
        </w:rPr>
        <w:t xml:space="preserve">Kumar, R., Pattnaik, A., &amp; Patnaik, P. (2011). </w:t>
      </w:r>
      <w:r>
        <w:rPr>
          <w:rFonts w:cs="Times New Roman"/>
          <w:i/>
          <w:iCs/>
          <w:sz w:val="20"/>
          <w:szCs w:val="20"/>
        </w:rPr>
        <w:t>Management of Phragmites karka invasion in Chilika Lake, Orissa</w:t>
      </w:r>
      <w:r>
        <w:rPr>
          <w:rFonts w:cs="Times New Roman"/>
          <w:sz w:val="20"/>
          <w:szCs w:val="20"/>
        </w:rPr>
        <w:t xml:space="preserve"> [Background paper for consultation workshop, 17–18 January 2011, Bhubaneswar]. Chilika Development Authority; Wetlands International – South Asia. </w:t>
      </w:r>
      <w:hyperlink r:id="rId10">
        <w:r>
          <w:rPr>
            <w:rFonts w:cs="Times New Roman"/>
            <w:sz w:val="20"/>
            <w:szCs w:val="20"/>
          </w:rPr>
          <w:t>https://www.chilika.com/pdf/Macrophytes%20Workshop%2017-18%20Jan%202011%20Background%20Paper.pdf</w:t>
        </w:r>
      </w:hyperlink>
    </w:p>
    <w:p>
      <w:pPr>
        <w:pStyle w:val="APABodyNoIndent"/>
        <w:spacing w:lineRule="auto" w:line="360"/>
        <w:ind w:left="720" w:hanging="720"/>
        <w:rPr>
          <w:rFonts w:cs="Times New Roman"/>
          <w:sz w:val="20"/>
          <w:szCs w:val="20"/>
        </w:rPr>
      </w:pPr>
      <w:r>
        <w:rPr>
          <w:rFonts w:cs="Times New Roman"/>
          <w:sz w:val="20"/>
          <w:szCs w:val="20"/>
        </w:rPr>
        <w:t xml:space="preserve">Lacaux, J.-P., Tourre, Y. M., Vignolles, C., Ndione, J.-A., &amp; Lafaye, M. (2007). Classification of ponds from high-spatial resolution remote sensing: Application to Rift Valley Fever epidemics in Senegal. </w:t>
      </w:r>
      <w:r>
        <w:rPr>
          <w:rFonts w:cs="Times New Roman"/>
          <w:i/>
          <w:iCs/>
          <w:sz w:val="20"/>
          <w:szCs w:val="20"/>
        </w:rPr>
        <w:t>Remote Sensing of Environment, 106</w:t>
      </w:r>
      <w:r>
        <w:rPr>
          <w:rFonts w:cs="Times New Roman"/>
          <w:sz w:val="20"/>
          <w:szCs w:val="20"/>
        </w:rPr>
        <w:t xml:space="preserve">(1), 66–74. </w:t>
      </w:r>
      <w:hyperlink r:id="rId11">
        <w:r>
          <w:rPr>
            <w:rFonts w:cs="Times New Roman"/>
            <w:sz w:val="20"/>
            <w:szCs w:val="20"/>
          </w:rPr>
          <w:t>https://doi.org/10.1016/j.rse.2006.07.012</w:t>
        </w:r>
      </w:hyperlink>
    </w:p>
    <w:p>
      <w:pPr>
        <w:pStyle w:val="APABodyNoIndent"/>
        <w:spacing w:lineRule="auto" w:line="360"/>
        <w:ind w:left="720" w:hanging="720"/>
        <w:rPr>
          <w:rFonts w:cs="Times New Roman"/>
          <w:sz w:val="20"/>
          <w:szCs w:val="20"/>
        </w:rPr>
      </w:pPr>
      <w:r>
        <w:rPr>
          <w:rFonts w:cs="Times New Roman"/>
          <w:sz w:val="20"/>
          <w:szCs w:val="20"/>
        </w:rPr>
        <w:t xml:space="preserve">Lorenz, E. N. (1969). Atmospheric predictability as revealed by naturally occurring analogues. </w:t>
      </w:r>
      <w:r>
        <w:rPr>
          <w:rFonts w:cs="Times New Roman"/>
          <w:i/>
          <w:iCs/>
          <w:sz w:val="20"/>
          <w:szCs w:val="20"/>
        </w:rPr>
        <w:t>Journal of the Atmospheric Sciences, 26</w:t>
      </w:r>
      <w:r>
        <w:rPr>
          <w:rFonts w:cs="Times New Roman"/>
          <w:sz w:val="20"/>
          <w:szCs w:val="20"/>
        </w:rPr>
        <w:t xml:space="preserve">(4), 636–646. </w:t>
      </w:r>
      <w:hyperlink r:id="rId12">
        <w:r>
          <w:rPr>
            <w:rFonts w:cs="Times New Roman"/>
            <w:sz w:val="20"/>
            <w:szCs w:val="20"/>
          </w:rPr>
          <w:t>https://doi.org/10.1175/1520-0469(1969)26&lt;636:APARBN&gt;2.0.CO;2</w:t>
        </w:r>
      </w:hyperlink>
    </w:p>
    <w:p>
      <w:pPr>
        <w:pStyle w:val="APABodyNoIndent"/>
        <w:spacing w:lineRule="auto" w:line="360"/>
        <w:ind w:left="720" w:hanging="720"/>
        <w:rPr>
          <w:rFonts w:cs="Times New Roman"/>
          <w:sz w:val="20"/>
          <w:szCs w:val="20"/>
        </w:rPr>
      </w:pPr>
      <w:r>
        <w:rPr>
          <w:rFonts w:cs="Times New Roman"/>
          <w:sz w:val="20"/>
          <w:szCs w:val="20"/>
        </w:rPr>
        <w:t xml:space="preserve">McFeeters, S. K. (1996). The use of the Normalized Difference Water Index (NDWI) in the delineation of open water features. </w:t>
      </w:r>
      <w:r>
        <w:rPr>
          <w:rFonts w:cs="Times New Roman"/>
          <w:i/>
          <w:iCs/>
          <w:sz w:val="20"/>
          <w:szCs w:val="20"/>
        </w:rPr>
        <w:t>International Journal of Remote Sensing, 17</w:t>
      </w:r>
      <w:r>
        <w:rPr>
          <w:rFonts w:cs="Times New Roman"/>
          <w:sz w:val="20"/>
          <w:szCs w:val="20"/>
        </w:rPr>
        <w:t xml:space="preserve">(7), 1425–1432. </w:t>
      </w:r>
      <w:hyperlink r:id="rId13">
        <w:r>
          <w:rPr>
            <w:rFonts w:cs="Times New Roman"/>
            <w:sz w:val="20"/>
            <w:szCs w:val="20"/>
          </w:rPr>
          <w:t>https://doi.org/10.1080/01431169608948714</w:t>
        </w:r>
      </w:hyperlink>
    </w:p>
    <w:p>
      <w:pPr>
        <w:pStyle w:val="APABodyNoIndent"/>
        <w:spacing w:lineRule="auto" w:line="360"/>
        <w:ind w:left="720" w:hanging="720"/>
        <w:rPr>
          <w:rFonts w:cs="Times New Roman"/>
          <w:sz w:val="20"/>
          <w:szCs w:val="20"/>
        </w:rPr>
      </w:pPr>
      <w:r>
        <w:rPr>
          <w:rFonts w:cs="Times New Roman"/>
          <w:sz w:val="20"/>
          <w:szCs w:val="20"/>
        </w:rPr>
        <w:t xml:space="preserve">Messager, M. L., Lehner, B., Grill, G., Nedeva, I., &amp; Schmitt, O. (2016). Estimating the volume and age of water stored in global lakes using a geo-statistical approach. </w:t>
      </w:r>
      <w:r>
        <w:rPr>
          <w:rFonts w:cs="Times New Roman"/>
          <w:i/>
          <w:iCs/>
          <w:sz w:val="20"/>
          <w:szCs w:val="20"/>
        </w:rPr>
        <w:t>Nature Communications, 7</w:t>
      </w:r>
      <w:r>
        <w:rPr>
          <w:rFonts w:cs="Times New Roman"/>
          <w:sz w:val="20"/>
          <w:szCs w:val="20"/>
        </w:rPr>
        <w:t xml:space="preserve">, Article 13603. </w:t>
      </w:r>
      <w:hyperlink r:id="rId14">
        <w:r>
          <w:rPr>
            <w:rFonts w:cs="Times New Roman"/>
            <w:sz w:val="20"/>
            <w:szCs w:val="20"/>
          </w:rPr>
          <w:t>https://doi.org/10.1038/ncomms13603</w:t>
        </w:r>
      </w:hyperlink>
    </w:p>
    <w:p>
      <w:pPr>
        <w:pStyle w:val="APABodyNoIndent"/>
        <w:spacing w:lineRule="auto" w:line="360"/>
        <w:ind w:left="720" w:hanging="720"/>
        <w:rPr>
          <w:rFonts w:cs="Times New Roman"/>
          <w:sz w:val="20"/>
          <w:szCs w:val="20"/>
        </w:rPr>
      </w:pPr>
      <w:r>
        <w:rPr>
          <w:rFonts w:cs="Times New Roman"/>
          <w:sz w:val="20"/>
          <w:szCs w:val="20"/>
        </w:rPr>
        <w:t xml:space="preserve">Ministry of Environment, Forest and Climate Change. (2024, August 14). </w:t>
      </w:r>
      <w:r>
        <w:rPr>
          <w:rFonts w:cs="Times New Roman"/>
          <w:i/>
          <w:iCs/>
          <w:sz w:val="20"/>
          <w:szCs w:val="20"/>
        </w:rPr>
        <w:t>Union Environment Minister Shri Bhupender Yadav says India adds 3 more wetlands to the list of Ramsar sites on the eve of Independence Day 2024</w:t>
      </w:r>
      <w:r>
        <w:rPr>
          <w:rFonts w:cs="Times New Roman"/>
          <w:sz w:val="20"/>
          <w:szCs w:val="20"/>
        </w:rPr>
        <w:t xml:space="preserve"> [Press release]. Press Information Bureau, Government of India. </w:t>
      </w:r>
      <w:hyperlink r:id="rId15">
        <w:r>
          <w:rPr>
            <w:rFonts w:cs="Times New Roman"/>
            <w:sz w:val="20"/>
            <w:szCs w:val="20"/>
          </w:rPr>
          <w:t>https://pib.gov.in/PressReleasePage.aspx?PRID=2045232</w:t>
        </w:r>
      </w:hyperlink>
    </w:p>
    <w:p>
      <w:pPr>
        <w:pStyle w:val="APABodyNoIndent"/>
        <w:spacing w:lineRule="auto" w:line="360"/>
        <w:ind w:left="720" w:hanging="720"/>
        <w:rPr>
          <w:rFonts w:cs="Times New Roman"/>
          <w:sz w:val="20"/>
          <w:szCs w:val="20"/>
        </w:rPr>
      </w:pPr>
      <w:r>
        <w:rPr>
          <w:rFonts w:cs="Times New Roman"/>
          <w:sz w:val="20"/>
          <w:szCs w:val="20"/>
        </w:rPr>
        <w:t xml:space="preserve">Mishra, P. K., Anoop, A., Jehangir, A., Prasad, S., Menzel, P., Schettler, G., Naumann, R., Weise, S., Andersen, N., Yousuf, A. R., &amp; Gaye, B. (2014). Limnology and modern sedimentation patterns in high altitude Tso Moriri Lake, NW Himalaya – implications for proxy development. </w:t>
      </w:r>
      <w:r>
        <w:rPr>
          <w:rFonts w:cs="Times New Roman"/>
          <w:i/>
          <w:iCs/>
          <w:sz w:val="20"/>
          <w:szCs w:val="20"/>
        </w:rPr>
        <w:t>Fundamental and Applied Limnology, 185</w:t>
      </w:r>
      <w:r>
        <w:rPr>
          <w:rFonts w:cs="Times New Roman"/>
          <w:sz w:val="20"/>
          <w:szCs w:val="20"/>
        </w:rPr>
        <w:t xml:space="preserve">(3–4), 329–348. </w:t>
      </w:r>
      <w:hyperlink r:id="rId16">
        <w:r>
          <w:rPr>
            <w:rFonts w:cs="Times New Roman"/>
            <w:sz w:val="20"/>
            <w:szCs w:val="20"/>
          </w:rPr>
          <w:t>https://doi.org/10.1127/fal/2014/0664</w:t>
        </w:r>
      </w:hyperlink>
    </w:p>
    <w:p>
      <w:pPr>
        <w:pStyle w:val="APABodyNoIndent"/>
        <w:spacing w:lineRule="auto" w:line="360"/>
        <w:ind w:left="720" w:hanging="720"/>
        <w:rPr>
          <w:rFonts w:cs="Times New Roman"/>
          <w:sz w:val="20"/>
          <w:szCs w:val="20"/>
        </w:rPr>
      </w:pPr>
      <w:r>
        <w:rPr>
          <w:rFonts w:cs="Times New Roman"/>
          <w:sz w:val="20"/>
          <w:szCs w:val="20"/>
        </w:rPr>
        <w:t xml:space="preserve">Mishra, S., &amp; Mishra, D. R. (2012). Normalized difference chlorophyll index: A novel model for remote estimation of chlorophyll-a concentration in turbid productive waters. </w:t>
      </w:r>
      <w:r>
        <w:rPr>
          <w:rFonts w:cs="Times New Roman"/>
          <w:i/>
          <w:iCs/>
          <w:sz w:val="20"/>
          <w:szCs w:val="20"/>
        </w:rPr>
        <w:t>Remote Sensing of Environment, 117</w:t>
      </w:r>
      <w:r>
        <w:rPr>
          <w:rFonts w:cs="Times New Roman"/>
          <w:sz w:val="20"/>
          <w:szCs w:val="20"/>
        </w:rPr>
        <w:t xml:space="preserve">, 394–406. </w:t>
      </w:r>
      <w:hyperlink r:id="rId17">
        <w:r>
          <w:rPr>
            <w:rFonts w:cs="Times New Roman"/>
            <w:sz w:val="20"/>
            <w:szCs w:val="20"/>
          </w:rPr>
          <w:t>https://doi.org/10.1016/j.rse.2011.10.016</w:t>
        </w:r>
      </w:hyperlink>
    </w:p>
    <w:p>
      <w:pPr>
        <w:pStyle w:val="APABodyNoIndent"/>
        <w:spacing w:lineRule="auto" w:line="360"/>
        <w:ind w:left="720" w:hanging="720"/>
        <w:rPr>
          <w:rFonts w:cs="Times New Roman"/>
          <w:sz w:val="20"/>
          <w:szCs w:val="20"/>
        </w:rPr>
      </w:pPr>
      <w:r>
        <w:rPr>
          <w:rFonts w:cs="Times New Roman"/>
          <w:sz w:val="20"/>
          <w:szCs w:val="20"/>
        </w:rPr>
        <w:t xml:space="preserve">NASA and IBM. (n.d.). </w:t>
      </w:r>
      <w:r>
        <w:rPr>
          <w:rFonts w:cs="Times New Roman"/>
          <w:i/>
          <w:iCs/>
          <w:sz w:val="20"/>
          <w:szCs w:val="20"/>
        </w:rPr>
        <w:t>Prithvi-EO: Geospatial foundation model for Earth observation</w:t>
      </w:r>
      <w:r>
        <w:rPr>
          <w:rFonts w:cs="Times New Roman"/>
          <w:sz w:val="20"/>
          <w:szCs w:val="20"/>
        </w:rPr>
        <w:t xml:space="preserve"> [Model documentation]. Hugging Face.</w:t>
      </w:r>
      <w:hyperlink r:id="rId18">
        <w:r>
          <w:rPr>
            <w:rFonts w:cs="Times New Roman"/>
            <w:sz w:val="20"/>
            <w:szCs w:val="20"/>
          </w:rPr>
          <w:t xml:space="preserve"> https://huggingface.co/ibm-nasa-geospatial/Prithvi-EO-1.0-100M</w:t>
        </w:r>
      </w:hyperlink>
    </w:p>
    <w:p>
      <w:pPr>
        <w:pStyle w:val="APABodyNoIndent"/>
        <w:spacing w:lineRule="auto" w:line="360"/>
        <w:ind w:left="720" w:hanging="720"/>
        <w:rPr>
          <w:rFonts w:cs="Times New Roman"/>
          <w:sz w:val="20"/>
          <w:szCs w:val="20"/>
        </w:rPr>
      </w:pPr>
      <w:r>
        <w:rPr>
          <w:rFonts w:cs="Times New Roman"/>
          <w:sz w:val="20"/>
          <w:szCs w:val="20"/>
        </w:rPr>
        <w:t xml:space="preserve">Pettorelli, N., Vik, J. O., Mysterud, A., Gaillard, J.-M., Tucker, C. J., &amp; Stenseth, N. C. (2005). Using the satellite-derived NDVI to assess ecological responses to environmental change. </w:t>
      </w:r>
      <w:r>
        <w:rPr>
          <w:rFonts w:cs="Times New Roman"/>
          <w:i/>
          <w:iCs/>
          <w:sz w:val="20"/>
          <w:szCs w:val="20"/>
        </w:rPr>
        <w:t>Trends in Ecology &amp; Evolution, 20</w:t>
      </w:r>
      <w:r>
        <w:rPr>
          <w:rFonts w:cs="Times New Roman"/>
          <w:sz w:val="20"/>
          <w:szCs w:val="20"/>
        </w:rPr>
        <w:t xml:space="preserve">(9), 503–510. </w:t>
      </w:r>
      <w:hyperlink r:id="rId19">
        <w:r>
          <w:rPr>
            <w:rFonts w:cs="Times New Roman"/>
            <w:sz w:val="20"/>
            <w:szCs w:val="20"/>
          </w:rPr>
          <w:t>https://doi.org/10.1016/j.tree.2005.05.011</w:t>
        </w:r>
      </w:hyperlink>
    </w:p>
    <w:p>
      <w:pPr>
        <w:pStyle w:val="APABodyNoIndent"/>
        <w:spacing w:lineRule="auto" w:line="360"/>
        <w:ind w:left="720" w:hanging="720"/>
        <w:rPr>
          <w:rFonts w:cs="Times New Roman"/>
          <w:sz w:val="20"/>
          <w:szCs w:val="20"/>
        </w:rPr>
      </w:pPr>
      <w:r>
        <w:rPr>
          <w:rFonts w:cs="Times New Roman"/>
          <w:sz w:val="20"/>
          <w:szCs w:val="20"/>
        </w:rPr>
        <w:t xml:space="preserve">Ramsar Convention on Wetlands. (2018). </w:t>
      </w:r>
      <w:r>
        <w:rPr>
          <w:rFonts w:cs="Times New Roman"/>
          <w:i/>
          <w:iCs/>
          <w:sz w:val="20"/>
          <w:szCs w:val="20"/>
        </w:rPr>
        <w:t>Global wetland outlook: State of the world’s wetlands and their services to people</w:t>
      </w:r>
      <w:r>
        <w:rPr>
          <w:rFonts w:cs="Times New Roman"/>
          <w:sz w:val="20"/>
          <w:szCs w:val="20"/>
        </w:rPr>
        <w:t xml:space="preserve">. Ramsar Convention Secretariat. </w:t>
      </w:r>
      <w:hyperlink r:id="rId20">
        <w:r>
          <w:rPr>
            <w:rFonts w:cs="Times New Roman"/>
            <w:sz w:val="20"/>
            <w:szCs w:val="20"/>
          </w:rPr>
          <w:t>https://moef.gov.in/uploads/2019/12/gwo_e.pdf</w:t>
        </w:r>
      </w:hyperlink>
    </w:p>
    <w:p>
      <w:pPr>
        <w:pStyle w:val="APABodyNoIndent"/>
        <w:spacing w:lineRule="auto" w:line="360"/>
        <w:ind w:left="720" w:hanging="720"/>
        <w:rPr>
          <w:rFonts w:cs="Times New Roman"/>
          <w:sz w:val="20"/>
          <w:szCs w:val="20"/>
        </w:rPr>
      </w:pPr>
      <w:r>
        <w:rPr>
          <w:rFonts w:cs="Times New Roman"/>
          <w:sz w:val="20"/>
          <w:szCs w:val="20"/>
        </w:rPr>
        <w:t xml:space="preserve">Ramsar Convention Secretariat. (2002a). </w:t>
      </w:r>
      <w:r>
        <w:rPr>
          <w:rFonts w:cs="Times New Roman"/>
          <w:i/>
          <w:iCs/>
          <w:sz w:val="20"/>
          <w:szCs w:val="20"/>
        </w:rPr>
        <w:t>Pong Dam Lake</w:t>
      </w:r>
      <w:r>
        <w:rPr>
          <w:rFonts w:cs="Times New Roman"/>
          <w:sz w:val="20"/>
          <w:szCs w:val="20"/>
        </w:rPr>
        <w:t xml:space="preserve"> [Ramsar Information Sheet, site no. 1211]. Ramsar Sites Information Service. </w:t>
      </w:r>
      <w:hyperlink r:id="rId21">
        <w:r>
          <w:rPr>
            <w:rFonts w:cs="Times New Roman"/>
            <w:sz w:val="20"/>
            <w:szCs w:val="20"/>
          </w:rPr>
          <w:t>https://rsis.ramsar.org/ris/1211</w:t>
        </w:r>
      </w:hyperlink>
    </w:p>
    <w:p>
      <w:pPr>
        <w:pStyle w:val="APABodyNoIndent"/>
        <w:spacing w:lineRule="auto" w:line="360"/>
        <w:ind w:left="720" w:hanging="720"/>
        <w:rPr>
          <w:rFonts w:cs="Times New Roman"/>
          <w:sz w:val="20"/>
          <w:szCs w:val="20"/>
        </w:rPr>
      </w:pPr>
      <w:r>
        <w:rPr>
          <w:rFonts w:cs="Times New Roman"/>
          <w:sz w:val="20"/>
          <w:szCs w:val="20"/>
        </w:rPr>
        <w:t xml:space="preserve">Ramsar Convention Secretariat. (2002b). </w:t>
      </w:r>
      <w:r>
        <w:rPr>
          <w:rFonts w:cs="Times New Roman"/>
          <w:i/>
          <w:iCs/>
          <w:sz w:val="20"/>
          <w:szCs w:val="20"/>
        </w:rPr>
        <w:t>Sasthamkotta Lake</w:t>
      </w:r>
      <w:r>
        <w:rPr>
          <w:rFonts w:cs="Times New Roman"/>
          <w:sz w:val="20"/>
          <w:szCs w:val="20"/>
        </w:rPr>
        <w:t xml:space="preserve"> [Ramsar Information Sheet, site no. 1212]. Ramsar Sites Information Service. </w:t>
      </w:r>
      <w:hyperlink r:id="rId22">
        <w:r>
          <w:rPr>
            <w:rFonts w:cs="Times New Roman"/>
            <w:sz w:val="20"/>
            <w:szCs w:val="20"/>
          </w:rPr>
          <w:t>https://rsis.ramsar.org/ris/1212</w:t>
        </w:r>
      </w:hyperlink>
    </w:p>
    <w:p>
      <w:pPr>
        <w:pStyle w:val="APABodyNoIndent"/>
        <w:spacing w:lineRule="auto" w:line="360"/>
        <w:ind w:left="720" w:hanging="720"/>
        <w:rPr>
          <w:rFonts w:cs="Times New Roman"/>
          <w:sz w:val="20"/>
          <w:szCs w:val="20"/>
        </w:rPr>
      </w:pPr>
      <w:r>
        <w:rPr>
          <w:rFonts w:cs="Times New Roman"/>
          <w:sz w:val="20"/>
          <w:szCs w:val="20"/>
        </w:rPr>
        <w:t xml:space="preserve">Ramsar Sites Information Service. (2024). </w:t>
      </w:r>
      <w:r>
        <w:rPr>
          <w:rFonts w:cs="Times New Roman"/>
          <w:i/>
          <w:iCs/>
          <w:sz w:val="20"/>
          <w:szCs w:val="20"/>
        </w:rPr>
        <w:t>Tawa Reservoir</w:t>
      </w:r>
      <w:r>
        <w:rPr>
          <w:rFonts w:cs="Times New Roman"/>
          <w:sz w:val="20"/>
          <w:szCs w:val="20"/>
        </w:rPr>
        <w:t xml:space="preserve">. </w:t>
      </w:r>
      <w:hyperlink r:id="rId23">
        <w:r>
          <w:rPr>
            <w:rFonts w:cs="Times New Roman"/>
            <w:sz w:val="20"/>
            <w:szCs w:val="20"/>
          </w:rPr>
          <w:t>https://rsis.ramsar.org/ris/2547</w:t>
        </w:r>
      </w:hyperlink>
    </w:p>
    <w:p>
      <w:pPr>
        <w:pStyle w:val="APABodyNoIndent"/>
        <w:spacing w:lineRule="auto" w:line="360"/>
        <w:ind w:left="720" w:hanging="720"/>
        <w:rPr>
          <w:rFonts w:cs="Times New Roman"/>
          <w:sz w:val="20"/>
          <w:szCs w:val="20"/>
        </w:rPr>
      </w:pPr>
      <w:r>
        <w:rPr>
          <w:rFonts w:cs="Times New Roman"/>
          <w:sz w:val="20"/>
          <w:szCs w:val="20"/>
        </w:rPr>
        <w:t xml:space="preserve">Reddy, D. S., &amp; Prasad, P. R. C. (2018). Prediction of vegetation dynamics using NDVI time series data and LSTM. </w:t>
      </w:r>
      <w:r>
        <w:rPr>
          <w:rFonts w:cs="Times New Roman"/>
          <w:i/>
          <w:iCs/>
          <w:sz w:val="20"/>
          <w:szCs w:val="20"/>
        </w:rPr>
        <w:t>Modeling Earth Systems and Environment, 4</w:t>
      </w:r>
      <w:r>
        <w:rPr>
          <w:rFonts w:cs="Times New Roman"/>
          <w:sz w:val="20"/>
          <w:szCs w:val="20"/>
        </w:rPr>
        <w:t xml:space="preserve">(1), 409–419. </w:t>
      </w:r>
      <w:hyperlink r:id="rId24">
        <w:r>
          <w:rPr>
            <w:rFonts w:cs="Times New Roman"/>
            <w:sz w:val="20"/>
            <w:szCs w:val="20"/>
          </w:rPr>
          <w:t>https://doi.org/10.1007/s40808-018-0431-3</w:t>
        </w:r>
      </w:hyperlink>
    </w:p>
    <w:p>
      <w:pPr>
        <w:pStyle w:val="APABodyNoIndent"/>
        <w:spacing w:lineRule="auto" w:line="360"/>
        <w:ind w:left="720" w:hanging="720"/>
        <w:rPr>
          <w:rFonts w:cs="Times New Roman"/>
          <w:sz w:val="20"/>
          <w:szCs w:val="20"/>
        </w:rPr>
      </w:pPr>
      <w:r>
        <w:rPr>
          <w:rFonts w:cs="Times New Roman"/>
          <w:sz w:val="20"/>
          <w:szCs w:val="20"/>
        </w:rPr>
        <w:t xml:space="preserve">Runfola, D., Anderson, A., Baier, H., Crittenden, M., Dowker, E., Fuhrig, S., Goodman, S., Grimsley, G., Layko, R., Melville, G., Mulder, M., Oberman, R., Panganiban, J., Peck, A., Seitz, L., Shea, S., Slevin, H., Youngerman, R., &amp; Hobbs, L. (2020). geoBoundaries: A global database of political administrative boundaries. </w:t>
      </w:r>
      <w:r>
        <w:rPr>
          <w:rFonts w:cs="Times New Roman"/>
          <w:i/>
          <w:iCs/>
          <w:sz w:val="20"/>
          <w:szCs w:val="20"/>
        </w:rPr>
        <w:t>PLOS ONE, 15</w:t>
      </w:r>
      <w:r>
        <w:rPr>
          <w:rFonts w:cs="Times New Roman"/>
          <w:sz w:val="20"/>
          <w:szCs w:val="20"/>
        </w:rPr>
        <w:t xml:space="preserve">(4), Article e0231866. </w:t>
      </w:r>
      <w:hyperlink r:id="rId25">
        <w:r>
          <w:rPr>
            <w:rFonts w:cs="Times New Roman"/>
            <w:sz w:val="20"/>
            <w:szCs w:val="20"/>
          </w:rPr>
          <w:t>https://doi.org/10.1371/journal.pone.0231866</w:t>
        </w:r>
      </w:hyperlink>
    </w:p>
    <w:p>
      <w:pPr>
        <w:pStyle w:val="APABodyNoIndent"/>
        <w:spacing w:lineRule="auto" w:line="360"/>
        <w:ind w:left="720" w:hanging="720"/>
        <w:rPr>
          <w:rFonts w:cs="Times New Roman"/>
          <w:sz w:val="20"/>
          <w:szCs w:val="20"/>
        </w:rPr>
      </w:pPr>
      <w:r>
        <w:rPr>
          <w:rFonts w:cs="Times New Roman"/>
          <w:sz w:val="20"/>
          <w:szCs w:val="20"/>
        </w:rPr>
        <w:t xml:space="preserve">Ryan, S., Powell, M., Ling, J., &amp; Wen, L. (2026). Streamlining wetland vegetation mapping with AlphaEarth embeddings: Comparable accuracy to traditional methods with cleaner maps and minimal preprocessing. </w:t>
      </w:r>
      <w:r>
        <w:rPr>
          <w:rFonts w:cs="Times New Roman"/>
          <w:i/>
          <w:iCs/>
          <w:sz w:val="20"/>
          <w:szCs w:val="20"/>
        </w:rPr>
        <w:t>Remote Sensing, 18</w:t>
      </w:r>
      <w:r>
        <w:rPr>
          <w:rFonts w:cs="Times New Roman"/>
          <w:sz w:val="20"/>
          <w:szCs w:val="20"/>
        </w:rPr>
        <w:t xml:space="preserve">(2), Article 293. </w:t>
      </w:r>
      <w:hyperlink r:id="rId26">
        <w:r>
          <w:rPr>
            <w:rFonts w:cs="Times New Roman"/>
            <w:sz w:val="20"/>
            <w:szCs w:val="20"/>
          </w:rPr>
          <w:t>https://doi.org/10.3390/rs18020293</w:t>
        </w:r>
      </w:hyperlink>
    </w:p>
    <w:p>
      <w:pPr>
        <w:pStyle w:val="APABodyNoIndent"/>
        <w:spacing w:lineRule="auto" w:line="360"/>
        <w:ind w:left="720" w:hanging="720"/>
        <w:rPr>
          <w:rFonts w:cs="Times New Roman"/>
          <w:sz w:val="20"/>
          <w:szCs w:val="20"/>
        </w:rPr>
      </w:pPr>
      <w:r>
        <w:rPr>
          <w:rFonts w:cs="Times New Roman"/>
          <w:sz w:val="20"/>
          <w:szCs w:val="20"/>
        </w:rPr>
        <w:t xml:space="preserve">Szwarcman, D., Roy, S., Fraccaro, P., Gíslason, Þ. E., Blumenstiel, B., Ghosal, R., de Oliveira, P. H., de Sousa Almeida, J. L., Sedona, R., Kang, Y., Chakraborty, S., Wang, S., Gomes, C., Kumar, A., Truong, M., Godwin, D., Lee, H., Hsu, C.-Y., Lal, R., . . . Bernabe Moreno, J. (2024). </w:t>
      </w:r>
      <w:r>
        <w:rPr>
          <w:rFonts w:cs="Times New Roman"/>
          <w:i/>
          <w:iCs/>
          <w:sz w:val="20"/>
          <w:szCs w:val="20"/>
        </w:rPr>
        <w:t>Prithvi-EO-2.0: A versatile multi-temporal foundation model for Earth observation applications</w:t>
      </w:r>
      <w:r>
        <w:rPr>
          <w:rFonts w:cs="Times New Roman"/>
          <w:sz w:val="20"/>
          <w:szCs w:val="20"/>
        </w:rPr>
        <w:t xml:space="preserve">. arXiv. </w:t>
      </w:r>
      <w:hyperlink r:id="rId27">
        <w:r>
          <w:rPr>
            <w:rFonts w:cs="Times New Roman"/>
            <w:sz w:val="20"/>
            <w:szCs w:val="20"/>
          </w:rPr>
          <w:t>https://doi.org/10.48550/arXiv.2412.02732</w:t>
        </w:r>
      </w:hyperlink>
    </w:p>
    <w:p>
      <w:pPr>
        <w:pStyle w:val="APABodyNoIndent"/>
        <w:spacing w:lineRule="auto" w:line="360"/>
        <w:ind w:left="720" w:hanging="720"/>
        <w:rPr>
          <w:rFonts w:cs="Times New Roman"/>
          <w:sz w:val="20"/>
          <w:szCs w:val="20"/>
        </w:rPr>
      </w:pPr>
      <w:r>
        <w:rPr>
          <w:rFonts w:cs="Times New Roman"/>
          <w:sz w:val="20"/>
          <w:szCs w:val="20"/>
        </w:rPr>
        <w:t xml:space="preserve">van den Dool, H. M. (1989). A new look at weather forecasting through analogues. </w:t>
      </w:r>
      <w:r>
        <w:rPr>
          <w:rFonts w:cs="Times New Roman"/>
          <w:i/>
          <w:iCs/>
          <w:sz w:val="20"/>
          <w:szCs w:val="20"/>
        </w:rPr>
        <w:t>Monthly Weather Review, 117</w:t>
      </w:r>
      <w:r>
        <w:rPr>
          <w:rFonts w:cs="Times New Roman"/>
          <w:sz w:val="20"/>
          <w:szCs w:val="20"/>
        </w:rPr>
        <w:t xml:space="preserve">(10), 2230–2247. </w:t>
      </w:r>
      <w:hyperlink r:id="rId28">
        <w:r>
          <w:rPr>
            <w:rFonts w:cs="Times New Roman"/>
            <w:sz w:val="20"/>
            <w:szCs w:val="20"/>
          </w:rPr>
          <w:t>https://doi.org/10.1175/1520-0493(1989)117&lt;2230:ANLAWF&gt;2.0.CO;2</w:t>
        </w:r>
      </w:hyperlink>
    </w:p>
    <w:p>
      <w:pPr>
        <w:pStyle w:val="APABodyNoIndent"/>
        <w:spacing w:lineRule="auto" w:line="360"/>
        <w:ind w:left="720" w:hanging="720"/>
        <w:rPr>
          <w:rFonts w:cs="Times New Roman"/>
          <w:sz w:val="20"/>
          <w:szCs w:val="20"/>
        </w:rPr>
      </w:pPr>
      <w:r>
        <w:rPr>
          <w:rFonts w:cs="Times New Roman"/>
          <w:sz w:val="20"/>
          <w:szCs w:val="20"/>
        </w:rPr>
        <w:t xml:space="preserve">van den Dool, H. M. (1994). Searching for analogues, how long must we wait? </w:t>
      </w:r>
      <w:r>
        <w:rPr>
          <w:rFonts w:cs="Times New Roman"/>
          <w:i/>
          <w:iCs/>
          <w:sz w:val="20"/>
          <w:szCs w:val="20"/>
        </w:rPr>
        <w:t>Tellus A, 46</w:t>
      </w:r>
      <w:r>
        <w:rPr>
          <w:rFonts w:cs="Times New Roman"/>
          <w:sz w:val="20"/>
          <w:szCs w:val="20"/>
        </w:rPr>
        <w:t xml:space="preserve">(3), 314–324. </w:t>
      </w:r>
      <w:hyperlink r:id="rId29">
        <w:r>
          <w:rPr>
            <w:rFonts w:cs="Times New Roman"/>
            <w:sz w:val="20"/>
            <w:szCs w:val="20"/>
          </w:rPr>
          <w:t>https://doi.org/10.3402/tellusa.v46i3.15481</w:t>
        </w:r>
      </w:hyperlink>
    </w:p>
    <w:p>
      <w:pPr>
        <w:pStyle w:val="Normal"/>
        <w:spacing w:lineRule="auto" w:line="360" w:before="0" w:after="0"/>
        <w:jc w:val="both"/>
        <w:rPr>
          <w:rFonts w:ascii="Times New Roman" w:hAnsi="Times New Roman" w:cs="Times New Roman"/>
          <w:b/>
          <w:b/>
          <w:bCs/>
          <w:sz w:val="20"/>
          <w:szCs w:val="20"/>
        </w:rPr>
      </w:pPr>
      <w:r>
        <w:rPr>
          <w:rFonts w:cs="Times New Roman" w:ascii="Times New Roman" w:hAnsi="Times New Roman"/>
          <w:b/>
          <w:bCs/>
          <w:sz w:val="20"/>
          <w:szCs w:val="20"/>
        </w:rPr>
      </w:r>
    </w:p>
    <w:p>
      <w:pPr>
        <w:pStyle w:val="Normal"/>
        <w:rPr/>
      </w:pPr>
      <w:r>
        <w:rPr/>
      </w:r>
      <w:r>
        <w:br w:type="page"/>
      </w:r>
    </w:p>
    <w:p>
      <w:pPr>
        <w:pStyle w:val="Normal"/>
        <w:jc w:val="center"/>
        <w:rPr/>
      </w:pPr>
      <w:r>
        <w:rPr>
          <w:rFonts w:cs="Times New Roman" w:ascii="Times New Roman" w:hAnsi="Times New Roman"/>
          <w:b/>
          <w:bCs/>
          <w:sz w:val="20"/>
          <w:szCs w:val="20"/>
        </w:rPr>
        <w:t>Tables</w:t>
      </w:r>
    </w:p>
    <w:p>
      <w:pPr>
        <w:pStyle w:val="Normal"/>
        <w:spacing w:lineRule="auto" w:line="360" w:before="240" w:after="60"/>
        <w:rPr/>
      </w:pPr>
      <w:r>
        <w:rPr>
          <w:rFonts w:cs="Times New Roman" w:ascii="Times New Roman" w:hAnsi="Times New Roman"/>
          <w:b/>
          <w:bCs/>
          <w:sz w:val="20"/>
          <w:szCs w:val="20"/>
        </w:rPr>
        <w:t>Table 1</w:t>
      </w:r>
    </w:p>
    <w:p>
      <w:pPr>
        <w:pStyle w:val="Normal"/>
        <w:spacing w:lineRule="auto" w:line="360" w:before="0" w:after="60"/>
        <w:rPr/>
      </w:pPr>
      <w:r>
        <w:rPr>
          <w:rFonts w:cs="Times New Roman" w:ascii="Times New Roman" w:hAnsi="Times New Roman"/>
          <w:i/>
          <w:iCs/>
          <w:sz w:val="20"/>
          <w:szCs w:val="20"/>
        </w:rPr>
        <w:t>Annual lake-year coverage, 2016–2025</w:t>
      </w:r>
    </w:p>
    <w:tbl>
      <w:tblPr>
        <w:tblW w:w="940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98"/>
        <w:gridCol w:w="1300"/>
        <w:gridCol w:w="1300"/>
        <w:gridCol w:w="2300"/>
        <w:gridCol w:w="2302"/>
      </w:tblGrid>
      <w:tr>
        <w:trPr>
          <w:tblHeader w:val="true"/>
        </w:trPr>
        <w:tc>
          <w:tcPr>
            <w:tcW w:w="2198" w:type="dxa"/>
            <w:tcBorders>
              <w:top w:val="single" w:sz="8" w:space="0" w:color="000000"/>
              <w:bottom w:val="single" w:sz="4" w:space="0" w:color="000000"/>
            </w:tcBorders>
          </w:tcPr>
          <w:p>
            <w:pPr>
              <w:pStyle w:val="Normal"/>
              <w:widowControl w:val="false"/>
              <w:spacing w:lineRule="auto" w:line="240" w:before="0" w:after="0"/>
              <w:rPr>
                <w:sz w:val="18"/>
                <w:szCs w:val="18"/>
              </w:rPr>
            </w:pPr>
            <w:r>
              <w:rPr>
                <w:rFonts w:cs="Times New Roman" w:ascii="Times New Roman" w:hAnsi="Times New Roman"/>
                <w:b/>
                <w:bCs/>
                <w:sz w:val="18"/>
                <w:szCs w:val="18"/>
              </w:rPr>
              <w:t>Year</w:t>
            </w:r>
          </w:p>
        </w:tc>
        <w:tc>
          <w:tcPr>
            <w:tcW w:w="1300" w:type="dxa"/>
            <w:tcBorders>
              <w:top w:val="single" w:sz="8" w:space="0" w:color="000000"/>
              <w:bottom w:val="single" w:sz="4" w:space="0" w:color="000000"/>
            </w:tcBorders>
          </w:tcPr>
          <w:p>
            <w:pPr>
              <w:pStyle w:val="Normal"/>
              <w:widowControl w:val="false"/>
              <w:spacing w:lineRule="auto" w:line="240" w:before="0" w:after="0"/>
              <w:jc w:val="center"/>
              <w:rPr>
                <w:sz w:val="18"/>
                <w:szCs w:val="18"/>
              </w:rPr>
            </w:pPr>
            <w:r>
              <w:rPr>
                <w:rFonts w:cs="Times New Roman" w:ascii="Times New Roman" w:hAnsi="Times New Roman"/>
                <w:b/>
                <w:bCs/>
                <w:sz w:val="18"/>
                <w:szCs w:val="18"/>
              </w:rPr>
              <w:t>Expected</w:t>
            </w:r>
          </w:p>
        </w:tc>
        <w:tc>
          <w:tcPr>
            <w:tcW w:w="1300" w:type="dxa"/>
            <w:tcBorders>
              <w:top w:val="single" w:sz="8" w:space="0" w:color="000000"/>
              <w:bottom w:val="single" w:sz="4" w:space="0" w:color="000000"/>
            </w:tcBorders>
          </w:tcPr>
          <w:p>
            <w:pPr>
              <w:pStyle w:val="Normal"/>
              <w:widowControl w:val="false"/>
              <w:spacing w:lineRule="auto" w:line="240" w:before="0" w:after="0"/>
              <w:jc w:val="center"/>
              <w:rPr>
                <w:sz w:val="18"/>
                <w:szCs w:val="18"/>
              </w:rPr>
            </w:pPr>
            <w:r>
              <w:rPr>
                <w:rFonts w:cs="Times New Roman" w:ascii="Times New Roman" w:hAnsi="Times New Roman"/>
                <w:b/>
                <w:bCs/>
                <w:sz w:val="18"/>
                <w:szCs w:val="18"/>
              </w:rPr>
              <w:t>Complete</w:t>
            </w:r>
          </w:p>
        </w:tc>
        <w:tc>
          <w:tcPr>
            <w:tcW w:w="2300" w:type="dxa"/>
            <w:tcBorders>
              <w:top w:val="single" w:sz="8" w:space="0" w:color="000000"/>
              <w:bottom w:val="single" w:sz="4" w:space="0" w:color="000000"/>
            </w:tcBorders>
          </w:tcPr>
          <w:p>
            <w:pPr>
              <w:pStyle w:val="Normal"/>
              <w:widowControl w:val="false"/>
              <w:spacing w:lineRule="auto" w:line="240" w:before="0" w:after="0"/>
              <w:jc w:val="center"/>
              <w:rPr>
                <w:sz w:val="18"/>
                <w:szCs w:val="18"/>
              </w:rPr>
            </w:pPr>
            <w:r>
              <w:rPr>
                <w:rFonts w:cs="Times New Roman" w:ascii="Times New Roman" w:hAnsi="Times New Roman"/>
                <w:b/>
                <w:bCs/>
                <w:sz w:val="18"/>
                <w:szCs w:val="18"/>
              </w:rPr>
              <w:t>No Sentinel-2 L2A scenes</w:t>
            </w:r>
          </w:p>
        </w:tc>
        <w:tc>
          <w:tcPr>
            <w:tcW w:w="2302" w:type="dxa"/>
            <w:tcBorders>
              <w:top w:val="single" w:sz="8" w:space="0" w:color="000000"/>
              <w:bottom w:val="single" w:sz="4" w:space="0" w:color="000000"/>
            </w:tcBorders>
          </w:tcPr>
          <w:p>
            <w:pPr>
              <w:pStyle w:val="Normal"/>
              <w:widowControl w:val="false"/>
              <w:spacing w:lineRule="auto" w:line="240" w:before="0" w:after="0"/>
              <w:jc w:val="center"/>
              <w:rPr>
                <w:sz w:val="18"/>
                <w:szCs w:val="18"/>
              </w:rPr>
            </w:pPr>
            <w:r>
              <w:rPr>
                <w:rFonts w:cs="Times New Roman" w:ascii="Times New Roman" w:hAnsi="Times New Roman"/>
                <w:b/>
                <w:bCs/>
                <w:sz w:val="18"/>
                <w:szCs w:val="18"/>
              </w:rPr>
              <w:t>Fewer than 100 cloud-free lake pixels</w:t>
            </w:r>
          </w:p>
        </w:tc>
      </w:tr>
      <w:tr>
        <w:trPr/>
        <w:tc>
          <w:tcPr>
            <w:tcW w:w="2198" w:type="dxa"/>
            <w:tcBorders/>
          </w:tcPr>
          <w:p>
            <w:pPr>
              <w:pStyle w:val="Normal"/>
              <w:widowControl w:val="false"/>
              <w:spacing w:lineRule="auto" w:line="240" w:before="0" w:after="0"/>
              <w:rPr>
                <w:sz w:val="18"/>
                <w:szCs w:val="18"/>
              </w:rPr>
            </w:pPr>
            <w:r>
              <w:rPr>
                <w:rFonts w:cs="Times New Roman" w:ascii="Times New Roman" w:hAnsi="Times New Roman"/>
                <w:sz w:val="18"/>
                <w:szCs w:val="18"/>
              </w:rPr>
              <w:t>2016</w:t>
            </w:r>
          </w:p>
        </w:tc>
        <w:tc>
          <w:tcPr>
            <w:tcW w:w="13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829</w:t>
            </w:r>
          </w:p>
        </w:tc>
        <w:tc>
          <w:tcPr>
            <w:tcW w:w="13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816</w:t>
            </w:r>
          </w:p>
        </w:tc>
        <w:tc>
          <w:tcPr>
            <w:tcW w:w="23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11</w:t>
            </w:r>
          </w:p>
        </w:tc>
        <w:tc>
          <w:tcPr>
            <w:tcW w:w="230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w:t>
            </w:r>
          </w:p>
        </w:tc>
      </w:tr>
      <w:tr>
        <w:trPr/>
        <w:tc>
          <w:tcPr>
            <w:tcW w:w="2198" w:type="dxa"/>
            <w:tcBorders/>
          </w:tcPr>
          <w:p>
            <w:pPr>
              <w:pStyle w:val="Normal"/>
              <w:widowControl w:val="false"/>
              <w:spacing w:lineRule="auto" w:line="240" w:before="0" w:after="0"/>
              <w:rPr>
                <w:sz w:val="18"/>
                <w:szCs w:val="18"/>
              </w:rPr>
            </w:pPr>
            <w:r>
              <w:rPr>
                <w:rFonts w:cs="Times New Roman" w:ascii="Times New Roman" w:hAnsi="Times New Roman"/>
                <w:sz w:val="18"/>
                <w:szCs w:val="18"/>
              </w:rPr>
              <w:t>2017</w:t>
            </w:r>
          </w:p>
        </w:tc>
        <w:tc>
          <w:tcPr>
            <w:tcW w:w="13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829</w:t>
            </w:r>
          </w:p>
        </w:tc>
        <w:tc>
          <w:tcPr>
            <w:tcW w:w="13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820</w:t>
            </w:r>
          </w:p>
        </w:tc>
        <w:tc>
          <w:tcPr>
            <w:tcW w:w="23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8</w:t>
            </w:r>
          </w:p>
        </w:tc>
        <w:tc>
          <w:tcPr>
            <w:tcW w:w="230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1</w:t>
            </w:r>
          </w:p>
        </w:tc>
      </w:tr>
      <w:tr>
        <w:trPr/>
        <w:tc>
          <w:tcPr>
            <w:tcW w:w="2198" w:type="dxa"/>
            <w:tcBorders/>
          </w:tcPr>
          <w:p>
            <w:pPr>
              <w:pStyle w:val="Normal"/>
              <w:widowControl w:val="false"/>
              <w:spacing w:lineRule="auto" w:line="240" w:before="0" w:after="0"/>
              <w:rPr>
                <w:sz w:val="18"/>
                <w:szCs w:val="18"/>
              </w:rPr>
            </w:pPr>
            <w:r>
              <w:rPr>
                <w:rFonts w:cs="Times New Roman" w:ascii="Times New Roman" w:hAnsi="Times New Roman"/>
                <w:sz w:val="18"/>
                <w:szCs w:val="18"/>
              </w:rPr>
              <w:t>2018–2025 (each year)</w:t>
            </w:r>
          </w:p>
        </w:tc>
        <w:tc>
          <w:tcPr>
            <w:tcW w:w="13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829</w:t>
            </w:r>
          </w:p>
        </w:tc>
        <w:tc>
          <w:tcPr>
            <w:tcW w:w="13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829</w:t>
            </w:r>
          </w:p>
        </w:tc>
        <w:tc>
          <w:tcPr>
            <w:tcW w:w="23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w:t>
            </w:r>
          </w:p>
        </w:tc>
        <w:tc>
          <w:tcPr>
            <w:tcW w:w="230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w:t>
            </w:r>
          </w:p>
        </w:tc>
      </w:tr>
      <w:tr>
        <w:trPr/>
        <w:tc>
          <w:tcPr>
            <w:tcW w:w="2198" w:type="dxa"/>
            <w:tcBorders>
              <w:bottom w:val="single" w:sz="8" w:space="0" w:color="000000"/>
            </w:tcBorders>
          </w:tcPr>
          <w:p>
            <w:pPr>
              <w:pStyle w:val="Normal"/>
              <w:widowControl w:val="false"/>
              <w:spacing w:lineRule="auto" w:line="240" w:before="0" w:after="0"/>
              <w:rPr>
                <w:sz w:val="18"/>
                <w:szCs w:val="18"/>
              </w:rPr>
            </w:pPr>
            <w:r>
              <w:rPr>
                <w:rFonts w:cs="Times New Roman" w:ascii="Times New Roman" w:hAnsi="Times New Roman"/>
                <w:sz w:val="18"/>
                <w:szCs w:val="18"/>
              </w:rPr>
              <w:t>Total</w:t>
            </w:r>
          </w:p>
        </w:tc>
        <w:tc>
          <w:tcPr>
            <w:tcW w:w="1300" w:type="dxa"/>
            <w:tcBorders>
              <w:bottom w:val="single" w:sz="8" w:space="0" w:color="000000"/>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8,290</w:t>
            </w:r>
          </w:p>
        </w:tc>
        <w:tc>
          <w:tcPr>
            <w:tcW w:w="1300" w:type="dxa"/>
            <w:tcBorders>
              <w:bottom w:val="single" w:sz="8" w:space="0" w:color="000000"/>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8,268</w:t>
            </w:r>
          </w:p>
        </w:tc>
        <w:tc>
          <w:tcPr>
            <w:tcW w:w="2300" w:type="dxa"/>
            <w:tcBorders>
              <w:bottom w:val="single" w:sz="8" w:space="0" w:color="000000"/>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19</w:t>
            </w:r>
          </w:p>
        </w:tc>
        <w:tc>
          <w:tcPr>
            <w:tcW w:w="2302" w:type="dxa"/>
            <w:tcBorders>
              <w:bottom w:val="single" w:sz="8" w:space="0" w:color="000000"/>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3</w:t>
            </w:r>
          </w:p>
        </w:tc>
      </w:tr>
    </w:tbl>
    <w:p>
      <w:pPr>
        <w:pStyle w:val="Normal"/>
        <w:spacing w:lineRule="auto" w:line="276" w:before="60" w:after="120"/>
        <w:jc w:val="both"/>
        <w:rPr/>
      </w:pPr>
      <w:r>
        <w:rPr>
          <w:rFonts w:cs="Times New Roman" w:ascii="Times New Roman" w:hAnsi="Times New Roman"/>
          <w:i/>
          <w:iCs/>
          <w:sz w:val="18"/>
          <w:szCs w:val="18"/>
        </w:rPr>
        <w:t xml:space="preserve">Note. </w:t>
      </w:r>
      <w:r>
        <w:rPr>
          <w:rFonts w:cs="Times New Roman" w:ascii="Times New Roman" w:hAnsi="Times New Roman"/>
          <w:sz w:val="18"/>
          <w:szCs w:val="18"/>
        </w:rPr>
        <w:t>A complete lake-year has a merged 30 m composite, lake-feature statistics, and an embedding. Lake-years without scenes are coastal lakes in Tamil Nadu (15) and Puducherry (4).</w:t>
      </w:r>
    </w:p>
    <w:p>
      <w:pPr>
        <w:pStyle w:val="Normal"/>
        <w:spacing w:lineRule="auto" w:line="360" w:before="240" w:after="60"/>
        <w:rPr/>
      </w:pPr>
      <w:r>
        <w:rPr>
          <w:rFonts w:cs="Times New Roman" w:ascii="Times New Roman" w:hAnsi="Times New Roman"/>
          <w:b/>
          <w:bCs/>
          <w:sz w:val="20"/>
          <w:szCs w:val="20"/>
        </w:rPr>
        <w:t>Table 2</w:t>
      </w:r>
    </w:p>
    <w:p>
      <w:pPr>
        <w:pStyle w:val="Normal"/>
        <w:spacing w:lineRule="auto" w:line="360" w:before="0" w:after="60"/>
        <w:rPr/>
      </w:pPr>
      <w:r>
        <w:rPr>
          <w:rFonts w:cs="Times New Roman" w:ascii="Times New Roman" w:hAnsi="Times New Roman"/>
          <w:i/>
          <w:iCs/>
          <w:sz w:val="20"/>
          <w:szCs w:val="20"/>
        </w:rPr>
        <w:t>Spectral indicators used for the directional outlook</w:t>
      </w:r>
    </w:p>
    <w:tbl>
      <w:tblPr>
        <w:tblW w:w="940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00"/>
        <w:gridCol w:w="2300"/>
        <w:gridCol w:w="3201"/>
        <w:gridCol w:w="2398"/>
      </w:tblGrid>
      <w:tr>
        <w:trPr>
          <w:tblHeader w:val="true"/>
        </w:trPr>
        <w:tc>
          <w:tcPr>
            <w:tcW w:w="1500" w:type="dxa"/>
            <w:tcBorders>
              <w:top w:val="single" w:sz="8" w:space="0" w:color="000000"/>
              <w:bottom w:val="single" w:sz="4" w:space="0" w:color="000000"/>
            </w:tcBorders>
          </w:tcPr>
          <w:p>
            <w:pPr>
              <w:pStyle w:val="Normal"/>
              <w:widowControl w:val="false"/>
              <w:spacing w:lineRule="auto" w:line="240" w:before="0" w:after="0"/>
              <w:rPr>
                <w:sz w:val="18"/>
                <w:szCs w:val="18"/>
              </w:rPr>
            </w:pPr>
            <w:r>
              <w:rPr>
                <w:rFonts w:cs="Times New Roman" w:ascii="Times New Roman" w:hAnsi="Times New Roman"/>
                <w:b/>
                <w:bCs/>
                <w:sz w:val="18"/>
                <w:szCs w:val="18"/>
              </w:rPr>
              <w:t>Indicator</w:t>
            </w:r>
          </w:p>
        </w:tc>
        <w:tc>
          <w:tcPr>
            <w:tcW w:w="2300" w:type="dxa"/>
            <w:tcBorders>
              <w:top w:val="single" w:sz="8" w:space="0" w:color="000000"/>
              <w:bottom w:val="single" w:sz="4" w:space="0" w:color="000000"/>
            </w:tcBorders>
          </w:tcPr>
          <w:p>
            <w:pPr>
              <w:pStyle w:val="Normal"/>
              <w:widowControl w:val="false"/>
              <w:spacing w:lineRule="auto" w:line="240" w:before="0" w:after="0"/>
              <w:jc w:val="center"/>
              <w:rPr>
                <w:sz w:val="18"/>
                <w:szCs w:val="18"/>
              </w:rPr>
            </w:pPr>
            <w:r>
              <w:rPr>
                <w:rFonts w:cs="Times New Roman" w:ascii="Times New Roman" w:hAnsi="Times New Roman"/>
                <w:b/>
                <w:bCs/>
                <w:sz w:val="18"/>
                <w:szCs w:val="18"/>
              </w:rPr>
              <w:t>Formula (Sentinel-2 bands)</w:t>
            </w:r>
          </w:p>
        </w:tc>
        <w:tc>
          <w:tcPr>
            <w:tcW w:w="3201" w:type="dxa"/>
            <w:tcBorders>
              <w:top w:val="single" w:sz="8" w:space="0" w:color="000000"/>
              <w:bottom w:val="single" w:sz="4" w:space="0" w:color="000000"/>
            </w:tcBorders>
          </w:tcPr>
          <w:p>
            <w:pPr>
              <w:pStyle w:val="Normal"/>
              <w:widowControl w:val="false"/>
              <w:spacing w:lineRule="auto" w:line="240" w:before="0" w:after="0"/>
              <w:jc w:val="center"/>
              <w:rPr>
                <w:sz w:val="18"/>
                <w:szCs w:val="18"/>
              </w:rPr>
            </w:pPr>
            <w:r>
              <w:rPr>
                <w:rFonts w:cs="Times New Roman" w:ascii="Times New Roman" w:hAnsi="Times New Roman"/>
                <w:b/>
                <w:bCs/>
                <w:sz w:val="18"/>
                <w:szCs w:val="18"/>
              </w:rPr>
              <w:t>Intended interpretation</w:t>
            </w:r>
          </w:p>
        </w:tc>
        <w:tc>
          <w:tcPr>
            <w:tcW w:w="2398" w:type="dxa"/>
            <w:tcBorders>
              <w:top w:val="single" w:sz="8" w:space="0" w:color="000000"/>
              <w:bottom w:val="single" w:sz="4" w:space="0" w:color="000000"/>
            </w:tcBorders>
          </w:tcPr>
          <w:p>
            <w:pPr>
              <w:pStyle w:val="Normal"/>
              <w:widowControl w:val="false"/>
              <w:spacing w:lineRule="auto" w:line="240" w:before="0" w:after="0"/>
              <w:jc w:val="center"/>
              <w:rPr>
                <w:sz w:val="18"/>
                <w:szCs w:val="18"/>
              </w:rPr>
            </w:pPr>
            <w:r>
              <w:rPr>
                <w:rFonts w:cs="Times New Roman" w:ascii="Times New Roman" w:hAnsi="Times New Roman"/>
                <w:b/>
                <w:bCs/>
                <w:sz w:val="18"/>
                <w:szCs w:val="18"/>
              </w:rPr>
              <w:t>Caveat</w:t>
            </w:r>
          </w:p>
        </w:tc>
      </w:tr>
      <w:tr>
        <w:trPr/>
        <w:tc>
          <w:tcPr>
            <w:tcW w:w="1500" w:type="dxa"/>
            <w:tcBorders/>
          </w:tcPr>
          <w:p>
            <w:pPr>
              <w:pStyle w:val="Normal"/>
              <w:widowControl w:val="false"/>
              <w:spacing w:lineRule="auto" w:line="240" w:before="0" w:after="0"/>
              <w:rPr>
                <w:sz w:val="18"/>
                <w:szCs w:val="18"/>
              </w:rPr>
            </w:pPr>
            <w:r>
              <w:rPr>
                <w:rFonts w:cs="Times New Roman" w:ascii="Times New Roman" w:hAnsi="Times New Roman"/>
                <w:sz w:val="18"/>
                <w:szCs w:val="18"/>
              </w:rPr>
              <w:t>NDCI</w:t>
            </w:r>
          </w:p>
        </w:tc>
        <w:tc>
          <w:tcPr>
            <w:tcW w:w="23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(B5 − B4) / (B5 + B4)</w:t>
            </w:r>
          </w:p>
        </w:tc>
        <w:tc>
          <w:tcPr>
            <w:tcW w:w="3201"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Chlorophyll-a-related signal (Mishra &amp; Mishra, 2012)</w:t>
            </w:r>
          </w:p>
        </w:tc>
        <w:tc>
          <w:tcPr>
            <w:tcW w:w="239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Developed for turbid, productive waters</w:t>
            </w:r>
          </w:p>
        </w:tc>
      </w:tr>
      <w:tr>
        <w:trPr/>
        <w:tc>
          <w:tcPr>
            <w:tcW w:w="1500" w:type="dxa"/>
            <w:tcBorders/>
          </w:tcPr>
          <w:p>
            <w:pPr>
              <w:pStyle w:val="Normal"/>
              <w:widowControl w:val="false"/>
              <w:spacing w:lineRule="auto" w:line="240" w:before="0" w:after="0"/>
              <w:rPr>
                <w:sz w:val="18"/>
                <w:szCs w:val="18"/>
              </w:rPr>
            </w:pPr>
            <w:r>
              <w:rPr>
                <w:rFonts w:cs="Times New Roman" w:ascii="Times New Roman" w:hAnsi="Times New Roman"/>
                <w:sz w:val="18"/>
                <w:szCs w:val="18"/>
              </w:rPr>
              <w:t>NDVI</w:t>
            </w:r>
          </w:p>
        </w:tc>
        <w:tc>
          <w:tcPr>
            <w:tcW w:w="23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(B8 − B4) / (B8 + B4)</w:t>
            </w:r>
          </w:p>
        </w:tc>
        <w:tc>
          <w:tcPr>
            <w:tcW w:w="3201"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Vegetation-associated signal (Huete et al., 2002; Pettorelli et al., 2005)</w:t>
            </w:r>
          </w:p>
        </w:tc>
        <w:tc>
          <w:tcPr>
            <w:tcW w:w="239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Sensitive to mixed water–land pixels</w:t>
            </w:r>
          </w:p>
        </w:tc>
      </w:tr>
      <w:tr>
        <w:trPr/>
        <w:tc>
          <w:tcPr>
            <w:tcW w:w="1500" w:type="dxa"/>
            <w:tcBorders/>
          </w:tcPr>
          <w:p>
            <w:pPr>
              <w:pStyle w:val="Normal"/>
              <w:widowControl w:val="false"/>
              <w:spacing w:lineRule="auto" w:line="240" w:before="0" w:after="0"/>
              <w:rPr>
                <w:sz w:val="18"/>
                <w:szCs w:val="18"/>
              </w:rPr>
            </w:pPr>
            <w:r>
              <w:rPr>
                <w:rFonts w:cs="Times New Roman" w:ascii="Times New Roman" w:hAnsi="Times New Roman"/>
                <w:sz w:val="18"/>
                <w:szCs w:val="18"/>
              </w:rPr>
              <w:t>NDWI</w:t>
            </w:r>
          </w:p>
        </w:tc>
        <w:tc>
          <w:tcPr>
            <w:tcW w:w="23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(B3 − B8) / (B3 + B8)</w:t>
            </w:r>
          </w:p>
        </w:tc>
        <w:tc>
          <w:tcPr>
            <w:tcW w:w="3201"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Open-water signal (McFeeters, 1996)</w:t>
            </w:r>
          </w:p>
        </w:tc>
        <w:tc>
          <w:tcPr>
            <w:tcW w:w="239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Not a measure of water extent</w:t>
            </w:r>
          </w:p>
        </w:tc>
      </w:tr>
      <w:tr>
        <w:trPr/>
        <w:tc>
          <w:tcPr>
            <w:tcW w:w="1500" w:type="dxa"/>
            <w:tcBorders>
              <w:bottom w:val="single" w:sz="8" w:space="0" w:color="000000"/>
            </w:tcBorders>
          </w:tcPr>
          <w:p>
            <w:pPr>
              <w:pStyle w:val="Normal"/>
              <w:widowControl w:val="false"/>
              <w:spacing w:lineRule="auto" w:line="240" w:before="0" w:after="0"/>
              <w:rPr>
                <w:sz w:val="18"/>
                <w:szCs w:val="18"/>
              </w:rPr>
            </w:pPr>
            <w:r>
              <w:rPr>
                <w:rFonts w:cs="Times New Roman" w:ascii="Times New Roman" w:hAnsi="Times New Roman"/>
                <w:sz w:val="18"/>
                <w:szCs w:val="18"/>
              </w:rPr>
              <w:t>NDTI</w:t>
            </w:r>
          </w:p>
        </w:tc>
        <w:tc>
          <w:tcPr>
            <w:tcW w:w="2300" w:type="dxa"/>
            <w:tcBorders>
              <w:bottom w:val="single" w:sz="8" w:space="0" w:color="000000"/>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(B4 − B3) / (B4 + B3)</w:t>
            </w:r>
          </w:p>
        </w:tc>
        <w:tc>
          <w:tcPr>
            <w:tcW w:w="3201" w:type="dxa"/>
            <w:tcBorders>
              <w:bottom w:val="single" w:sz="8" w:space="0" w:color="000000"/>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Relative turbidity signal (Lacaux et al., 2007)</w:t>
            </w:r>
          </w:p>
        </w:tc>
        <w:tc>
          <w:tcPr>
            <w:tcW w:w="2398" w:type="dxa"/>
            <w:tcBorders>
              <w:bottom w:val="single" w:sz="8" w:space="0" w:color="000000"/>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Qualitative; meaningful only over water</w:t>
            </w:r>
          </w:p>
        </w:tc>
      </w:tr>
    </w:tbl>
    <w:p>
      <w:pPr>
        <w:pStyle w:val="Normal"/>
        <w:spacing w:lineRule="auto" w:line="276" w:before="60" w:after="120"/>
        <w:jc w:val="both"/>
        <w:rPr/>
      </w:pPr>
      <w:r>
        <w:rPr>
          <w:rFonts w:cs="Times New Roman" w:ascii="Times New Roman" w:hAnsi="Times New Roman"/>
          <w:i/>
          <w:iCs/>
          <w:sz w:val="18"/>
          <w:szCs w:val="18"/>
        </w:rPr>
        <w:t xml:space="preserve">Note. </w:t>
      </w:r>
      <w:r>
        <w:rPr>
          <w:rFonts w:cs="Times New Roman" w:ascii="Times New Roman" w:hAnsi="Times New Roman"/>
          <w:sz w:val="18"/>
          <w:szCs w:val="18"/>
        </w:rPr>
        <w:t>Bands: B3 green (560 nm), B4 red (665 nm), B5 red edge (705 nm), B8 near-infrared (842 nm); nominal centre wavelengths. Inputs are the mean reflectances of cloud-free 30 m pixels inside the lake polygon.</w:t>
      </w:r>
    </w:p>
    <w:p>
      <w:pPr>
        <w:pStyle w:val="Normal"/>
        <w:spacing w:lineRule="auto" w:line="360" w:before="240" w:after="60"/>
        <w:rPr/>
      </w:pPr>
      <w:r>
        <w:rPr>
          <w:rFonts w:cs="Times New Roman" w:ascii="Times New Roman" w:hAnsi="Times New Roman"/>
          <w:b/>
          <w:bCs/>
          <w:sz w:val="20"/>
          <w:szCs w:val="20"/>
        </w:rPr>
        <w:t>Table 3</w:t>
      </w:r>
    </w:p>
    <w:p>
      <w:pPr>
        <w:pStyle w:val="Normal"/>
        <w:spacing w:lineRule="auto" w:line="360" w:before="0" w:after="60"/>
        <w:rPr/>
      </w:pPr>
      <w:r>
        <w:rPr>
          <w:rFonts w:cs="Times New Roman" w:ascii="Times New Roman" w:hAnsi="Times New Roman"/>
          <w:i/>
          <w:iCs/>
          <w:sz w:val="20"/>
          <w:szCs w:val="20"/>
        </w:rPr>
        <w:t>Retrieval and forecast-evidence summary for the five Ramsar sites</w:t>
      </w:r>
    </w:p>
    <w:tbl>
      <w:tblPr>
        <w:tblW w:w="900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49"/>
        <w:gridCol w:w="951"/>
        <w:gridCol w:w="750"/>
        <w:gridCol w:w="800"/>
        <w:gridCol w:w="900"/>
        <w:gridCol w:w="849"/>
        <w:gridCol w:w="1202"/>
        <w:gridCol w:w="1100"/>
        <w:gridCol w:w="998"/>
      </w:tblGrid>
      <w:tr>
        <w:trPr>
          <w:tblHeader w:val="true"/>
        </w:trPr>
        <w:tc>
          <w:tcPr>
            <w:tcW w:w="1449" w:type="dxa"/>
            <w:tcBorders>
              <w:top w:val="single" w:sz="8" w:space="0" w:color="000000"/>
              <w:bottom w:val="single" w:sz="4" w:space="0" w:color="000000"/>
            </w:tcBorders>
          </w:tcPr>
          <w:p>
            <w:pPr>
              <w:pStyle w:val="Normal"/>
              <w:widowControl w:val="false"/>
              <w:spacing w:lineRule="auto" w:line="240" w:before="0" w:after="0"/>
              <w:rPr>
                <w:sz w:val="18"/>
                <w:szCs w:val="18"/>
              </w:rPr>
            </w:pPr>
            <w:r>
              <w:rPr>
                <w:rFonts w:cs="Times New Roman" w:ascii="Times New Roman" w:hAnsi="Times New Roman"/>
                <w:b/>
                <w:bCs/>
                <w:sz w:val="18"/>
                <w:szCs w:val="18"/>
              </w:rPr>
              <w:t>Site</w:t>
            </w:r>
          </w:p>
        </w:tc>
        <w:tc>
          <w:tcPr>
            <w:tcW w:w="951" w:type="dxa"/>
            <w:tcBorders>
              <w:top w:val="single" w:sz="8" w:space="0" w:color="000000"/>
              <w:bottom w:val="single" w:sz="4" w:space="0" w:color="000000"/>
            </w:tcBorders>
          </w:tcPr>
          <w:p>
            <w:pPr>
              <w:pStyle w:val="Normal"/>
              <w:widowControl w:val="false"/>
              <w:spacing w:lineRule="auto" w:line="240" w:before="0" w:after="0"/>
              <w:jc w:val="center"/>
              <w:rPr>
                <w:sz w:val="18"/>
                <w:szCs w:val="18"/>
              </w:rPr>
            </w:pPr>
            <w:r>
              <w:rPr>
                <w:rFonts w:cs="Times New Roman" w:ascii="Times New Roman" w:hAnsi="Times New Roman"/>
                <w:b/>
                <w:bCs/>
                <w:sz w:val="18"/>
                <w:szCs w:val="18"/>
              </w:rPr>
              <w:t>lake_id</w:t>
            </w:r>
          </w:p>
        </w:tc>
        <w:tc>
          <w:tcPr>
            <w:tcW w:w="750" w:type="dxa"/>
            <w:tcBorders>
              <w:top w:val="single" w:sz="8" w:space="0" w:color="000000"/>
              <w:bottom w:val="single" w:sz="4" w:space="0" w:color="000000"/>
            </w:tcBorders>
          </w:tcPr>
          <w:p>
            <w:pPr>
              <w:pStyle w:val="Normal"/>
              <w:widowControl w:val="false"/>
              <w:spacing w:lineRule="auto" w:line="240" w:before="0" w:after="0"/>
              <w:jc w:val="center"/>
              <w:rPr>
                <w:sz w:val="18"/>
                <w:szCs w:val="18"/>
              </w:rPr>
            </w:pPr>
            <w:r>
              <w:rPr>
                <w:rFonts w:cs="Times New Roman" w:ascii="Times New Roman" w:hAnsi="Times New Roman"/>
                <w:b/>
                <w:bCs/>
                <w:sz w:val="18"/>
                <w:szCs w:val="18"/>
              </w:rPr>
              <w:t>Area (km²)</w:t>
            </w:r>
          </w:p>
        </w:tc>
        <w:tc>
          <w:tcPr>
            <w:tcW w:w="800" w:type="dxa"/>
            <w:tcBorders>
              <w:top w:val="single" w:sz="8" w:space="0" w:color="000000"/>
              <w:bottom w:val="single" w:sz="4" w:space="0" w:color="000000"/>
            </w:tcBorders>
          </w:tcPr>
          <w:p>
            <w:pPr>
              <w:pStyle w:val="Normal"/>
              <w:widowControl w:val="false"/>
              <w:spacing w:lineRule="auto" w:line="240" w:before="0" w:after="0"/>
              <w:jc w:val="center"/>
              <w:rPr>
                <w:sz w:val="18"/>
                <w:szCs w:val="18"/>
              </w:rPr>
            </w:pPr>
            <w:r>
              <w:rPr>
                <w:rFonts w:cs="Times New Roman" w:ascii="Times New Roman" w:hAnsi="Times New Roman"/>
                <w:b/>
                <w:bCs/>
                <w:sz w:val="18"/>
                <w:szCs w:val="18"/>
              </w:rPr>
              <w:t>Elev. (m)</w:t>
            </w:r>
          </w:p>
        </w:tc>
        <w:tc>
          <w:tcPr>
            <w:tcW w:w="900" w:type="dxa"/>
            <w:tcBorders>
              <w:top w:val="single" w:sz="8" w:space="0" w:color="000000"/>
              <w:bottom w:val="single" w:sz="4" w:space="0" w:color="000000"/>
            </w:tcBorders>
          </w:tcPr>
          <w:p>
            <w:pPr>
              <w:pStyle w:val="Normal"/>
              <w:widowControl w:val="false"/>
              <w:spacing w:lineRule="auto" w:line="240" w:before="0" w:after="0"/>
              <w:jc w:val="center"/>
              <w:rPr>
                <w:sz w:val="18"/>
                <w:szCs w:val="18"/>
              </w:rPr>
            </w:pPr>
            <w:r>
              <w:rPr>
                <w:rFonts w:cs="Times New Roman" w:ascii="Times New Roman" w:hAnsi="Times New Roman"/>
                <w:b/>
                <w:bCs/>
                <w:sz w:val="18"/>
                <w:szCs w:val="18"/>
              </w:rPr>
              <w:t>Rank-1 raw cosine</w:t>
            </w:r>
          </w:p>
        </w:tc>
        <w:tc>
          <w:tcPr>
            <w:tcW w:w="849" w:type="dxa"/>
            <w:tcBorders>
              <w:top w:val="single" w:sz="8" w:space="0" w:color="000000"/>
              <w:bottom w:val="single" w:sz="4" w:space="0" w:color="000000"/>
            </w:tcBorders>
          </w:tcPr>
          <w:p>
            <w:pPr>
              <w:pStyle w:val="Normal"/>
              <w:widowControl w:val="false"/>
              <w:spacing w:lineRule="auto" w:line="240" w:before="0" w:after="0"/>
              <w:jc w:val="center"/>
              <w:rPr>
                <w:sz w:val="18"/>
                <w:szCs w:val="18"/>
              </w:rPr>
            </w:pPr>
            <w:r>
              <w:rPr>
                <w:rFonts w:cs="Times New Roman" w:ascii="Times New Roman" w:hAnsi="Times New Roman"/>
                <w:b/>
                <w:bCs/>
                <w:sz w:val="18"/>
                <w:szCs w:val="18"/>
              </w:rPr>
              <w:t>Gap rank 1–10</w:t>
            </w:r>
          </w:p>
        </w:tc>
        <w:tc>
          <w:tcPr>
            <w:tcW w:w="1202" w:type="dxa"/>
            <w:tcBorders>
              <w:top w:val="single" w:sz="8" w:space="0" w:color="000000"/>
              <w:bottom w:val="single" w:sz="4" w:space="0" w:color="000000"/>
            </w:tcBorders>
          </w:tcPr>
          <w:p>
            <w:pPr>
              <w:pStyle w:val="Normal"/>
              <w:widowControl w:val="false"/>
              <w:spacing w:lineRule="auto" w:line="240" w:before="0" w:after="0"/>
              <w:jc w:val="center"/>
              <w:rPr>
                <w:sz w:val="18"/>
                <w:szCs w:val="18"/>
              </w:rPr>
            </w:pPr>
            <w:r>
              <w:rPr>
                <w:rFonts w:cs="Times New Roman" w:ascii="Times New Roman" w:hAnsi="Times New Roman"/>
                <w:b/>
                <w:bCs/>
                <w:sz w:val="18"/>
                <w:szCs w:val="18"/>
              </w:rPr>
              <w:t>Forecast analogs (ranks)</w:t>
            </w:r>
          </w:p>
        </w:tc>
        <w:tc>
          <w:tcPr>
            <w:tcW w:w="1100" w:type="dxa"/>
            <w:tcBorders>
              <w:top w:val="single" w:sz="8" w:space="0" w:color="000000"/>
              <w:bottom w:val="single" w:sz="4" w:space="0" w:color="000000"/>
            </w:tcBorders>
          </w:tcPr>
          <w:p>
            <w:pPr>
              <w:pStyle w:val="Normal"/>
              <w:widowControl w:val="false"/>
              <w:spacing w:lineRule="auto" w:line="240" w:before="0" w:after="0"/>
              <w:jc w:val="center"/>
              <w:rPr>
                <w:sz w:val="18"/>
                <w:szCs w:val="18"/>
              </w:rPr>
            </w:pPr>
            <w:r>
              <w:rPr>
                <w:rFonts w:cs="Times New Roman" w:ascii="Times New Roman" w:hAnsi="Times New Roman"/>
                <w:b/>
                <w:bCs/>
                <w:sz w:val="18"/>
                <w:szCs w:val="18"/>
              </w:rPr>
              <w:t>Analogs (n)</w:t>
            </w:r>
          </w:p>
        </w:tc>
        <w:tc>
          <w:tcPr>
            <w:tcW w:w="998" w:type="dxa"/>
            <w:tcBorders>
              <w:top w:val="single" w:sz="8" w:space="0" w:color="000000"/>
              <w:bottom w:val="single" w:sz="4" w:space="0" w:color="000000"/>
            </w:tcBorders>
          </w:tcPr>
          <w:p>
            <w:pPr>
              <w:pStyle w:val="Normal"/>
              <w:widowControl w:val="false"/>
              <w:spacing w:lineRule="auto" w:line="240" w:before="0" w:after="0"/>
              <w:jc w:val="center"/>
              <w:rPr>
                <w:sz w:val="18"/>
                <w:szCs w:val="18"/>
              </w:rPr>
            </w:pPr>
            <w:r>
              <w:rPr>
                <w:rFonts w:cs="Times New Roman" w:ascii="Times New Roman" w:hAnsi="Times New Roman"/>
                <w:b/>
                <w:bCs/>
                <w:sz w:val="18"/>
                <w:szCs w:val="18"/>
              </w:rPr>
              <w:t>Uncertain</w:t>
            </w:r>
          </w:p>
        </w:tc>
      </w:tr>
      <w:tr>
        <w:trPr/>
        <w:tc>
          <w:tcPr>
            <w:tcW w:w="1449" w:type="dxa"/>
            <w:tcBorders/>
          </w:tcPr>
          <w:p>
            <w:pPr>
              <w:pStyle w:val="Normal"/>
              <w:widowControl w:val="false"/>
              <w:spacing w:lineRule="auto" w:line="240" w:before="0" w:after="0"/>
              <w:rPr>
                <w:sz w:val="18"/>
                <w:szCs w:val="18"/>
              </w:rPr>
            </w:pPr>
            <w:r>
              <w:rPr>
                <w:rFonts w:cs="Times New Roman" w:ascii="Times New Roman" w:hAnsi="Times New Roman"/>
                <w:sz w:val="18"/>
                <w:szCs w:val="18"/>
              </w:rPr>
              <w:t>Chilika Lagoon</w:t>
            </w:r>
          </w:p>
        </w:tc>
        <w:tc>
          <w:tcPr>
            <w:tcW w:w="951"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1506</w:t>
            </w:r>
          </w:p>
        </w:tc>
        <w:tc>
          <w:tcPr>
            <w:tcW w:w="75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843.2</w:t>
            </w:r>
          </w:p>
        </w:tc>
        <w:tc>
          <w:tcPr>
            <w:tcW w:w="8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1</w:t>
            </w:r>
          </w:p>
        </w:tc>
        <w:tc>
          <w:tcPr>
            <w:tcW w:w="9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0.99590</w:t>
            </w:r>
          </w:p>
        </w:tc>
        <w:tc>
          <w:tcPr>
            <w:tcW w:w="84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0.0025</w:t>
            </w:r>
          </w:p>
        </w:tc>
        <w:tc>
          <w:tcPr>
            <w:tcW w:w="120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2, 3, 5, 7, 9</w:t>
            </w:r>
          </w:p>
        </w:tc>
        <w:tc>
          <w:tcPr>
            <w:tcW w:w="11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5/2/2</w:t>
            </w:r>
          </w:p>
        </w:tc>
        <w:tc>
          <w:tcPr>
            <w:tcW w:w="99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w:t>
            </w:r>
          </w:p>
        </w:tc>
      </w:tr>
      <w:tr>
        <w:trPr/>
        <w:tc>
          <w:tcPr>
            <w:tcW w:w="1449" w:type="dxa"/>
            <w:tcBorders/>
          </w:tcPr>
          <w:p>
            <w:pPr>
              <w:pStyle w:val="Normal"/>
              <w:widowControl w:val="false"/>
              <w:spacing w:lineRule="auto" w:line="240" w:before="0" w:after="0"/>
              <w:rPr>
                <w:sz w:val="18"/>
                <w:szCs w:val="18"/>
              </w:rPr>
            </w:pPr>
            <w:r>
              <w:rPr>
                <w:rFonts w:cs="Times New Roman" w:ascii="Times New Roman" w:hAnsi="Times New Roman"/>
                <w:sz w:val="18"/>
                <w:szCs w:val="18"/>
              </w:rPr>
              <w:t>Maharana Pratap Sagar (Beas)</w:t>
            </w:r>
          </w:p>
        </w:tc>
        <w:tc>
          <w:tcPr>
            <w:tcW w:w="951"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1423</w:t>
            </w:r>
          </w:p>
        </w:tc>
        <w:tc>
          <w:tcPr>
            <w:tcW w:w="75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189.4</w:t>
            </w:r>
          </w:p>
        </w:tc>
        <w:tc>
          <w:tcPr>
            <w:tcW w:w="8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407</w:t>
            </w:r>
          </w:p>
        </w:tc>
        <w:tc>
          <w:tcPr>
            <w:tcW w:w="9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0.99822</w:t>
            </w:r>
          </w:p>
        </w:tc>
        <w:tc>
          <w:tcPr>
            <w:tcW w:w="84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0.0027</w:t>
            </w:r>
          </w:p>
        </w:tc>
        <w:tc>
          <w:tcPr>
            <w:tcW w:w="120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2, 3, 5, 7, 8</w:t>
            </w:r>
          </w:p>
        </w:tc>
        <w:tc>
          <w:tcPr>
            <w:tcW w:w="11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5/4/4</w:t>
            </w:r>
          </w:p>
        </w:tc>
        <w:tc>
          <w:tcPr>
            <w:tcW w:w="99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w:t>
            </w:r>
          </w:p>
        </w:tc>
      </w:tr>
      <w:tr>
        <w:trPr/>
        <w:tc>
          <w:tcPr>
            <w:tcW w:w="1449" w:type="dxa"/>
            <w:tcBorders/>
          </w:tcPr>
          <w:p>
            <w:pPr>
              <w:pStyle w:val="Normal"/>
              <w:widowControl w:val="false"/>
              <w:spacing w:lineRule="auto" w:line="240" w:before="0" w:after="0"/>
              <w:rPr>
                <w:sz w:val="18"/>
                <w:szCs w:val="18"/>
              </w:rPr>
            </w:pPr>
            <w:r>
              <w:rPr>
                <w:rFonts w:cs="Times New Roman" w:ascii="Times New Roman" w:hAnsi="Times New Roman"/>
                <w:sz w:val="18"/>
                <w:szCs w:val="18"/>
              </w:rPr>
              <w:t>Tawa Reservoir</w:t>
            </w:r>
          </w:p>
        </w:tc>
        <w:tc>
          <w:tcPr>
            <w:tcW w:w="951"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1498</w:t>
            </w:r>
          </w:p>
        </w:tc>
        <w:tc>
          <w:tcPr>
            <w:tcW w:w="75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101.6</w:t>
            </w:r>
          </w:p>
        </w:tc>
        <w:tc>
          <w:tcPr>
            <w:tcW w:w="8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348</w:t>
            </w:r>
          </w:p>
        </w:tc>
        <w:tc>
          <w:tcPr>
            <w:tcW w:w="9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0.99856</w:t>
            </w:r>
          </w:p>
        </w:tc>
        <w:tc>
          <w:tcPr>
            <w:tcW w:w="84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0.0013</w:t>
            </w:r>
          </w:p>
        </w:tc>
        <w:tc>
          <w:tcPr>
            <w:tcW w:w="120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1, 2, 4, 6, 9</w:t>
            </w:r>
          </w:p>
        </w:tc>
        <w:tc>
          <w:tcPr>
            <w:tcW w:w="11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5/5/3</w:t>
            </w:r>
          </w:p>
        </w:tc>
        <w:tc>
          <w:tcPr>
            <w:tcW w:w="99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w:t>
            </w:r>
          </w:p>
        </w:tc>
      </w:tr>
      <w:tr>
        <w:trPr/>
        <w:tc>
          <w:tcPr>
            <w:tcW w:w="1449" w:type="dxa"/>
            <w:tcBorders/>
          </w:tcPr>
          <w:p>
            <w:pPr>
              <w:pStyle w:val="Normal"/>
              <w:widowControl w:val="false"/>
              <w:spacing w:lineRule="auto" w:line="240" w:before="0" w:after="0"/>
              <w:rPr>
                <w:sz w:val="18"/>
                <w:szCs w:val="18"/>
              </w:rPr>
            </w:pPr>
            <w:r>
              <w:rPr>
                <w:rFonts w:cs="Times New Roman" w:ascii="Times New Roman" w:hAnsi="Times New Roman"/>
                <w:sz w:val="18"/>
                <w:szCs w:val="18"/>
              </w:rPr>
              <w:t>Tso Morari</w:t>
            </w:r>
          </w:p>
        </w:tc>
        <w:tc>
          <w:tcPr>
            <w:tcW w:w="951"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1413</w:t>
            </w:r>
          </w:p>
        </w:tc>
        <w:tc>
          <w:tcPr>
            <w:tcW w:w="75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141.3</w:t>
            </w:r>
          </w:p>
        </w:tc>
        <w:tc>
          <w:tcPr>
            <w:tcW w:w="8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4,522</w:t>
            </w:r>
          </w:p>
        </w:tc>
        <w:tc>
          <w:tcPr>
            <w:tcW w:w="9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0.99721</w:t>
            </w:r>
          </w:p>
        </w:tc>
        <w:tc>
          <w:tcPr>
            <w:tcW w:w="84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0.0168</w:t>
            </w:r>
          </w:p>
        </w:tc>
        <w:tc>
          <w:tcPr>
            <w:tcW w:w="120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3, 4, 6, 7, 8</w:t>
            </w:r>
          </w:p>
        </w:tc>
        <w:tc>
          <w:tcPr>
            <w:tcW w:w="11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5/3/2</w:t>
            </w:r>
          </w:p>
        </w:tc>
        <w:tc>
          <w:tcPr>
            <w:tcW w:w="99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w:t>
            </w:r>
          </w:p>
        </w:tc>
      </w:tr>
      <w:tr>
        <w:trPr/>
        <w:tc>
          <w:tcPr>
            <w:tcW w:w="1449" w:type="dxa"/>
            <w:tcBorders>
              <w:bottom w:val="single" w:sz="8" w:space="0" w:color="000000"/>
            </w:tcBorders>
          </w:tcPr>
          <w:p>
            <w:pPr>
              <w:pStyle w:val="Normal"/>
              <w:widowControl w:val="false"/>
              <w:spacing w:lineRule="auto" w:line="240" w:before="0" w:after="0"/>
              <w:rPr>
                <w:sz w:val="18"/>
                <w:szCs w:val="18"/>
              </w:rPr>
            </w:pPr>
            <w:r>
              <w:rPr>
                <w:rFonts w:cs="Times New Roman" w:ascii="Times New Roman" w:hAnsi="Times New Roman"/>
                <w:sz w:val="18"/>
                <w:szCs w:val="18"/>
              </w:rPr>
              <w:t>Sasthamcotta Lake</w:t>
            </w:r>
          </w:p>
        </w:tc>
        <w:tc>
          <w:tcPr>
            <w:tcW w:w="951" w:type="dxa"/>
            <w:tcBorders>
              <w:bottom w:val="single" w:sz="8" w:space="0" w:color="000000"/>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179921</w:t>
            </w:r>
          </w:p>
        </w:tc>
        <w:tc>
          <w:tcPr>
            <w:tcW w:w="750" w:type="dxa"/>
            <w:tcBorders>
              <w:bottom w:val="single" w:sz="8" w:space="0" w:color="000000"/>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3.2</w:t>
            </w:r>
          </w:p>
        </w:tc>
        <w:tc>
          <w:tcPr>
            <w:tcW w:w="800" w:type="dxa"/>
            <w:tcBorders>
              <w:bottom w:val="single" w:sz="8" w:space="0" w:color="000000"/>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4</w:t>
            </w:r>
          </w:p>
        </w:tc>
        <w:tc>
          <w:tcPr>
            <w:tcW w:w="900" w:type="dxa"/>
            <w:tcBorders>
              <w:bottom w:val="single" w:sz="8" w:space="0" w:color="000000"/>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0.99437</w:t>
            </w:r>
          </w:p>
        </w:tc>
        <w:tc>
          <w:tcPr>
            <w:tcW w:w="849" w:type="dxa"/>
            <w:tcBorders>
              <w:bottom w:val="single" w:sz="8" w:space="0" w:color="000000"/>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0.0027</w:t>
            </w:r>
          </w:p>
        </w:tc>
        <w:tc>
          <w:tcPr>
            <w:tcW w:w="1202" w:type="dxa"/>
            <w:tcBorders>
              <w:bottom w:val="single" w:sz="8" w:space="0" w:color="000000"/>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1, 2, 3, 6, 8</w:t>
            </w:r>
          </w:p>
        </w:tc>
        <w:tc>
          <w:tcPr>
            <w:tcW w:w="1100" w:type="dxa"/>
            <w:tcBorders>
              <w:bottom w:val="single" w:sz="8" w:space="0" w:color="000000"/>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5/3/1</w:t>
            </w:r>
          </w:p>
        </w:tc>
        <w:tc>
          <w:tcPr>
            <w:tcW w:w="998" w:type="dxa"/>
            <w:tcBorders>
              <w:bottom w:val="single" w:sz="8" w:space="0" w:color="000000"/>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4</w:t>
            </w:r>
          </w:p>
        </w:tc>
      </w:tr>
    </w:tbl>
    <w:p>
      <w:pPr>
        <w:pStyle w:val="Normal"/>
        <w:spacing w:lineRule="auto" w:line="276" w:before="60" w:after="120"/>
        <w:jc w:val="both"/>
        <w:rPr/>
      </w:pPr>
      <w:r>
        <w:rPr>
          <w:rFonts w:cs="Times New Roman" w:ascii="Times New Roman" w:hAnsi="Times New Roman"/>
          <w:i/>
          <w:iCs/>
          <w:sz w:val="18"/>
          <w:szCs w:val="18"/>
        </w:rPr>
        <w:t xml:space="preserve">Note. </w:t>
      </w:r>
      <w:r>
        <w:rPr>
          <w:rFonts w:cs="Times New Roman" w:ascii="Times New Roman" w:hAnsi="Times New Roman"/>
          <w:sz w:val="18"/>
          <w:szCs w:val="18"/>
        </w:rPr>
        <w:t>Analogs (n) is the number of contributing analogs in 2026/2027/2028. Gap rank 1–10 is the raw-cosine difference between the first- and tenth-ranked analogs. Each query compared the 2021–2025 trajectory with 4,946 candidate windows from the other 828 lakes. Area and elevation are HydroLAKES values. Forecast analogs are the first five of the ten highest-ranked candidates with observations after their matched window.</w:t>
      </w:r>
    </w:p>
    <w:p>
      <w:pPr>
        <w:pStyle w:val="Normal"/>
        <w:spacing w:lineRule="auto" w:line="360" w:before="240" w:after="60"/>
        <w:rPr/>
      </w:pPr>
      <w:r>
        <w:rPr>
          <w:rFonts w:cs="Times New Roman" w:ascii="Times New Roman" w:hAnsi="Times New Roman"/>
          <w:b/>
          <w:bCs/>
          <w:sz w:val="20"/>
          <w:szCs w:val="20"/>
        </w:rPr>
        <w:t>Table 4</w:t>
      </w:r>
    </w:p>
    <w:p>
      <w:pPr>
        <w:pStyle w:val="Normal"/>
        <w:spacing w:lineRule="auto" w:line="360" w:before="0" w:after="60"/>
        <w:rPr/>
      </w:pPr>
      <w:r>
        <w:rPr>
          <w:rFonts w:cs="Times New Roman" w:ascii="Times New Roman" w:hAnsi="Times New Roman"/>
          <w:i/>
          <w:iCs/>
          <w:sz w:val="20"/>
          <w:szCs w:val="20"/>
        </w:rPr>
        <w:t>Measured index histories of the five sites, 2016–2025</w:t>
      </w:r>
    </w:p>
    <w:tbl>
      <w:tblPr>
        <w:tblW w:w="920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00"/>
        <w:gridCol w:w="700"/>
        <w:gridCol w:w="999"/>
        <w:gridCol w:w="1000"/>
        <w:gridCol w:w="1000"/>
        <w:gridCol w:w="1000"/>
        <w:gridCol w:w="1100"/>
      </w:tblGrid>
      <w:tr>
        <w:trPr>
          <w:tblHeader w:val="true"/>
        </w:trPr>
        <w:tc>
          <w:tcPr>
            <w:tcW w:w="3400" w:type="dxa"/>
            <w:tcBorders>
              <w:top w:val="single" w:sz="8" w:space="0" w:color="000000"/>
              <w:bottom w:val="single" w:sz="4" w:space="0" w:color="000000"/>
            </w:tcBorders>
          </w:tcPr>
          <w:p>
            <w:pPr>
              <w:pStyle w:val="Normal"/>
              <w:widowControl w:val="false"/>
              <w:spacing w:lineRule="auto" w:line="240" w:before="0" w:after="0"/>
              <w:rPr>
                <w:sz w:val="18"/>
                <w:szCs w:val="18"/>
              </w:rPr>
            </w:pPr>
            <w:r>
              <w:rPr>
                <w:rFonts w:cs="Times New Roman" w:ascii="Times New Roman" w:hAnsi="Times New Roman"/>
                <w:b/>
                <w:bCs/>
                <w:sz w:val="18"/>
                <w:szCs w:val="18"/>
              </w:rPr>
              <w:t>Site</w:t>
            </w:r>
          </w:p>
        </w:tc>
        <w:tc>
          <w:tcPr>
            <w:tcW w:w="700" w:type="dxa"/>
            <w:tcBorders>
              <w:top w:val="single" w:sz="8" w:space="0" w:color="000000"/>
              <w:bottom w:val="single" w:sz="4" w:space="0" w:color="000000"/>
            </w:tcBorders>
          </w:tcPr>
          <w:p>
            <w:pPr>
              <w:pStyle w:val="Normal"/>
              <w:widowControl w:val="false"/>
              <w:spacing w:lineRule="auto" w:line="240" w:before="0" w:after="0"/>
              <w:jc w:val="center"/>
              <w:rPr>
                <w:sz w:val="18"/>
                <w:szCs w:val="18"/>
              </w:rPr>
            </w:pPr>
            <w:r>
              <w:rPr>
                <w:rFonts w:cs="Times New Roman" w:ascii="Times New Roman" w:hAnsi="Times New Roman"/>
                <w:b/>
                <w:bCs/>
                <w:sz w:val="18"/>
                <w:szCs w:val="18"/>
              </w:rPr>
              <w:t>Year</w:t>
            </w:r>
          </w:p>
        </w:tc>
        <w:tc>
          <w:tcPr>
            <w:tcW w:w="999" w:type="dxa"/>
            <w:tcBorders>
              <w:top w:val="single" w:sz="8" w:space="0" w:color="000000"/>
              <w:bottom w:val="single" w:sz="4" w:space="0" w:color="000000"/>
            </w:tcBorders>
          </w:tcPr>
          <w:p>
            <w:pPr>
              <w:pStyle w:val="Normal"/>
              <w:widowControl w:val="false"/>
              <w:spacing w:lineRule="auto" w:line="240" w:before="0" w:after="0"/>
              <w:jc w:val="center"/>
              <w:rPr>
                <w:sz w:val="18"/>
                <w:szCs w:val="18"/>
              </w:rPr>
            </w:pPr>
            <w:r>
              <w:rPr>
                <w:rFonts w:cs="Times New Roman" w:ascii="Times New Roman" w:hAnsi="Times New Roman"/>
                <w:b/>
                <w:bCs/>
                <w:sz w:val="18"/>
                <w:szCs w:val="18"/>
              </w:rPr>
              <w:t>NDCI</w:t>
            </w:r>
          </w:p>
        </w:tc>
        <w:tc>
          <w:tcPr>
            <w:tcW w:w="1000" w:type="dxa"/>
            <w:tcBorders>
              <w:top w:val="single" w:sz="8" w:space="0" w:color="000000"/>
              <w:bottom w:val="single" w:sz="4" w:space="0" w:color="000000"/>
            </w:tcBorders>
          </w:tcPr>
          <w:p>
            <w:pPr>
              <w:pStyle w:val="Normal"/>
              <w:widowControl w:val="false"/>
              <w:spacing w:lineRule="auto" w:line="240" w:before="0" w:after="0"/>
              <w:jc w:val="center"/>
              <w:rPr>
                <w:sz w:val="18"/>
                <w:szCs w:val="18"/>
              </w:rPr>
            </w:pPr>
            <w:r>
              <w:rPr>
                <w:rFonts w:cs="Times New Roman" w:ascii="Times New Roman" w:hAnsi="Times New Roman"/>
                <w:b/>
                <w:bCs/>
                <w:sz w:val="18"/>
                <w:szCs w:val="18"/>
              </w:rPr>
              <w:t>NDVI</w:t>
            </w:r>
          </w:p>
        </w:tc>
        <w:tc>
          <w:tcPr>
            <w:tcW w:w="1000" w:type="dxa"/>
            <w:tcBorders>
              <w:top w:val="single" w:sz="8" w:space="0" w:color="000000"/>
              <w:bottom w:val="single" w:sz="4" w:space="0" w:color="000000"/>
            </w:tcBorders>
          </w:tcPr>
          <w:p>
            <w:pPr>
              <w:pStyle w:val="Normal"/>
              <w:widowControl w:val="false"/>
              <w:spacing w:lineRule="auto" w:line="240" w:before="0" w:after="0"/>
              <w:jc w:val="center"/>
              <w:rPr>
                <w:sz w:val="18"/>
                <w:szCs w:val="18"/>
              </w:rPr>
            </w:pPr>
            <w:r>
              <w:rPr>
                <w:rFonts w:cs="Times New Roman" w:ascii="Times New Roman" w:hAnsi="Times New Roman"/>
                <w:b/>
                <w:bCs/>
                <w:sz w:val="18"/>
                <w:szCs w:val="18"/>
              </w:rPr>
              <w:t>NDWI</w:t>
            </w:r>
          </w:p>
        </w:tc>
        <w:tc>
          <w:tcPr>
            <w:tcW w:w="1000" w:type="dxa"/>
            <w:tcBorders>
              <w:top w:val="single" w:sz="8" w:space="0" w:color="000000"/>
              <w:bottom w:val="single" w:sz="4" w:space="0" w:color="000000"/>
            </w:tcBorders>
          </w:tcPr>
          <w:p>
            <w:pPr>
              <w:pStyle w:val="Normal"/>
              <w:widowControl w:val="false"/>
              <w:spacing w:lineRule="auto" w:line="240" w:before="0" w:after="0"/>
              <w:jc w:val="center"/>
              <w:rPr>
                <w:sz w:val="18"/>
                <w:szCs w:val="18"/>
              </w:rPr>
            </w:pPr>
            <w:r>
              <w:rPr>
                <w:rFonts w:cs="Times New Roman" w:ascii="Times New Roman" w:hAnsi="Times New Roman"/>
                <w:b/>
                <w:bCs/>
                <w:sz w:val="18"/>
                <w:szCs w:val="18"/>
              </w:rPr>
              <w:t>NDTI</w:t>
            </w:r>
          </w:p>
        </w:tc>
        <w:tc>
          <w:tcPr>
            <w:tcW w:w="1100" w:type="dxa"/>
            <w:tcBorders>
              <w:top w:val="single" w:sz="8" w:space="0" w:color="000000"/>
              <w:bottom w:val="single" w:sz="4" w:space="0" w:color="000000"/>
            </w:tcBorders>
          </w:tcPr>
          <w:p>
            <w:pPr>
              <w:pStyle w:val="Normal"/>
              <w:widowControl w:val="false"/>
              <w:spacing w:lineRule="auto" w:line="240" w:before="0" w:after="0"/>
              <w:jc w:val="center"/>
              <w:rPr>
                <w:sz w:val="18"/>
                <w:szCs w:val="18"/>
              </w:rPr>
            </w:pPr>
            <w:r>
              <w:rPr>
                <w:rFonts w:cs="Times New Roman" w:ascii="Times New Roman" w:hAnsi="Times New Roman"/>
                <w:b/>
                <w:bCs/>
                <w:sz w:val="18"/>
                <w:szCs w:val="18"/>
              </w:rPr>
              <w:t>Clear obs.</w:t>
            </w:r>
          </w:p>
        </w:tc>
      </w:tr>
      <w:tr>
        <w:trPr/>
        <w:tc>
          <w:tcPr>
            <w:tcW w:w="3400" w:type="dxa"/>
            <w:tcBorders/>
          </w:tcPr>
          <w:p>
            <w:pPr>
              <w:pStyle w:val="Normal"/>
              <w:widowControl w:val="false"/>
              <w:spacing w:lineRule="auto" w:line="240" w:before="0" w:after="0"/>
              <w:rPr>
                <w:sz w:val="18"/>
                <w:szCs w:val="18"/>
              </w:rPr>
            </w:pPr>
            <w:r>
              <w:rPr>
                <w:rFonts w:cs="Times New Roman" w:ascii="Times New Roman" w:hAnsi="Times New Roman"/>
                <w:sz w:val="18"/>
                <w:szCs w:val="18"/>
              </w:rPr>
              <w:t>Chilika Lagoon</w:t>
            </w:r>
          </w:p>
        </w:tc>
        <w:tc>
          <w:tcPr>
            <w:tcW w:w="7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2016</w:t>
            </w:r>
          </w:p>
        </w:tc>
        <w:tc>
          <w:tcPr>
            <w:tcW w:w="99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+0.035</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0.078</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+0.130</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0.052</w:t>
            </w:r>
          </w:p>
        </w:tc>
        <w:tc>
          <w:tcPr>
            <w:tcW w:w="11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4.1</w:t>
            </w:r>
          </w:p>
        </w:tc>
      </w:tr>
      <w:tr>
        <w:trPr/>
        <w:tc>
          <w:tcPr>
            <w:tcW w:w="3400" w:type="dxa"/>
            <w:tcBorders/>
          </w:tcPr>
          <w:p>
            <w:pPr>
              <w:pStyle w:val="Normal"/>
              <w:widowControl w:val="false"/>
              <w:spacing w:lineRule="auto" w:line="240" w:before="0" w:after="0"/>
              <w:rPr>
                <w:sz w:val="18"/>
                <w:szCs w:val="18"/>
              </w:rPr>
            </w:pPr>
            <w:r>
              <w:rPr>
                <w:sz w:val="18"/>
                <w:szCs w:val="18"/>
              </w:rPr>
            </w:r>
          </w:p>
        </w:tc>
        <w:tc>
          <w:tcPr>
            <w:tcW w:w="7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2017</w:t>
            </w:r>
          </w:p>
        </w:tc>
        <w:tc>
          <w:tcPr>
            <w:tcW w:w="99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+0.009</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0.219</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+0.362</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0.155</w:t>
            </w:r>
          </w:p>
        </w:tc>
        <w:tc>
          <w:tcPr>
            <w:tcW w:w="11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17.1</w:t>
            </w:r>
          </w:p>
        </w:tc>
      </w:tr>
      <w:tr>
        <w:trPr/>
        <w:tc>
          <w:tcPr>
            <w:tcW w:w="3400" w:type="dxa"/>
            <w:tcBorders/>
          </w:tcPr>
          <w:p>
            <w:pPr>
              <w:pStyle w:val="Normal"/>
              <w:widowControl w:val="false"/>
              <w:spacing w:lineRule="auto" w:line="240" w:before="0" w:after="0"/>
              <w:rPr>
                <w:sz w:val="18"/>
                <w:szCs w:val="18"/>
              </w:rPr>
            </w:pPr>
            <w:r>
              <w:rPr>
                <w:sz w:val="18"/>
                <w:szCs w:val="18"/>
              </w:rPr>
            </w:r>
          </w:p>
        </w:tc>
        <w:tc>
          <w:tcPr>
            <w:tcW w:w="7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2018</w:t>
            </w:r>
          </w:p>
        </w:tc>
        <w:tc>
          <w:tcPr>
            <w:tcW w:w="99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+0.037</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0.185</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+0.312</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0.135</w:t>
            </w:r>
          </w:p>
        </w:tc>
        <w:tc>
          <w:tcPr>
            <w:tcW w:w="11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22.5</w:t>
            </w:r>
          </w:p>
        </w:tc>
      </w:tr>
      <w:tr>
        <w:trPr/>
        <w:tc>
          <w:tcPr>
            <w:tcW w:w="3400" w:type="dxa"/>
            <w:tcBorders/>
          </w:tcPr>
          <w:p>
            <w:pPr>
              <w:pStyle w:val="Normal"/>
              <w:widowControl w:val="false"/>
              <w:spacing w:lineRule="auto" w:line="240" w:before="0" w:after="0"/>
              <w:rPr>
                <w:sz w:val="18"/>
                <w:szCs w:val="18"/>
              </w:rPr>
            </w:pPr>
            <w:r>
              <w:rPr>
                <w:sz w:val="18"/>
                <w:szCs w:val="18"/>
              </w:rPr>
            </w:r>
          </w:p>
        </w:tc>
        <w:tc>
          <w:tcPr>
            <w:tcW w:w="7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2019</w:t>
            </w:r>
          </w:p>
        </w:tc>
        <w:tc>
          <w:tcPr>
            <w:tcW w:w="99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+0.048</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0.152</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+0.258</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0.110</w:t>
            </w:r>
          </w:p>
        </w:tc>
        <w:tc>
          <w:tcPr>
            <w:tcW w:w="11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45.9</w:t>
            </w:r>
          </w:p>
        </w:tc>
      </w:tr>
      <w:tr>
        <w:trPr/>
        <w:tc>
          <w:tcPr>
            <w:tcW w:w="3400" w:type="dxa"/>
            <w:tcBorders/>
          </w:tcPr>
          <w:p>
            <w:pPr>
              <w:pStyle w:val="Normal"/>
              <w:widowControl w:val="false"/>
              <w:spacing w:lineRule="auto" w:line="240" w:before="0" w:after="0"/>
              <w:rPr>
                <w:sz w:val="18"/>
                <w:szCs w:val="18"/>
              </w:rPr>
            </w:pPr>
            <w:r>
              <w:rPr>
                <w:sz w:val="18"/>
                <w:szCs w:val="18"/>
              </w:rPr>
            </w:r>
          </w:p>
        </w:tc>
        <w:tc>
          <w:tcPr>
            <w:tcW w:w="7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2020</w:t>
            </w:r>
          </w:p>
        </w:tc>
        <w:tc>
          <w:tcPr>
            <w:tcW w:w="99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+0.047</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0.138</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+0.262</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0.129</w:t>
            </w:r>
          </w:p>
        </w:tc>
        <w:tc>
          <w:tcPr>
            <w:tcW w:w="11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38.0</w:t>
            </w:r>
          </w:p>
        </w:tc>
      </w:tr>
      <w:tr>
        <w:trPr/>
        <w:tc>
          <w:tcPr>
            <w:tcW w:w="3400" w:type="dxa"/>
            <w:tcBorders/>
          </w:tcPr>
          <w:p>
            <w:pPr>
              <w:pStyle w:val="Normal"/>
              <w:widowControl w:val="false"/>
              <w:spacing w:lineRule="auto" w:line="240" w:before="0" w:after="0"/>
              <w:rPr>
                <w:sz w:val="18"/>
                <w:szCs w:val="18"/>
              </w:rPr>
            </w:pPr>
            <w:r>
              <w:rPr>
                <w:sz w:val="18"/>
                <w:szCs w:val="18"/>
              </w:rPr>
            </w:r>
          </w:p>
        </w:tc>
        <w:tc>
          <w:tcPr>
            <w:tcW w:w="7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2021</w:t>
            </w:r>
          </w:p>
        </w:tc>
        <w:tc>
          <w:tcPr>
            <w:tcW w:w="99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+0.038</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0.106</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+0.209</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0.105</w:t>
            </w:r>
          </w:p>
        </w:tc>
        <w:tc>
          <w:tcPr>
            <w:tcW w:w="11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29.0</w:t>
            </w:r>
          </w:p>
        </w:tc>
      </w:tr>
      <w:tr>
        <w:trPr/>
        <w:tc>
          <w:tcPr>
            <w:tcW w:w="3400" w:type="dxa"/>
            <w:tcBorders/>
          </w:tcPr>
          <w:p>
            <w:pPr>
              <w:pStyle w:val="Normal"/>
              <w:widowControl w:val="false"/>
              <w:spacing w:lineRule="auto" w:line="240" w:before="0" w:after="0"/>
              <w:rPr>
                <w:sz w:val="18"/>
                <w:szCs w:val="18"/>
              </w:rPr>
            </w:pPr>
            <w:r>
              <w:rPr>
                <w:sz w:val="18"/>
                <w:szCs w:val="18"/>
              </w:rPr>
            </w:r>
          </w:p>
        </w:tc>
        <w:tc>
          <w:tcPr>
            <w:tcW w:w="7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2022</w:t>
            </w:r>
          </w:p>
        </w:tc>
        <w:tc>
          <w:tcPr>
            <w:tcW w:w="99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+0.052</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0.125</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+0.227</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0.105</w:t>
            </w:r>
          </w:p>
        </w:tc>
        <w:tc>
          <w:tcPr>
            <w:tcW w:w="11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39.6</w:t>
            </w:r>
          </w:p>
        </w:tc>
      </w:tr>
      <w:tr>
        <w:trPr/>
        <w:tc>
          <w:tcPr>
            <w:tcW w:w="3400" w:type="dxa"/>
            <w:tcBorders/>
          </w:tcPr>
          <w:p>
            <w:pPr>
              <w:pStyle w:val="Normal"/>
              <w:widowControl w:val="false"/>
              <w:spacing w:lineRule="auto" w:line="240" w:before="0" w:after="0"/>
              <w:rPr>
                <w:sz w:val="18"/>
                <w:szCs w:val="18"/>
              </w:rPr>
            </w:pPr>
            <w:r>
              <w:rPr>
                <w:sz w:val="18"/>
                <w:szCs w:val="18"/>
              </w:rPr>
            </w:r>
          </w:p>
        </w:tc>
        <w:tc>
          <w:tcPr>
            <w:tcW w:w="7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2023</w:t>
            </w:r>
          </w:p>
        </w:tc>
        <w:tc>
          <w:tcPr>
            <w:tcW w:w="99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+0.068</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0.135</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+0.280</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0.151</w:t>
            </w:r>
          </w:p>
        </w:tc>
        <w:tc>
          <w:tcPr>
            <w:tcW w:w="11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34.3</w:t>
            </w:r>
          </w:p>
        </w:tc>
      </w:tr>
      <w:tr>
        <w:trPr/>
        <w:tc>
          <w:tcPr>
            <w:tcW w:w="3400" w:type="dxa"/>
            <w:tcBorders/>
          </w:tcPr>
          <w:p>
            <w:pPr>
              <w:pStyle w:val="Normal"/>
              <w:widowControl w:val="false"/>
              <w:spacing w:lineRule="auto" w:line="240" w:before="0" w:after="0"/>
              <w:rPr>
                <w:sz w:val="18"/>
                <w:szCs w:val="18"/>
              </w:rPr>
            </w:pPr>
            <w:r>
              <w:rPr>
                <w:sz w:val="18"/>
                <w:szCs w:val="18"/>
              </w:rPr>
            </w:r>
          </w:p>
        </w:tc>
        <w:tc>
          <w:tcPr>
            <w:tcW w:w="7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2024</w:t>
            </w:r>
          </w:p>
        </w:tc>
        <w:tc>
          <w:tcPr>
            <w:tcW w:w="99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+0.051</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0.111</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+0.216</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0.108</w:t>
            </w:r>
          </w:p>
        </w:tc>
        <w:tc>
          <w:tcPr>
            <w:tcW w:w="11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34.5</w:t>
            </w:r>
          </w:p>
        </w:tc>
      </w:tr>
      <w:tr>
        <w:trPr/>
        <w:tc>
          <w:tcPr>
            <w:tcW w:w="3400" w:type="dxa"/>
            <w:tcBorders/>
          </w:tcPr>
          <w:p>
            <w:pPr>
              <w:pStyle w:val="Normal"/>
              <w:widowControl w:val="false"/>
              <w:spacing w:lineRule="auto" w:line="240" w:before="0" w:after="0"/>
              <w:rPr>
                <w:sz w:val="18"/>
                <w:szCs w:val="18"/>
              </w:rPr>
            </w:pPr>
            <w:r>
              <w:rPr>
                <w:sz w:val="18"/>
                <w:szCs w:val="18"/>
              </w:rPr>
            </w:r>
          </w:p>
        </w:tc>
        <w:tc>
          <w:tcPr>
            <w:tcW w:w="7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2025</w:t>
            </w:r>
          </w:p>
        </w:tc>
        <w:tc>
          <w:tcPr>
            <w:tcW w:w="99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+0.043</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0.128</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+0.238</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0.113</w:t>
            </w:r>
          </w:p>
        </w:tc>
        <w:tc>
          <w:tcPr>
            <w:tcW w:w="11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42.4</w:t>
            </w:r>
          </w:p>
        </w:tc>
      </w:tr>
      <w:tr>
        <w:trPr/>
        <w:tc>
          <w:tcPr>
            <w:tcW w:w="3400" w:type="dxa"/>
            <w:tcBorders/>
          </w:tcPr>
          <w:p>
            <w:pPr>
              <w:pStyle w:val="Normal"/>
              <w:widowControl w:val="false"/>
              <w:spacing w:lineRule="auto" w:line="240" w:before="0" w:after="0"/>
              <w:rPr>
                <w:sz w:val="18"/>
                <w:szCs w:val="18"/>
              </w:rPr>
            </w:pPr>
            <w:r>
              <w:rPr>
                <w:rFonts w:cs="Times New Roman" w:ascii="Times New Roman" w:hAnsi="Times New Roman"/>
                <w:sz w:val="18"/>
                <w:szCs w:val="18"/>
              </w:rPr>
              <w:t>Maharana Pratap Sagar (Beas)</w:t>
            </w:r>
          </w:p>
        </w:tc>
        <w:tc>
          <w:tcPr>
            <w:tcW w:w="7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2016</w:t>
            </w:r>
          </w:p>
        </w:tc>
        <w:tc>
          <w:tcPr>
            <w:tcW w:w="99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0.005</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0.101</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+0.267</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0.170</w:t>
            </w:r>
          </w:p>
        </w:tc>
        <w:tc>
          <w:tcPr>
            <w:tcW w:w="11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8.9</w:t>
            </w:r>
          </w:p>
        </w:tc>
      </w:tr>
      <w:tr>
        <w:trPr/>
        <w:tc>
          <w:tcPr>
            <w:tcW w:w="3400" w:type="dxa"/>
            <w:tcBorders/>
          </w:tcPr>
          <w:p>
            <w:pPr>
              <w:pStyle w:val="Normal"/>
              <w:widowControl w:val="false"/>
              <w:spacing w:lineRule="auto" w:line="240" w:before="0" w:after="0"/>
              <w:rPr>
                <w:sz w:val="18"/>
                <w:szCs w:val="18"/>
              </w:rPr>
            </w:pPr>
            <w:r>
              <w:rPr>
                <w:sz w:val="18"/>
                <w:szCs w:val="18"/>
              </w:rPr>
            </w:r>
          </w:p>
        </w:tc>
        <w:tc>
          <w:tcPr>
            <w:tcW w:w="7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2017</w:t>
            </w:r>
          </w:p>
        </w:tc>
        <w:tc>
          <w:tcPr>
            <w:tcW w:w="99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0.008</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0.120</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+0.295</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0.182</w:t>
            </w:r>
          </w:p>
        </w:tc>
        <w:tc>
          <w:tcPr>
            <w:tcW w:w="11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14.8</w:t>
            </w:r>
          </w:p>
        </w:tc>
      </w:tr>
      <w:tr>
        <w:trPr/>
        <w:tc>
          <w:tcPr>
            <w:tcW w:w="3400" w:type="dxa"/>
            <w:tcBorders/>
          </w:tcPr>
          <w:p>
            <w:pPr>
              <w:pStyle w:val="Normal"/>
              <w:widowControl w:val="false"/>
              <w:spacing w:lineRule="auto" w:line="240" w:before="0" w:after="0"/>
              <w:rPr>
                <w:sz w:val="18"/>
                <w:szCs w:val="18"/>
              </w:rPr>
            </w:pPr>
            <w:r>
              <w:rPr>
                <w:sz w:val="18"/>
                <w:szCs w:val="18"/>
              </w:rPr>
            </w:r>
          </w:p>
        </w:tc>
        <w:tc>
          <w:tcPr>
            <w:tcW w:w="7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2018</w:t>
            </w:r>
          </w:p>
        </w:tc>
        <w:tc>
          <w:tcPr>
            <w:tcW w:w="99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0.031</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0.174</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+0.383</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0.224</w:t>
            </w:r>
          </w:p>
        </w:tc>
        <w:tc>
          <w:tcPr>
            <w:tcW w:w="11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26.7</w:t>
            </w:r>
          </w:p>
        </w:tc>
      </w:tr>
      <w:tr>
        <w:trPr/>
        <w:tc>
          <w:tcPr>
            <w:tcW w:w="3400" w:type="dxa"/>
            <w:tcBorders/>
          </w:tcPr>
          <w:p>
            <w:pPr>
              <w:pStyle w:val="Normal"/>
              <w:widowControl w:val="false"/>
              <w:spacing w:lineRule="auto" w:line="240" w:before="0" w:after="0"/>
              <w:rPr>
                <w:sz w:val="18"/>
                <w:szCs w:val="18"/>
              </w:rPr>
            </w:pPr>
            <w:r>
              <w:rPr>
                <w:sz w:val="18"/>
                <w:szCs w:val="18"/>
              </w:rPr>
            </w:r>
          </w:p>
        </w:tc>
        <w:tc>
          <w:tcPr>
            <w:tcW w:w="7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2019</w:t>
            </w:r>
          </w:p>
        </w:tc>
        <w:tc>
          <w:tcPr>
            <w:tcW w:w="99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+0.023</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0.071</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+0.227</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0.159</w:t>
            </w:r>
          </w:p>
        </w:tc>
        <w:tc>
          <w:tcPr>
            <w:tcW w:w="11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38.4</w:t>
            </w:r>
          </w:p>
        </w:tc>
      </w:tr>
      <w:tr>
        <w:trPr/>
        <w:tc>
          <w:tcPr>
            <w:tcW w:w="3400" w:type="dxa"/>
            <w:tcBorders/>
          </w:tcPr>
          <w:p>
            <w:pPr>
              <w:pStyle w:val="Normal"/>
              <w:widowControl w:val="false"/>
              <w:spacing w:lineRule="auto" w:line="240" w:before="0" w:after="0"/>
              <w:rPr>
                <w:sz w:val="18"/>
                <w:szCs w:val="18"/>
              </w:rPr>
            </w:pPr>
            <w:r>
              <w:rPr>
                <w:sz w:val="18"/>
                <w:szCs w:val="18"/>
              </w:rPr>
            </w:r>
          </w:p>
        </w:tc>
        <w:tc>
          <w:tcPr>
            <w:tcW w:w="7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2020</w:t>
            </w:r>
          </w:p>
        </w:tc>
        <w:tc>
          <w:tcPr>
            <w:tcW w:w="99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0.025</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0.158</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+0.367</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0.222</w:t>
            </w:r>
          </w:p>
        </w:tc>
        <w:tc>
          <w:tcPr>
            <w:tcW w:w="11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44.9</w:t>
            </w:r>
          </w:p>
        </w:tc>
      </w:tr>
      <w:tr>
        <w:trPr/>
        <w:tc>
          <w:tcPr>
            <w:tcW w:w="3400" w:type="dxa"/>
            <w:tcBorders/>
          </w:tcPr>
          <w:p>
            <w:pPr>
              <w:pStyle w:val="Normal"/>
              <w:widowControl w:val="false"/>
              <w:spacing w:lineRule="auto" w:line="240" w:before="0" w:after="0"/>
              <w:rPr>
                <w:sz w:val="18"/>
                <w:szCs w:val="18"/>
              </w:rPr>
            </w:pPr>
            <w:r>
              <w:rPr>
                <w:sz w:val="18"/>
                <w:szCs w:val="18"/>
              </w:rPr>
            </w:r>
          </w:p>
        </w:tc>
        <w:tc>
          <w:tcPr>
            <w:tcW w:w="7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2021</w:t>
            </w:r>
          </w:p>
        </w:tc>
        <w:tc>
          <w:tcPr>
            <w:tcW w:w="99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+0.055</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+0.004</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+0.170</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0.173</w:t>
            </w:r>
          </w:p>
        </w:tc>
        <w:tc>
          <w:tcPr>
            <w:tcW w:w="11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45.7</w:t>
            </w:r>
          </w:p>
        </w:tc>
      </w:tr>
      <w:tr>
        <w:trPr/>
        <w:tc>
          <w:tcPr>
            <w:tcW w:w="3400" w:type="dxa"/>
            <w:tcBorders/>
          </w:tcPr>
          <w:p>
            <w:pPr>
              <w:pStyle w:val="Normal"/>
              <w:widowControl w:val="false"/>
              <w:spacing w:lineRule="auto" w:line="240" w:before="0" w:after="0"/>
              <w:rPr>
                <w:sz w:val="18"/>
                <w:szCs w:val="18"/>
              </w:rPr>
            </w:pPr>
            <w:r>
              <w:rPr>
                <w:sz w:val="18"/>
                <w:szCs w:val="18"/>
              </w:rPr>
            </w:r>
          </w:p>
        </w:tc>
        <w:tc>
          <w:tcPr>
            <w:tcW w:w="7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2022</w:t>
            </w:r>
          </w:p>
        </w:tc>
        <w:tc>
          <w:tcPr>
            <w:tcW w:w="99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+0.057</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+0.070</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+0.136</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0.204</w:t>
            </w:r>
          </w:p>
        </w:tc>
        <w:tc>
          <w:tcPr>
            <w:tcW w:w="11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50.2</w:t>
            </w:r>
          </w:p>
        </w:tc>
      </w:tr>
      <w:tr>
        <w:trPr/>
        <w:tc>
          <w:tcPr>
            <w:tcW w:w="3400" w:type="dxa"/>
            <w:tcBorders/>
          </w:tcPr>
          <w:p>
            <w:pPr>
              <w:pStyle w:val="Normal"/>
              <w:widowControl w:val="false"/>
              <w:spacing w:lineRule="auto" w:line="240" w:before="0" w:after="0"/>
              <w:rPr>
                <w:sz w:val="18"/>
                <w:szCs w:val="18"/>
              </w:rPr>
            </w:pPr>
            <w:r>
              <w:rPr>
                <w:sz w:val="18"/>
                <w:szCs w:val="18"/>
              </w:rPr>
            </w:r>
          </w:p>
        </w:tc>
        <w:tc>
          <w:tcPr>
            <w:tcW w:w="7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2023</w:t>
            </w:r>
          </w:p>
        </w:tc>
        <w:tc>
          <w:tcPr>
            <w:tcW w:w="99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0.038</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0.187</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+0.415</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0.247</w:t>
            </w:r>
          </w:p>
        </w:tc>
        <w:tc>
          <w:tcPr>
            <w:tcW w:w="11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41.5</w:t>
            </w:r>
          </w:p>
        </w:tc>
      </w:tr>
      <w:tr>
        <w:trPr/>
        <w:tc>
          <w:tcPr>
            <w:tcW w:w="3400" w:type="dxa"/>
            <w:tcBorders/>
          </w:tcPr>
          <w:p>
            <w:pPr>
              <w:pStyle w:val="Normal"/>
              <w:widowControl w:val="false"/>
              <w:spacing w:lineRule="auto" w:line="240" w:before="0" w:after="0"/>
              <w:rPr>
                <w:sz w:val="18"/>
                <w:szCs w:val="18"/>
              </w:rPr>
            </w:pPr>
            <w:r>
              <w:rPr>
                <w:sz w:val="18"/>
                <w:szCs w:val="18"/>
              </w:rPr>
            </w:r>
          </w:p>
        </w:tc>
        <w:tc>
          <w:tcPr>
            <w:tcW w:w="7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2024</w:t>
            </w:r>
          </w:p>
        </w:tc>
        <w:tc>
          <w:tcPr>
            <w:tcW w:w="99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0.002</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0.120</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+0.275</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0.160</w:t>
            </w:r>
          </w:p>
        </w:tc>
        <w:tc>
          <w:tcPr>
            <w:tcW w:w="11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44.5</w:t>
            </w:r>
          </w:p>
        </w:tc>
      </w:tr>
      <w:tr>
        <w:trPr/>
        <w:tc>
          <w:tcPr>
            <w:tcW w:w="3400" w:type="dxa"/>
            <w:tcBorders/>
          </w:tcPr>
          <w:p>
            <w:pPr>
              <w:pStyle w:val="Normal"/>
              <w:widowControl w:val="false"/>
              <w:spacing w:lineRule="auto" w:line="240" w:before="0" w:after="0"/>
              <w:rPr>
                <w:sz w:val="18"/>
                <w:szCs w:val="18"/>
              </w:rPr>
            </w:pPr>
            <w:r>
              <w:rPr>
                <w:sz w:val="18"/>
                <w:szCs w:val="18"/>
              </w:rPr>
            </w:r>
          </w:p>
        </w:tc>
        <w:tc>
          <w:tcPr>
            <w:tcW w:w="7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2025</w:t>
            </w:r>
          </w:p>
        </w:tc>
        <w:tc>
          <w:tcPr>
            <w:tcW w:w="99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+0.019</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0.241</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+0.381</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0.155</w:t>
            </w:r>
          </w:p>
        </w:tc>
        <w:tc>
          <w:tcPr>
            <w:tcW w:w="11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52.1</w:t>
            </w:r>
          </w:p>
        </w:tc>
      </w:tr>
      <w:tr>
        <w:trPr/>
        <w:tc>
          <w:tcPr>
            <w:tcW w:w="3400" w:type="dxa"/>
            <w:tcBorders/>
          </w:tcPr>
          <w:p>
            <w:pPr>
              <w:pStyle w:val="Normal"/>
              <w:widowControl w:val="false"/>
              <w:spacing w:lineRule="auto" w:line="240" w:before="0" w:after="0"/>
              <w:rPr>
                <w:sz w:val="18"/>
                <w:szCs w:val="18"/>
              </w:rPr>
            </w:pPr>
            <w:r>
              <w:rPr>
                <w:rFonts w:cs="Times New Roman" w:ascii="Times New Roman" w:hAnsi="Times New Roman"/>
                <w:sz w:val="18"/>
                <w:szCs w:val="18"/>
              </w:rPr>
              <w:t>Tawa Reservoir</w:t>
            </w:r>
          </w:p>
        </w:tc>
        <w:tc>
          <w:tcPr>
            <w:tcW w:w="7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2016</w:t>
            </w:r>
          </w:p>
        </w:tc>
        <w:tc>
          <w:tcPr>
            <w:tcW w:w="99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0.081</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0.280</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+0.465</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0.213</w:t>
            </w:r>
          </w:p>
        </w:tc>
        <w:tc>
          <w:tcPr>
            <w:tcW w:w="11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28.3</w:t>
            </w:r>
          </w:p>
        </w:tc>
      </w:tr>
      <w:tr>
        <w:trPr/>
        <w:tc>
          <w:tcPr>
            <w:tcW w:w="3400" w:type="dxa"/>
            <w:tcBorders/>
          </w:tcPr>
          <w:p>
            <w:pPr>
              <w:pStyle w:val="Normal"/>
              <w:widowControl w:val="false"/>
              <w:spacing w:lineRule="auto" w:line="240" w:before="0" w:after="0"/>
              <w:rPr>
                <w:sz w:val="18"/>
                <w:szCs w:val="18"/>
              </w:rPr>
            </w:pPr>
            <w:r>
              <w:rPr>
                <w:sz w:val="18"/>
                <w:szCs w:val="18"/>
              </w:rPr>
            </w:r>
          </w:p>
        </w:tc>
        <w:tc>
          <w:tcPr>
            <w:tcW w:w="7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2017</w:t>
            </w:r>
          </w:p>
        </w:tc>
        <w:tc>
          <w:tcPr>
            <w:tcW w:w="99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+0.001</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0.095</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+0.227</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0.135</w:t>
            </w:r>
          </w:p>
        </w:tc>
        <w:tc>
          <w:tcPr>
            <w:tcW w:w="11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40.7</w:t>
            </w:r>
          </w:p>
        </w:tc>
      </w:tr>
      <w:tr>
        <w:trPr/>
        <w:tc>
          <w:tcPr>
            <w:tcW w:w="3400" w:type="dxa"/>
            <w:tcBorders/>
          </w:tcPr>
          <w:p>
            <w:pPr>
              <w:pStyle w:val="Normal"/>
              <w:widowControl w:val="false"/>
              <w:spacing w:lineRule="auto" w:line="240" w:before="0" w:after="0"/>
              <w:rPr>
                <w:sz w:val="18"/>
                <w:szCs w:val="18"/>
              </w:rPr>
            </w:pPr>
            <w:r>
              <w:rPr>
                <w:sz w:val="18"/>
                <w:szCs w:val="18"/>
              </w:rPr>
            </w:r>
          </w:p>
        </w:tc>
        <w:tc>
          <w:tcPr>
            <w:tcW w:w="7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2018</w:t>
            </w:r>
          </w:p>
        </w:tc>
        <w:tc>
          <w:tcPr>
            <w:tcW w:w="99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+0.046</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+0.053</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+0.022</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0.074</w:t>
            </w:r>
          </w:p>
        </w:tc>
        <w:tc>
          <w:tcPr>
            <w:tcW w:w="11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79.3</w:t>
            </w:r>
          </w:p>
        </w:tc>
      </w:tr>
      <w:tr>
        <w:trPr/>
        <w:tc>
          <w:tcPr>
            <w:tcW w:w="3400" w:type="dxa"/>
            <w:tcBorders/>
          </w:tcPr>
          <w:p>
            <w:pPr>
              <w:pStyle w:val="Normal"/>
              <w:widowControl w:val="false"/>
              <w:spacing w:lineRule="auto" w:line="240" w:before="0" w:after="0"/>
              <w:rPr>
                <w:sz w:val="18"/>
                <w:szCs w:val="18"/>
              </w:rPr>
            </w:pPr>
            <w:r>
              <w:rPr>
                <w:sz w:val="18"/>
                <w:szCs w:val="18"/>
              </w:rPr>
            </w:r>
          </w:p>
        </w:tc>
        <w:tc>
          <w:tcPr>
            <w:tcW w:w="7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2019</w:t>
            </w:r>
          </w:p>
        </w:tc>
        <w:tc>
          <w:tcPr>
            <w:tcW w:w="99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+0.106</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+0.231</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0.258</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+0.029</w:t>
            </w:r>
          </w:p>
        </w:tc>
        <w:tc>
          <w:tcPr>
            <w:tcW w:w="11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118.9</w:t>
            </w:r>
          </w:p>
        </w:tc>
      </w:tr>
      <w:tr>
        <w:trPr/>
        <w:tc>
          <w:tcPr>
            <w:tcW w:w="3400" w:type="dxa"/>
            <w:tcBorders/>
          </w:tcPr>
          <w:p>
            <w:pPr>
              <w:pStyle w:val="Normal"/>
              <w:widowControl w:val="false"/>
              <w:spacing w:lineRule="auto" w:line="240" w:before="0" w:after="0"/>
              <w:rPr>
                <w:sz w:val="18"/>
                <w:szCs w:val="18"/>
              </w:rPr>
            </w:pPr>
            <w:r>
              <w:rPr>
                <w:sz w:val="18"/>
                <w:szCs w:val="18"/>
              </w:rPr>
            </w:r>
          </w:p>
        </w:tc>
        <w:tc>
          <w:tcPr>
            <w:tcW w:w="7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2020</w:t>
            </w:r>
          </w:p>
        </w:tc>
        <w:tc>
          <w:tcPr>
            <w:tcW w:w="99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+0.001</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0.129</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+0.259</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0.135</w:t>
            </w:r>
          </w:p>
        </w:tc>
        <w:tc>
          <w:tcPr>
            <w:tcW w:w="11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119.9</w:t>
            </w:r>
          </w:p>
        </w:tc>
      </w:tr>
      <w:tr>
        <w:trPr/>
        <w:tc>
          <w:tcPr>
            <w:tcW w:w="3400" w:type="dxa"/>
            <w:tcBorders/>
          </w:tcPr>
          <w:p>
            <w:pPr>
              <w:pStyle w:val="Normal"/>
              <w:widowControl w:val="false"/>
              <w:spacing w:lineRule="auto" w:line="240" w:before="0" w:after="0"/>
              <w:rPr>
                <w:sz w:val="18"/>
                <w:szCs w:val="18"/>
              </w:rPr>
            </w:pPr>
            <w:r>
              <w:rPr>
                <w:sz w:val="18"/>
                <w:szCs w:val="18"/>
              </w:rPr>
            </w:r>
          </w:p>
        </w:tc>
        <w:tc>
          <w:tcPr>
            <w:tcW w:w="7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2021</w:t>
            </w:r>
          </w:p>
        </w:tc>
        <w:tc>
          <w:tcPr>
            <w:tcW w:w="99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+0.020</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0.065</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+0.204</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0.141</w:t>
            </w:r>
          </w:p>
        </w:tc>
        <w:tc>
          <w:tcPr>
            <w:tcW w:w="11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105.7</w:t>
            </w:r>
          </w:p>
        </w:tc>
      </w:tr>
      <w:tr>
        <w:trPr/>
        <w:tc>
          <w:tcPr>
            <w:tcW w:w="3400" w:type="dxa"/>
            <w:tcBorders/>
          </w:tcPr>
          <w:p>
            <w:pPr>
              <w:pStyle w:val="Normal"/>
              <w:widowControl w:val="false"/>
              <w:spacing w:lineRule="auto" w:line="240" w:before="0" w:after="0"/>
              <w:rPr>
                <w:sz w:val="18"/>
                <w:szCs w:val="18"/>
              </w:rPr>
            </w:pPr>
            <w:r>
              <w:rPr>
                <w:sz w:val="18"/>
                <w:szCs w:val="18"/>
              </w:rPr>
            </w:r>
          </w:p>
        </w:tc>
        <w:tc>
          <w:tcPr>
            <w:tcW w:w="7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2022</w:t>
            </w:r>
          </w:p>
        </w:tc>
        <w:tc>
          <w:tcPr>
            <w:tcW w:w="99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0.001</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0.088</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+0.244</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0.159</w:t>
            </w:r>
          </w:p>
        </w:tc>
        <w:tc>
          <w:tcPr>
            <w:tcW w:w="11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114.0</w:t>
            </w:r>
          </w:p>
        </w:tc>
      </w:tr>
      <w:tr>
        <w:trPr/>
        <w:tc>
          <w:tcPr>
            <w:tcW w:w="3400" w:type="dxa"/>
            <w:tcBorders/>
          </w:tcPr>
          <w:p>
            <w:pPr>
              <w:pStyle w:val="Normal"/>
              <w:widowControl w:val="false"/>
              <w:spacing w:lineRule="auto" w:line="240" w:before="0" w:after="0"/>
              <w:rPr>
                <w:sz w:val="18"/>
                <w:szCs w:val="18"/>
              </w:rPr>
            </w:pPr>
            <w:r>
              <w:rPr>
                <w:sz w:val="18"/>
                <w:szCs w:val="18"/>
              </w:rPr>
            </w:r>
          </w:p>
        </w:tc>
        <w:tc>
          <w:tcPr>
            <w:tcW w:w="7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2023</w:t>
            </w:r>
          </w:p>
        </w:tc>
        <w:tc>
          <w:tcPr>
            <w:tcW w:w="99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+0.002</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0.132</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+0.281</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0.155</w:t>
            </w:r>
          </w:p>
        </w:tc>
        <w:tc>
          <w:tcPr>
            <w:tcW w:w="11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119.0</w:t>
            </w:r>
          </w:p>
        </w:tc>
      </w:tr>
      <w:tr>
        <w:trPr/>
        <w:tc>
          <w:tcPr>
            <w:tcW w:w="3400" w:type="dxa"/>
            <w:tcBorders/>
          </w:tcPr>
          <w:p>
            <w:pPr>
              <w:pStyle w:val="Normal"/>
              <w:widowControl w:val="false"/>
              <w:spacing w:lineRule="auto" w:line="240" w:before="0" w:after="0"/>
              <w:rPr>
                <w:sz w:val="18"/>
                <w:szCs w:val="18"/>
              </w:rPr>
            </w:pPr>
            <w:r>
              <w:rPr>
                <w:sz w:val="18"/>
                <w:szCs w:val="18"/>
              </w:rPr>
            </w:r>
          </w:p>
        </w:tc>
        <w:tc>
          <w:tcPr>
            <w:tcW w:w="7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2024</w:t>
            </w:r>
          </w:p>
        </w:tc>
        <w:tc>
          <w:tcPr>
            <w:tcW w:w="99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0.012</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0.160</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+0.317</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0.165</w:t>
            </w:r>
          </w:p>
        </w:tc>
        <w:tc>
          <w:tcPr>
            <w:tcW w:w="11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114.7</w:t>
            </w:r>
          </w:p>
        </w:tc>
      </w:tr>
      <w:tr>
        <w:trPr/>
        <w:tc>
          <w:tcPr>
            <w:tcW w:w="3400" w:type="dxa"/>
            <w:tcBorders/>
          </w:tcPr>
          <w:p>
            <w:pPr>
              <w:pStyle w:val="Normal"/>
              <w:widowControl w:val="false"/>
              <w:spacing w:lineRule="auto" w:line="240" w:before="0" w:after="0"/>
              <w:rPr>
                <w:sz w:val="18"/>
                <w:szCs w:val="18"/>
              </w:rPr>
            </w:pPr>
            <w:r>
              <w:rPr>
                <w:sz w:val="18"/>
                <w:szCs w:val="18"/>
              </w:rPr>
            </w:r>
          </w:p>
        </w:tc>
        <w:tc>
          <w:tcPr>
            <w:tcW w:w="7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2025</w:t>
            </w:r>
          </w:p>
        </w:tc>
        <w:tc>
          <w:tcPr>
            <w:tcW w:w="99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0.044</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0.199</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+0.376</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0.191</w:t>
            </w:r>
          </w:p>
        </w:tc>
        <w:tc>
          <w:tcPr>
            <w:tcW w:w="11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118.1</w:t>
            </w:r>
          </w:p>
        </w:tc>
      </w:tr>
      <w:tr>
        <w:trPr/>
        <w:tc>
          <w:tcPr>
            <w:tcW w:w="3400" w:type="dxa"/>
            <w:tcBorders/>
          </w:tcPr>
          <w:p>
            <w:pPr>
              <w:pStyle w:val="Normal"/>
              <w:widowControl w:val="false"/>
              <w:spacing w:lineRule="auto" w:line="240" w:before="0" w:after="0"/>
              <w:rPr>
                <w:sz w:val="18"/>
                <w:szCs w:val="18"/>
              </w:rPr>
            </w:pPr>
            <w:r>
              <w:rPr>
                <w:rFonts w:cs="Times New Roman" w:ascii="Times New Roman" w:hAnsi="Times New Roman"/>
                <w:sz w:val="18"/>
                <w:szCs w:val="18"/>
              </w:rPr>
              <w:t>Tso Morari</w:t>
            </w:r>
          </w:p>
        </w:tc>
        <w:tc>
          <w:tcPr>
            <w:tcW w:w="7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2016</w:t>
            </w:r>
          </w:p>
        </w:tc>
        <w:tc>
          <w:tcPr>
            <w:tcW w:w="99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0.080</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0.137</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+0.530</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0.423</w:t>
            </w:r>
          </w:p>
        </w:tc>
        <w:tc>
          <w:tcPr>
            <w:tcW w:w="11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12.3</w:t>
            </w:r>
          </w:p>
        </w:tc>
      </w:tr>
      <w:tr>
        <w:trPr/>
        <w:tc>
          <w:tcPr>
            <w:tcW w:w="3400" w:type="dxa"/>
            <w:tcBorders/>
          </w:tcPr>
          <w:p>
            <w:pPr>
              <w:pStyle w:val="Normal"/>
              <w:widowControl w:val="false"/>
              <w:spacing w:lineRule="auto" w:line="240" w:before="0" w:after="0"/>
              <w:rPr>
                <w:sz w:val="18"/>
                <w:szCs w:val="18"/>
              </w:rPr>
            </w:pPr>
            <w:r>
              <w:rPr>
                <w:sz w:val="18"/>
                <w:szCs w:val="18"/>
              </w:rPr>
            </w:r>
          </w:p>
        </w:tc>
        <w:tc>
          <w:tcPr>
            <w:tcW w:w="7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2017</w:t>
            </w:r>
          </w:p>
        </w:tc>
        <w:tc>
          <w:tcPr>
            <w:tcW w:w="99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0.100</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0.160</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+0.570</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0.451</w:t>
            </w:r>
          </w:p>
        </w:tc>
        <w:tc>
          <w:tcPr>
            <w:tcW w:w="11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17.8</w:t>
            </w:r>
          </w:p>
        </w:tc>
      </w:tr>
      <w:tr>
        <w:trPr/>
        <w:tc>
          <w:tcPr>
            <w:tcW w:w="3400" w:type="dxa"/>
            <w:tcBorders/>
          </w:tcPr>
          <w:p>
            <w:pPr>
              <w:pStyle w:val="Normal"/>
              <w:widowControl w:val="false"/>
              <w:spacing w:lineRule="auto" w:line="240" w:before="0" w:after="0"/>
              <w:rPr>
                <w:sz w:val="18"/>
                <w:szCs w:val="18"/>
              </w:rPr>
            </w:pPr>
            <w:r>
              <w:rPr>
                <w:sz w:val="18"/>
                <w:szCs w:val="18"/>
              </w:rPr>
            </w:r>
          </w:p>
        </w:tc>
        <w:tc>
          <w:tcPr>
            <w:tcW w:w="7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2018</w:t>
            </w:r>
          </w:p>
        </w:tc>
        <w:tc>
          <w:tcPr>
            <w:tcW w:w="99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0.035</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0.099</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+0.286</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0.193</w:t>
            </w:r>
          </w:p>
        </w:tc>
        <w:tc>
          <w:tcPr>
            <w:tcW w:w="11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35.7</w:t>
            </w:r>
          </w:p>
        </w:tc>
      </w:tr>
      <w:tr>
        <w:trPr/>
        <w:tc>
          <w:tcPr>
            <w:tcW w:w="3400" w:type="dxa"/>
            <w:tcBorders/>
          </w:tcPr>
          <w:p>
            <w:pPr>
              <w:pStyle w:val="Normal"/>
              <w:widowControl w:val="false"/>
              <w:spacing w:lineRule="auto" w:line="240" w:before="0" w:after="0"/>
              <w:rPr>
                <w:sz w:val="18"/>
                <w:szCs w:val="18"/>
              </w:rPr>
            </w:pPr>
            <w:r>
              <w:rPr>
                <w:sz w:val="18"/>
                <w:szCs w:val="18"/>
              </w:rPr>
            </w:r>
          </w:p>
        </w:tc>
        <w:tc>
          <w:tcPr>
            <w:tcW w:w="7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2019</w:t>
            </w:r>
          </w:p>
        </w:tc>
        <w:tc>
          <w:tcPr>
            <w:tcW w:w="99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0.054</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0.101</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+0.332</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0.239</w:t>
            </w:r>
          </w:p>
        </w:tc>
        <w:tc>
          <w:tcPr>
            <w:tcW w:w="11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34.2</w:t>
            </w:r>
          </w:p>
        </w:tc>
      </w:tr>
      <w:tr>
        <w:trPr/>
        <w:tc>
          <w:tcPr>
            <w:tcW w:w="3400" w:type="dxa"/>
            <w:tcBorders/>
          </w:tcPr>
          <w:p>
            <w:pPr>
              <w:pStyle w:val="Normal"/>
              <w:widowControl w:val="false"/>
              <w:spacing w:lineRule="auto" w:line="240" w:before="0" w:after="0"/>
              <w:rPr>
                <w:sz w:val="18"/>
                <w:szCs w:val="18"/>
              </w:rPr>
            </w:pPr>
            <w:r>
              <w:rPr>
                <w:sz w:val="18"/>
                <w:szCs w:val="18"/>
              </w:rPr>
            </w:r>
          </w:p>
        </w:tc>
        <w:tc>
          <w:tcPr>
            <w:tcW w:w="7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2020</w:t>
            </w:r>
          </w:p>
        </w:tc>
        <w:tc>
          <w:tcPr>
            <w:tcW w:w="99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0.022</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0.069</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+0.313</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0.249</w:t>
            </w:r>
          </w:p>
        </w:tc>
        <w:tc>
          <w:tcPr>
            <w:tcW w:w="11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40.6</w:t>
            </w:r>
          </w:p>
        </w:tc>
      </w:tr>
      <w:tr>
        <w:trPr/>
        <w:tc>
          <w:tcPr>
            <w:tcW w:w="3400" w:type="dxa"/>
            <w:tcBorders/>
          </w:tcPr>
          <w:p>
            <w:pPr>
              <w:pStyle w:val="Normal"/>
              <w:widowControl w:val="false"/>
              <w:spacing w:lineRule="auto" w:line="240" w:before="0" w:after="0"/>
              <w:rPr>
                <w:sz w:val="18"/>
                <w:szCs w:val="18"/>
              </w:rPr>
            </w:pPr>
            <w:r>
              <w:rPr>
                <w:sz w:val="18"/>
                <w:szCs w:val="18"/>
              </w:rPr>
            </w:r>
          </w:p>
        </w:tc>
        <w:tc>
          <w:tcPr>
            <w:tcW w:w="7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2021</w:t>
            </w:r>
          </w:p>
        </w:tc>
        <w:tc>
          <w:tcPr>
            <w:tcW w:w="99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0.055</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0.113</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+0.370</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0.267</w:t>
            </w:r>
          </w:p>
        </w:tc>
        <w:tc>
          <w:tcPr>
            <w:tcW w:w="11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43.6</w:t>
            </w:r>
          </w:p>
        </w:tc>
      </w:tr>
      <w:tr>
        <w:trPr/>
        <w:tc>
          <w:tcPr>
            <w:tcW w:w="3400" w:type="dxa"/>
            <w:tcBorders/>
          </w:tcPr>
          <w:p>
            <w:pPr>
              <w:pStyle w:val="Normal"/>
              <w:widowControl w:val="false"/>
              <w:spacing w:lineRule="auto" w:line="240" w:before="0" w:after="0"/>
              <w:rPr>
                <w:sz w:val="18"/>
                <w:szCs w:val="18"/>
              </w:rPr>
            </w:pPr>
            <w:r>
              <w:rPr>
                <w:sz w:val="18"/>
                <w:szCs w:val="18"/>
              </w:rPr>
            </w:r>
          </w:p>
        </w:tc>
        <w:tc>
          <w:tcPr>
            <w:tcW w:w="7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2022</w:t>
            </w:r>
          </w:p>
        </w:tc>
        <w:tc>
          <w:tcPr>
            <w:tcW w:w="99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0.045</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0.080</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+0.379</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0.308</w:t>
            </w:r>
          </w:p>
        </w:tc>
        <w:tc>
          <w:tcPr>
            <w:tcW w:w="11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43.3</w:t>
            </w:r>
          </w:p>
        </w:tc>
      </w:tr>
      <w:tr>
        <w:trPr/>
        <w:tc>
          <w:tcPr>
            <w:tcW w:w="3400" w:type="dxa"/>
            <w:tcBorders/>
          </w:tcPr>
          <w:p>
            <w:pPr>
              <w:pStyle w:val="Normal"/>
              <w:widowControl w:val="false"/>
              <w:spacing w:lineRule="auto" w:line="240" w:before="0" w:after="0"/>
              <w:rPr>
                <w:sz w:val="18"/>
                <w:szCs w:val="18"/>
              </w:rPr>
            </w:pPr>
            <w:r>
              <w:rPr>
                <w:sz w:val="18"/>
                <w:szCs w:val="18"/>
              </w:rPr>
            </w:r>
          </w:p>
        </w:tc>
        <w:tc>
          <w:tcPr>
            <w:tcW w:w="7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2023</w:t>
            </w:r>
          </w:p>
        </w:tc>
        <w:tc>
          <w:tcPr>
            <w:tcW w:w="99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0.042</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0.056</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+0.309</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0.258</w:t>
            </w:r>
          </w:p>
        </w:tc>
        <w:tc>
          <w:tcPr>
            <w:tcW w:w="11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48.0</w:t>
            </w:r>
          </w:p>
        </w:tc>
      </w:tr>
      <w:tr>
        <w:trPr/>
        <w:tc>
          <w:tcPr>
            <w:tcW w:w="3400" w:type="dxa"/>
            <w:tcBorders/>
          </w:tcPr>
          <w:p>
            <w:pPr>
              <w:pStyle w:val="Normal"/>
              <w:widowControl w:val="false"/>
              <w:spacing w:lineRule="auto" w:line="240" w:before="0" w:after="0"/>
              <w:rPr>
                <w:sz w:val="18"/>
                <w:szCs w:val="18"/>
              </w:rPr>
            </w:pPr>
            <w:r>
              <w:rPr>
                <w:sz w:val="18"/>
                <w:szCs w:val="18"/>
              </w:rPr>
            </w:r>
          </w:p>
        </w:tc>
        <w:tc>
          <w:tcPr>
            <w:tcW w:w="7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2024</w:t>
            </w:r>
          </w:p>
        </w:tc>
        <w:tc>
          <w:tcPr>
            <w:tcW w:w="99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0.036</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0.048</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+0.286</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0.241</w:t>
            </w:r>
          </w:p>
        </w:tc>
        <w:tc>
          <w:tcPr>
            <w:tcW w:w="11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46.9</w:t>
            </w:r>
          </w:p>
        </w:tc>
      </w:tr>
      <w:tr>
        <w:trPr/>
        <w:tc>
          <w:tcPr>
            <w:tcW w:w="3400" w:type="dxa"/>
            <w:tcBorders/>
          </w:tcPr>
          <w:p>
            <w:pPr>
              <w:pStyle w:val="Normal"/>
              <w:widowControl w:val="false"/>
              <w:spacing w:lineRule="auto" w:line="240" w:before="0" w:after="0"/>
              <w:rPr>
                <w:sz w:val="18"/>
                <w:szCs w:val="18"/>
              </w:rPr>
            </w:pPr>
            <w:r>
              <w:rPr>
                <w:sz w:val="18"/>
                <w:szCs w:val="18"/>
              </w:rPr>
            </w:r>
          </w:p>
        </w:tc>
        <w:tc>
          <w:tcPr>
            <w:tcW w:w="7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2025</w:t>
            </w:r>
          </w:p>
        </w:tc>
        <w:tc>
          <w:tcPr>
            <w:tcW w:w="99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0.044</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0.042</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+0.337</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0.299</w:t>
            </w:r>
          </w:p>
        </w:tc>
        <w:tc>
          <w:tcPr>
            <w:tcW w:w="11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52.5</w:t>
            </w:r>
          </w:p>
        </w:tc>
      </w:tr>
      <w:tr>
        <w:trPr/>
        <w:tc>
          <w:tcPr>
            <w:tcW w:w="3400" w:type="dxa"/>
            <w:tcBorders/>
          </w:tcPr>
          <w:p>
            <w:pPr>
              <w:pStyle w:val="Normal"/>
              <w:widowControl w:val="false"/>
              <w:spacing w:lineRule="auto" w:line="240" w:before="0" w:after="0"/>
              <w:rPr>
                <w:sz w:val="18"/>
                <w:szCs w:val="18"/>
              </w:rPr>
            </w:pPr>
            <w:r>
              <w:rPr>
                <w:rFonts w:cs="Times New Roman" w:ascii="Times New Roman" w:hAnsi="Times New Roman"/>
                <w:sz w:val="18"/>
                <w:szCs w:val="18"/>
              </w:rPr>
              <w:t>Sasthamcotta Lake</w:t>
            </w:r>
          </w:p>
        </w:tc>
        <w:tc>
          <w:tcPr>
            <w:tcW w:w="7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2016</w:t>
            </w:r>
          </w:p>
        </w:tc>
        <w:tc>
          <w:tcPr>
            <w:tcW w:w="99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+0.196</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+0.448</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0.278</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0.194</w:t>
            </w:r>
          </w:p>
        </w:tc>
        <w:tc>
          <w:tcPr>
            <w:tcW w:w="11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3.6</w:t>
            </w:r>
          </w:p>
        </w:tc>
      </w:tr>
      <w:tr>
        <w:trPr/>
        <w:tc>
          <w:tcPr>
            <w:tcW w:w="3400" w:type="dxa"/>
            <w:tcBorders/>
          </w:tcPr>
          <w:p>
            <w:pPr>
              <w:pStyle w:val="Normal"/>
              <w:widowControl w:val="false"/>
              <w:spacing w:lineRule="auto" w:line="240" w:before="0" w:after="0"/>
              <w:rPr>
                <w:sz w:val="18"/>
                <w:szCs w:val="18"/>
              </w:rPr>
            </w:pPr>
            <w:r>
              <w:rPr>
                <w:sz w:val="18"/>
                <w:szCs w:val="18"/>
              </w:rPr>
            </w:r>
          </w:p>
        </w:tc>
        <w:tc>
          <w:tcPr>
            <w:tcW w:w="7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2017</w:t>
            </w:r>
          </w:p>
        </w:tc>
        <w:tc>
          <w:tcPr>
            <w:tcW w:w="99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+0.117</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+0.349</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0.022</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0.329</w:t>
            </w:r>
          </w:p>
        </w:tc>
        <w:tc>
          <w:tcPr>
            <w:tcW w:w="11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5.7</w:t>
            </w:r>
          </w:p>
        </w:tc>
      </w:tr>
      <w:tr>
        <w:trPr/>
        <w:tc>
          <w:tcPr>
            <w:tcW w:w="3400" w:type="dxa"/>
            <w:tcBorders/>
          </w:tcPr>
          <w:p>
            <w:pPr>
              <w:pStyle w:val="Normal"/>
              <w:widowControl w:val="false"/>
              <w:spacing w:lineRule="auto" w:line="240" w:before="0" w:after="0"/>
              <w:rPr>
                <w:sz w:val="18"/>
                <w:szCs w:val="18"/>
              </w:rPr>
            </w:pPr>
            <w:r>
              <w:rPr>
                <w:sz w:val="18"/>
                <w:szCs w:val="18"/>
              </w:rPr>
            </w:r>
          </w:p>
        </w:tc>
        <w:tc>
          <w:tcPr>
            <w:tcW w:w="7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2018</w:t>
            </w:r>
          </w:p>
        </w:tc>
        <w:tc>
          <w:tcPr>
            <w:tcW w:w="99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+0.099</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+0.248</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+0.020</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0.267</w:t>
            </w:r>
          </w:p>
        </w:tc>
        <w:tc>
          <w:tcPr>
            <w:tcW w:w="11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15.0</w:t>
            </w:r>
          </w:p>
        </w:tc>
      </w:tr>
      <w:tr>
        <w:trPr/>
        <w:tc>
          <w:tcPr>
            <w:tcW w:w="3400" w:type="dxa"/>
            <w:tcBorders/>
          </w:tcPr>
          <w:p>
            <w:pPr>
              <w:pStyle w:val="Normal"/>
              <w:widowControl w:val="false"/>
              <w:spacing w:lineRule="auto" w:line="240" w:before="0" w:after="0"/>
              <w:rPr>
                <w:sz w:val="18"/>
                <w:szCs w:val="18"/>
              </w:rPr>
            </w:pPr>
            <w:r>
              <w:rPr>
                <w:sz w:val="18"/>
                <w:szCs w:val="18"/>
              </w:rPr>
            </w:r>
          </w:p>
        </w:tc>
        <w:tc>
          <w:tcPr>
            <w:tcW w:w="7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2019</w:t>
            </w:r>
          </w:p>
        </w:tc>
        <w:tc>
          <w:tcPr>
            <w:tcW w:w="99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+0.103</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+0.217</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0.002</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0.215</w:t>
            </w:r>
          </w:p>
        </w:tc>
        <w:tc>
          <w:tcPr>
            <w:tcW w:w="11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30.4</w:t>
            </w:r>
          </w:p>
        </w:tc>
      </w:tr>
      <w:tr>
        <w:trPr/>
        <w:tc>
          <w:tcPr>
            <w:tcW w:w="3400" w:type="dxa"/>
            <w:tcBorders/>
          </w:tcPr>
          <w:p>
            <w:pPr>
              <w:pStyle w:val="Normal"/>
              <w:widowControl w:val="false"/>
              <w:spacing w:lineRule="auto" w:line="240" w:before="0" w:after="0"/>
              <w:rPr>
                <w:sz w:val="18"/>
                <w:szCs w:val="18"/>
              </w:rPr>
            </w:pPr>
            <w:r>
              <w:rPr>
                <w:sz w:val="18"/>
                <w:szCs w:val="18"/>
              </w:rPr>
            </w:r>
          </w:p>
        </w:tc>
        <w:tc>
          <w:tcPr>
            <w:tcW w:w="7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2020</w:t>
            </w:r>
          </w:p>
        </w:tc>
        <w:tc>
          <w:tcPr>
            <w:tcW w:w="99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+0.087</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+0.211</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0.000</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0.211</w:t>
            </w:r>
          </w:p>
        </w:tc>
        <w:tc>
          <w:tcPr>
            <w:tcW w:w="11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32.3</w:t>
            </w:r>
          </w:p>
        </w:tc>
      </w:tr>
      <w:tr>
        <w:trPr/>
        <w:tc>
          <w:tcPr>
            <w:tcW w:w="3400" w:type="dxa"/>
            <w:tcBorders/>
          </w:tcPr>
          <w:p>
            <w:pPr>
              <w:pStyle w:val="Normal"/>
              <w:widowControl w:val="false"/>
              <w:spacing w:lineRule="auto" w:line="240" w:before="0" w:after="0"/>
              <w:rPr>
                <w:sz w:val="18"/>
                <w:szCs w:val="18"/>
              </w:rPr>
            </w:pPr>
            <w:r>
              <w:rPr>
                <w:sz w:val="18"/>
                <w:szCs w:val="18"/>
              </w:rPr>
            </w:r>
          </w:p>
        </w:tc>
        <w:tc>
          <w:tcPr>
            <w:tcW w:w="7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2021</w:t>
            </w:r>
          </w:p>
        </w:tc>
        <w:tc>
          <w:tcPr>
            <w:tcW w:w="99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+0.110</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+0.232</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0.017</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0.216</w:t>
            </w:r>
          </w:p>
        </w:tc>
        <w:tc>
          <w:tcPr>
            <w:tcW w:w="11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27.7</w:t>
            </w:r>
          </w:p>
        </w:tc>
      </w:tr>
      <w:tr>
        <w:trPr/>
        <w:tc>
          <w:tcPr>
            <w:tcW w:w="3400" w:type="dxa"/>
            <w:tcBorders/>
          </w:tcPr>
          <w:p>
            <w:pPr>
              <w:pStyle w:val="Normal"/>
              <w:widowControl w:val="false"/>
              <w:spacing w:lineRule="auto" w:line="240" w:before="0" w:after="0"/>
              <w:rPr>
                <w:sz w:val="18"/>
                <w:szCs w:val="18"/>
              </w:rPr>
            </w:pPr>
            <w:r>
              <w:rPr>
                <w:sz w:val="18"/>
                <w:szCs w:val="18"/>
              </w:rPr>
            </w:r>
          </w:p>
        </w:tc>
        <w:tc>
          <w:tcPr>
            <w:tcW w:w="7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2022</w:t>
            </w:r>
          </w:p>
        </w:tc>
        <w:tc>
          <w:tcPr>
            <w:tcW w:w="99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+0.079</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+0.107</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+0.140</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0.243</w:t>
            </w:r>
          </w:p>
        </w:tc>
        <w:tc>
          <w:tcPr>
            <w:tcW w:w="11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21.3</w:t>
            </w:r>
          </w:p>
        </w:tc>
      </w:tr>
      <w:tr>
        <w:trPr/>
        <w:tc>
          <w:tcPr>
            <w:tcW w:w="3400" w:type="dxa"/>
            <w:tcBorders/>
          </w:tcPr>
          <w:p>
            <w:pPr>
              <w:pStyle w:val="Normal"/>
              <w:widowControl w:val="false"/>
              <w:spacing w:lineRule="auto" w:line="240" w:before="0" w:after="0"/>
              <w:rPr>
                <w:sz w:val="18"/>
                <w:szCs w:val="18"/>
              </w:rPr>
            </w:pPr>
            <w:r>
              <w:rPr>
                <w:sz w:val="18"/>
                <w:szCs w:val="18"/>
              </w:rPr>
            </w:r>
          </w:p>
        </w:tc>
        <w:tc>
          <w:tcPr>
            <w:tcW w:w="7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2023</w:t>
            </w:r>
          </w:p>
        </w:tc>
        <w:tc>
          <w:tcPr>
            <w:tcW w:w="99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+0.097</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+0.161</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+0.092</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0.249</w:t>
            </w:r>
          </w:p>
        </w:tc>
        <w:tc>
          <w:tcPr>
            <w:tcW w:w="11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24.4</w:t>
            </w:r>
          </w:p>
        </w:tc>
      </w:tr>
      <w:tr>
        <w:trPr/>
        <w:tc>
          <w:tcPr>
            <w:tcW w:w="3400" w:type="dxa"/>
            <w:tcBorders/>
          </w:tcPr>
          <w:p>
            <w:pPr>
              <w:pStyle w:val="Normal"/>
              <w:widowControl w:val="false"/>
              <w:spacing w:lineRule="auto" w:line="240" w:before="0" w:after="0"/>
              <w:rPr>
                <w:sz w:val="18"/>
                <w:szCs w:val="18"/>
              </w:rPr>
            </w:pPr>
            <w:r>
              <w:rPr>
                <w:sz w:val="18"/>
                <w:szCs w:val="18"/>
              </w:rPr>
            </w:r>
          </w:p>
        </w:tc>
        <w:tc>
          <w:tcPr>
            <w:tcW w:w="7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2024</w:t>
            </w:r>
          </w:p>
        </w:tc>
        <w:tc>
          <w:tcPr>
            <w:tcW w:w="99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+0.092</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+0.165</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+0.118</w:t>
            </w:r>
          </w:p>
        </w:tc>
        <w:tc>
          <w:tcPr>
            <w:tcW w:w="10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0.277</w:t>
            </w:r>
          </w:p>
        </w:tc>
        <w:tc>
          <w:tcPr>
            <w:tcW w:w="11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27.8</w:t>
            </w:r>
          </w:p>
        </w:tc>
      </w:tr>
      <w:tr>
        <w:trPr/>
        <w:tc>
          <w:tcPr>
            <w:tcW w:w="3400" w:type="dxa"/>
            <w:tcBorders>
              <w:bottom w:val="single" w:sz="8" w:space="0" w:color="000000"/>
            </w:tcBorders>
          </w:tcPr>
          <w:p>
            <w:pPr>
              <w:pStyle w:val="Normal"/>
              <w:widowControl w:val="false"/>
              <w:spacing w:lineRule="auto" w:line="240" w:before="0" w:after="0"/>
              <w:rPr>
                <w:sz w:val="18"/>
                <w:szCs w:val="18"/>
              </w:rPr>
            </w:pPr>
            <w:r>
              <w:rPr>
                <w:sz w:val="18"/>
                <w:szCs w:val="18"/>
              </w:rPr>
            </w:r>
          </w:p>
        </w:tc>
        <w:tc>
          <w:tcPr>
            <w:tcW w:w="700" w:type="dxa"/>
            <w:tcBorders>
              <w:bottom w:val="single" w:sz="8" w:space="0" w:color="000000"/>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2025</w:t>
            </w:r>
          </w:p>
        </w:tc>
        <w:tc>
          <w:tcPr>
            <w:tcW w:w="999" w:type="dxa"/>
            <w:tcBorders>
              <w:bottom w:val="single" w:sz="8" w:space="0" w:color="000000"/>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+0.086</w:t>
            </w:r>
          </w:p>
        </w:tc>
        <w:tc>
          <w:tcPr>
            <w:tcW w:w="1000" w:type="dxa"/>
            <w:tcBorders>
              <w:bottom w:val="single" w:sz="8" w:space="0" w:color="000000"/>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+0.185</w:t>
            </w:r>
          </w:p>
        </w:tc>
        <w:tc>
          <w:tcPr>
            <w:tcW w:w="1000" w:type="dxa"/>
            <w:tcBorders>
              <w:bottom w:val="single" w:sz="8" w:space="0" w:color="000000"/>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+0.070</w:t>
            </w:r>
          </w:p>
        </w:tc>
        <w:tc>
          <w:tcPr>
            <w:tcW w:w="1000" w:type="dxa"/>
            <w:tcBorders>
              <w:bottom w:val="single" w:sz="8" w:space="0" w:color="000000"/>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w:t>
            </w:r>
            <w:r>
              <w:rPr>
                <w:rFonts w:cs="Times New Roman" w:ascii="Times New Roman" w:hAnsi="Times New Roman"/>
                <w:sz w:val="18"/>
                <w:szCs w:val="18"/>
              </w:rPr>
              <w:t>0.251</w:t>
            </w:r>
          </w:p>
        </w:tc>
        <w:tc>
          <w:tcPr>
            <w:tcW w:w="1100" w:type="dxa"/>
            <w:tcBorders>
              <w:bottom w:val="single" w:sz="8" w:space="0" w:color="000000"/>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27.9</w:t>
            </w:r>
          </w:p>
        </w:tc>
      </w:tr>
    </w:tbl>
    <w:p>
      <w:pPr>
        <w:pStyle w:val="Normal"/>
        <w:spacing w:lineRule="auto" w:line="276" w:before="60" w:after="120"/>
        <w:jc w:val="both"/>
        <w:rPr/>
      </w:pPr>
      <w:r>
        <w:rPr>
          <w:rFonts w:cs="Times New Roman" w:ascii="Times New Roman" w:hAnsi="Times New Roman"/>
          <w:i/>
          <w:iCs/>
          <w:sz w:val="18"/>
          <w:szCs w:val="18"/>
        </w:rPr>
        <w:t xml:space="preserve">Note. </w:t>
      </w:r>
      <w:r>
        <w:rPr>
          <w:rFonts w:cs="Times New Roman" w:ascii="Times New Roman" w:hAnsi="Times New Roman"/>
          <w:sz w:val="18"/>
          <w:szCs w:val="18"/>
        </w:rPr>
        <w:t>Clear obs. is the mean number of cloud-free observations per lake pixel in the annual median composite.</w:t>
      </w:r>
    </w:p>
    <w:p>
      <w:pPr>
        <w:pStyle w:val="Normal"/>
        <w:spacing w:lineRule="auto" w:line="360" w:before="240" w:after="60"/>
        <w:rPr/>
      </w:pPr>
      <w:r>
        <w:rPr>
          <w:rFonts w:cs="Times New Roman" w:ascii="Times New Roman" w:hAnsi="Times New Roman"/>
          <w:b/>
          <w:bCs/>
          <w:sz w:val="20"/>
          <w:szCs w:val="20"/>
        </w:rPr>
        <w:t>Table 5</w:t>
      </w:r>
    </w:p>
    <w:p>
      <w:pPr>
        <w:pStyle w:val="Normal"/>
        <w:spacing w:lineRule="auto" w:line="360" w:before="0" w:after="60"/>
        <w:rPr/>
      </w:pPr>
      <w:r>
        <w:rPr>
          <w:rFonts w:cs="Times New Roman" w:ascii="Times New Roman" w:hAnsi="Times New Roman"/>
          <w:i/>
          <w:iCs/>
          <w:sz w:val="20"/>
          <w:szCs w:val="20"/>
        </w:rPr>
        <w:t>Five highest-ranked analogs for each site</w:t>
      </w:r>
    </w:p>
    <w:tbl>
      <w:tblPr>
        <w:tblW w:w="1010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91"/>
        <w:gridCol w:w="708"/>
        <w:gridCol w:w="1702"/>
        <w:gridCol w:w="1561"/>
        <w:gridCol w:w="849"/>
        <w:gridCol w:w="1418"/>
        <w:gridCol w:w="1072"/>
        <w:gridCol w:w="900"/>
        <w:gridCol w:w="898"/>
      </w:tblGrid>
      <w:tr>
        <w:trPr>
          <w:tblHeader w:val="true"/>
        </w:trPr>
        <w:tc>
          <w:tcPr>
            <w:tcW w:w="991" w:type="dxa"/>
            <w:tcBorders>
              <w:top w:val="single" w:sz="8" w:space="0" w:color="000000"/>
              <w:bottom w:val="single" w:sz="4" w:space="0" w:color="000000"/>
            </w:tcBorders>
          </w:tcPr>
          <w:p>
            <w:pPr>
              <w:pStyle w:val="Normal"/>
              <w:widowControl w:val="false"/>
              <w:spacing w:lineRule="auto" w:line="240" w:before="0" w:after="0"/>
              <w:rPr>
                <w:sz w:val="18"/>
                <w:szCs w:val="18"/>
              </w:rPr>
            </w:pPr>
            <w:r>
              <w:rPr>
                <w:rFonts w:cs="Times New Roman" w:ascii="Times New Roman" w:hAnsi="Times New Roman"/>
                <w:b/>
                <w:bCs/>
                <w:sz w:val="18"/>
                <w:szCs w:val="18"/>
              </w:rPr>
              <w:t>Site</w:t>
            </w:r>
          </w:p>
        </w:tc>
        <w:tc>
          <w:tcPr>
            <w:tcW w:w="708" w:type="dxa"/>
            <w:tcBorders>
              <w:top w:val="single" w:sz="8" w:space="0" w:color="000000"/>
              <w:bottom w:val="single" w:sz="4" w:space="0" w:color="000000"/>
            </w:tcBorders>
          </w:tcPr>
          <w:p>
            <w:pPr>
              <w:pStyle w:val="Normal"/>
              <w:widowControl w:val="false"/>
              <w:spacing w:lineRule="auto" w:line="240" w:before="0" w:after="0"/>
              <w:jc w:val="center"/>
              <w:rPr>
                <w:sz w:val="18"/>
                <w:szCs w:val="18"/>
              </w:rPr>
            </w:pPr>
            <w:r>
              <w:rPr>
                <w:rFonts w:cs="Times New Roman" w:ascii="Times New Roman" w:hAnsi="Times New Roman"/>
                <w:b/>
                <w:bCs/>
                <w:sz w:val="18"/>
                <w:szCs w:val="18"/>
              </w:rPr>
              <w:t>Rank</w:t>
            </w:r>
          </w:p>
        </w:tc>
        <w:tc>
          <w:tcPr>
            <w:tcW w:w="1702" w:type="dxa"/>
            <w:tcBorders>
              <w:top w:val="single" w:sz="8" w:space="0" w:color="000000"/>
              <w:bottom w:val="single" w:sz="4" w:space="0" w:color="000000"/>
            </w:tcBorders>
          </w:tcPr>
          <w:p>
            <w:pPr>
              <w:pStyle w:val="Normal"/>
              <w:widowControl w:val="false"/>
              <w:spacing w:lineRule="auto" w:line="240" w:before="0" w:after="0"/>
              <w:jc w:val="center"/>
              <w:rPr>
                <w:sz w:val="18"/>
                <w:szCs w:val="18"/>
              </w:rPr>
            </w:pPr>
            <w:r>
              <w:rPr>
                <w:rFonts w:cs="Times New Roman" w:ascii="Times New Roman" w:hAnsi="Times New Roman"/>
                <w:b/>
                <w:bCs/>
                <w:sz w:val="18"/>
                <w:szCs w:val="18"/>
              </w:rPr>
              <w:t>Analog lake</w:t>
            </w:r>
          </w:p>
        </w:tc>
        <w:tc>
          <w:tcPr>
            <w:tcW w:w="1561" w:type="dxa"/>
            <w:tcBorders>
              <w:top w:val="single" w:sz="8" w:space="0" w:color="000000"/>
              <w:bottom w:val="single" w:sz="4" w:space="0" w:color="000000"/>
            </w:tcBorders>
          </w:tcPr>
          <w:p>
            <w:pPr>
              <w:pStyle w:val="Normal"/>
              <w:widowControl w:val="false"/>
              <w:spacing w:lineRule="auto" w:line="240" w:before="0" w:after="0"/>
              <w:jc w:val="center"/>
              <w:rPr>
                <w:sz w:val="18"/>
                <w:szCs w:val="18"/>
              </w:rPr>
            </w:pPr>
            <w:r>
              <w:rPr>
                <w:rFonts w:cs="Times New Roman" w:ascii="Times New Roman" w:hAnsi="Times New Roman"/>
                <w:b/>
                <w:bCs/>
                <w:sz w:val="18"/>
                <w:szCs w:val="18"/>
              </w:rPr>
              <w:t>State</w:t>
            </w:r>
          </w:p>
        </w:tc>
        <w:tc>
          <w:tcPr>
            <w:tcW w:w="849" w:type="dxa"/>
            <w:tcBorders>
              <w:top w:val="single" w:sz="8" w:space="0" w:color="000000"/>
              <w:bottom w:val="single" w:sz="4" w:space="0" w:color="000000"/>
            </w:tcBorders>
          </w:tcPr>
          <w:p>
            <w:pPr>
              <w:pStyle w:val="Normal"/>
              <w:widowControl w:val="false"/>
              <w:spacing w:lineRule="auto" w:line="240" w:before="0" w:after="0"/>
              <w:jc w:val="center"/>
              <w:rPr>
                <w:sz w:val="18"/>
                <w:szCs w:val="18"/>
              </w:rPr>
            </w:pPr>
            <w:r>
              <w:rPr>
                <w:rFonts w:cs="Times New Roman" w:ascii="Times New Roman" w:hAnsi="Times New Roman"/>
                <w:b/>
                <w:bCs/>
                <w:sz w:val="18"/>
                <w:szCs w:val="18"/>
              </w:rPr>
              <w:t>Area (km²)</w:t>
            </w:r>
          </w:p>
        </w:tc>
        <w:tc>
          <w:tcPr>
            <w:tcW w:w="1418" w:type="dxa"/>
            <w:tcBorders>
              <w:top w:val="single" w:sz="8" w:space="0" w:color="000000"/>
              <w:bottom w:val="single" w:sz="4" w:space="0" w:color="000000"/>
            </w:tcBorders>
          </w:tcPr>
          <w:p>
            <w:pPr>
              <w:pStyle w:val="Normal"/>
              <w:widowControl w:val="false"/>
              <w:spacing w:lineRule="auto" w:line="240" w:before="0" w:after="0"/>
              <w:jc w:val="center"/>
              <w:rPr>
                <w:sz w:val="18"/>
                <w:szCs w:val="18"/>
              </w:rPr>
            </w:pPr>
            <w:r>
              <w:rPr>
                <w:rFonts w:cs="Times New Roman" w:ascii="Times New Roman" w:hAnsi="Times New Roman"/>
                <w:b/>
                <w:bCs/>
                <w:sz w:val="18"/>
                <w:szCs w:val="18"/>
              </w:rPr>
              <w:t>Raw cosine</w:t>
            </w:r>
          </w:p>
        </w:tc>
        <w:tc>
          <w:tcPr>
            <w:tcW w:w="1072" w:type="dxa"/>
            <w:tcBorders>
              <w:top w:val="single" w:sz="8" w:space="0" w:color="000000"/>
              <w:bottom w:val="single" w:sz="4" w:space="0" w:color="000000"/>
            </w:tcBorders>
          </w:tcPr>
          <w:p>
            <w:pPr>
              <w:pStyle w:val="Normal"/>
              <w:widowControl w:val="false"/>
              <w:spacing w:lineRule="auto" w:line="240" w:before="0" w:after="0"/>
              <w:jc w:val="center"/>
              <w:rPr>
                <w:sz w:val="18"/>
                <w:szCs w:val="18"/>
              </w:rPr>
            </w:pPr>
            <w:r>
              <w:rPr>
                <w:rFonts w:cs="Times New Roman" w:ascii="Times New Roman" w:hAnsi="Times New Roman"/>
                <w:b/>
                <w:bCs/>
                <w:sz w:val="18"/>
                <w:szCs w:val="18"/>
              </w:rPr>
              <w:t>Matched window</w:t>
            </w:r>
          </w:p>
        </w:tc>
        <w:tc>
          <w:tcPr>
            <w:tcW w:w="900" w:type="dxa"/>
            <w:tcBorders>
              <w:top w:val="single" w:sz="8" w:space="0" w:color="000000"/>
              <w:bottom w:val="single" w:sz="4" w:space="0" w:color="000000"/>
            </w:tcBorders>
          </w:tcPr>
          <w:p>
            <w:pPr>
              <w:pStyle w:val="Normal"/>
              <w:widowControl w:val="false"/>
              <w:spacing w:lineRule="auto" w:line="240" w:before="0" w:after="0"/>
              <w:jc w:val="center"/>
              <w:rPr>
                <w:sz w:val="18"/>
                <w:szCs w:val="18"/>
              </w:rPr>
            </w:pPr>
            <w:r>
              <w:rPr>
                <w:rFonts w:cs="Times New Roman" w:ascii="Times New Roman" w:hAnsi="Times New Roman"/>
                <w:b/>
                <w:bCs/>
                <w:sz w:val="18"/>
                <w:szCs w:val="18"/>
              </w:rPr>
              <w:t>Distance (km)</w:t>
            </w:r>
          </w:p>
        </w:tc>
        <w:tc>
          <w:tcPr>
            <w:tcW w:w="898" w:type="dxa"/>
            <w:tcBorders>
              <w:top w:val="single" w:sz="8" w:space="0" w:color="000000"/>
              <w:bottom w:val="single" w:sz="4" w:space="0" w:color="000000"/>
            </w:tcBorders>
          </w:tcPr>
          <w:p>
            <w:pPr>
              <w:pStyle w:val="Normal"/>
              <w:widowControl w:val="false"/>
              <w:spacing w:lineRule="auto" w:line="240" w:before="0" w:after="0"/>
              <w:jc w:val="center"/>
              <w:rPr>
                <w:sz w:val="18"/>
                <w:szCs w:val="18"/>
              </w:rPr>
            </w:pPr>
            <w:r>
              <w:rPr>
                <w:rFonts w:cs="Times New Roman" w:ascii="Times New Roman" w:hAnsi="Times New Roman"/>
                <w:b/>
                <w:bCs/>
                <w:sz w:val="18"/>
                <w:szCs w:val="18"/>
              </w:rPr>
              <w:t>Forecast analog</w:t>
            </w:r>
          </w:p>
        </w:tc>
      </w:tr>
      <w:tr>
        <w:trPr/>
        <w:tc>
          <w:tcPr>
            <w:tcW w:w="991" w:type="dxa"/>
            <w:tcBorders/>
          </w:tcPr>
          <w:p>
            <w:pPr>
              <w:pStyle w:val="Normal"/>
              <w:widowControl w:val="false"/>
              <w:spacing w:lineRule="auto" w:line="240" w:before="0" w:after="0"/>
              <w:rPr>
                <w:sz w:val="18"/>
                <w:szCs w:val="18"/>
              </w:rPr>
            </w:pPr>
            <w:r>
              <w:rPr>
                <w:rFonts w:cs="Times New Roman" w:ascii="Times New Roman" w:hAnsi="Times New Roman"/>
                <w:sz w:val="18"/>
                <w:szCs w:val="18"/>
              </w:rPr>
              <w:t>Chilika Lagoon</w:t>
            </w:r>
          </w:p>
        </w:tc>
        <w:tc>
          <w:tcPr>
            <w:tcW w:w="70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1</w:t>
            </w:r>
          </w:p>
        </w:tc>
        <w:tc>
          <w:tcPr>
            <w:tcW w:w="170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Govind Ballabh Pant</w:t>
            </w:r>
          </w:p>
        </w:tc>
        <w:tc>
          <w:tcPr>
            <w:tcW w:w="1561"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Uttar Pradesh</w:t>
            </w:r>
          </w:p>
        </w:tc>
        <w:tc>
          <w:tcPr>
            <w:tcW w:w="84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398.8</w:t>
            </w:r>
          </w:p>
        </w:tc>
        <w:tc>
          <w:tcPr>
            <w:tcW w:w="141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0.99590</w:t>
            </w:r>
          </w:p>
        </w:tc>
        <w:tc>
          <w:tcPr>
            <w:tcW w:w="107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2021–2025</w:t>
            </w:r>
          </w:p>
        </w:tc>
        <w:tc>
          <w:tcPr>
            <w:tcW w:w="9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553</w:t>
            </w:r>
          </w:p>
        </w:tc>
        <w:tc>
          <w:tcPr>
            <w:tcW w:w="89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No</w:t>
            </w:r>
          </w:p>
        </w:tc>
      </w:tr>
      <w:tr>
        <w:trPr/>
        <w:tc>
          <w:tcPr>
            <w:tcW w:w="991" w:type="dxa"/>
            <w:tcBorders/>
          </w:tcPr>
          <w:p>
            <w:pPr>
              <w:pStyle w:val="Normal"/>
              <w:widowControl w:val="false"/>
              <w:spacing w:lineRule="auto" w:line="240" w:before="0" w:after="0"/>
              <w:rPr>
                <w:sz w:val="18"/>
                <w:szCs w:val="18"/>
              </w:rPr>
            </w:pPr>
            <w:r>
              <w:rPr>
                <w:sz w:val="18"/>
                <w:szCs w:val="18"/>
              </w:rPr>
            </w:r>
          </w:p>
        </w:tc>
        <w:tc>
          <w:tcPr>
            <w:tcW w:w="70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w:t>
            </w:r>
          </w:p>
        </w:tc>
        <w:tc>
          <w:tcPr>
            <w:tcW w:w="170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Unnamed (1509)</w:t>
            </w:r>
          </w:p>
        </w:tc>
        <w:tc>
          <w:tcPr>
            <w:tcW w:w="1561"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Telangana</w:t>
            </w:r>
          </w:p>
        </w:tc>
        <w:tc>
          <w:tcPr>
            <w:tcW w:w="84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335.8</w:t>
            </w:r>
          </w:p>
        </w:tc>
        <w:tc>
          <w:tcPr>
            <w:tcW w:w="141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0.99543</w:t>
            </w:r>
          </w:p>
        </w:tc>
        <w:tc>
          <w:tcPr>
            <w:tcW w:w="107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2020–2024</w:t>
            </w:r>
          </w:p>
        </w:tc>
        <w:tc>
          <w:tcPr>
            <w:tcW w:w="9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754</w:t>
            </w:r>
          </w:p>
        </w:tc>
        <w:tc>
          <w:tcPr>
            <w:tcW w:w="89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Yes</w:t>
            </w:r>
          </w:p>
        </w:tc>
      </w:tr>
      <w:tr>
        <w:trPr/>
        <w:tc>
          <w:tcPr>
            <w:tcW w:w="991" w:type="dxa"/>
            <w:tcBorders/>
          </w:tcPr>
          <w:p>
            <w:pPr>
              <w:pStyle w:val="Normal"/>
              <w:widowControl w:val="false"/>
              <w:spacing w:lineRule="auto" w:line="240" w:before="0" w:after="0"/>
              <w:rPr>
                <w:sz w:val="18"/>
                <w:szCs w:val="18"/>
              </w:rPr>
            </w:pPr>
            <w:r>
              <w:rPr>
                <w:sz w:val="18"/>
                <w:szCs w:val="18"/>
              </w:rPr>
            </w:r>
          </w:p>
        </w:tc>
        <w:tc>
          <w:tcPr>
            <w:tcW w:w="70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3</w:t>
            </w:r>
          </w:p>
        </w:tc>
        <w:tc>
          <w:tcPr>
            <w:tcW w:w="170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Gandhisagar Reservoir</w:t>
            </w:r>
          </w:p>
        </w:tc>
        <w:tc>
          <w:tcPr>
            <w:tcW w:w="1561"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Madhya Pradesh</w:t>
            </w:r>
          </w:p>
        </w:tc>
        <w:tc>
          <w:tcPr>
            <w:tcW w:w="84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523.5</w:t>
            </w:r>
          </w:p>
        </w:tc>
        <w:tc>
          <w:tcPr>
            <w:tcW w:w="141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0.99524</w:t>
            </w:r>
          </w:p>
        </w:tc>
        <w:tc>
          <w:tcPr>
            <w:tcW w:w="107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2020–2024</w:t>
            </w:r>
          </w:p>
        </w:tc>
        <w:tc>
          <w:tcPr>
            <w:tcW w:w="9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1,142</w:t>
            </w:r>
          </w:p>
        </w:tc>
        <w:tc>
          <w:tcPr>
            <w:tcW w:w="89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Yes</w:t>
            </w:r>
          </w:p>
        </w:tc>
      </w:tr>
      <w:tr>
        <w:trPr/>
        <w:tc>
          <w:tcPr>
            <w:tcW w:w="991" w:type="dxa"/>
            <w:tcBorders/>
          </w:tcPr>
          <w:p>
            <w:pPr>
              <w:pStyle w:val="Normal"/>
              <w:widowControl w:val="false"/>
              <w:spacing w:lineRule="auto" w:line="240" w:before="0" w:after="0"/>
              <w:rPr>
                <w:sz w:val="18"/>
                <w:szCs w:val="18"/>
              </w:rPr>
            </w:pPr>
            <w:r>
              <w:rPr>
                <w:sz w:val="18"/>
                <w:szCs w:val="18"/>
              </w:rPr>
            </w:r>
          </w:p>
        </w:tc>
        <w:tc>
          <w:tcPr>
            <w:tcW w:w="70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4</w:t>
            </w:r>
          </w:p>
        </w:tc>
        <w:tc>
          <w:tcPr>
            <w:tcW w:w="170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Beas</w:t>
            </w:r>
          </w:p>
        </w:tc>
        <w:tc>
          <w:tcPr>
            <w:tcW w:w="1561"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Himachal Pradesh</w:t>
            </w:r>
          </w:p>
        </w:tc>
        <w:tc>
          <w:tcPr>
            <w:tcW w:w="84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189.4</w:t>
            </w:r>
          </w:p>
        </w:tc>
        <w:tc>
          <w:tcPr>
            <w:tcW w:w="141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0.99512</w:t>
            </w:r>
          </w:p>
        </w:tc>
        <w:tc>
          <w:tcPr>
            <w:tcW w:w="107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2021–2025</w:t>
            </w:r>
          </w:p>
        </w:tc>
        <w:tc>
          <w:tcPr>
            <w:tcW w:w="9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1,650</w:t>
            </w:r>
          </w:p>
        </w:tc>
        <w:tc>
          <w:tcPr>
            <w:tcW w:w="89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No</w:t>
            </w:r>
          </w:p>
        </w:tc>
      </w:tr>
      <w:tr>
        <w:trPr/>
        <w:tc>
          <w:tcPr>
            <w:tcW w:w="991" w:type="dxa"/>
            <w:tcBorders/>
          </w:tcPr>
          <w:p>
            <w:pPr>
              <w:pStyle w:val="Normal"/>
              <w:widowControl w:val="false"/>
              <w:spacing w:lineRule="auto" w:line="240" w:before="0" w:after="0"/>
              <w:rPr>
                <w:sz w:val="18"/>
                <w:szCs w:val="18"/>
              </w:rPr>
            </w:pPr>
            <w:r>
              <w:rPr>
                <w:sz w:val="18"/>
                <w:szCs w:val="18"/>
              </w:rPr>
            </w:r>
          </w:p>
        </w:tc>
        <w:tc>
          <w:tcPr>
            <w:tcW w:w="70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5</w:t>
            </w:r>
          </w:p>
        </w:tc>
        <w:tc>
          <w:tcPr>
            <w:tcW w:w="170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Ukal</w:t>
            </w:r>
          </w:p>
        </w:tc>
        <w:tc>
          <w:tcPr>
            <w:tcW w:w="1561"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Gujarat</w:t>
            </w:r>
          </w:p>
        </w:tc>
        <w:tc>
          <w:tcPr>
            <w:tcW w:w="84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370.3</w:t>
            </w:r>
          </w:p>
        </w:tc>
        <w:tc>
          <w:tcPr>
            <w:tcW w:w="141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0.99460</w:t>
            </w:r>
          </w:p>
        </w:tc>
        <w:tc>
          <w:tcPr>
            <w:tcW w:w="107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2020–2024</w:t>
            </w:r>
          </w:p>
        </w:tc>
        <w:tc>
          <w:tcPr>
            <w:tcW w:w="9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1,219</w:t>
            </w:r>
          </w:p>
        </w:tc>
        <w:tc>
          <w:tcPr>
            <w:tcW w:w="89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Yes</w:t>
            </w:r>
          </w:p>
        </w:tc>
      </w:tr>
      <w:tr>
        <w:trPr/>
        <w:tc>
          <w:tcPr>
            <w:tcW w:w="991" w:type="dxa"/>
            <w:tcBorders/>
          </w:tcPr>
          <w:p>
            <w:pPr>
              <w:pStyle w:val="Normal"/>
              <w:widowControl w:val="false"/>
              <w:spacing w:lineRule="auto" w:line="240" w:before="0" w:after="0"/>
              <w:rPr>
                <w:sz w:val="18"/>
                <w:szCs w:val="18"/>
              </w:rPr>
            </w:pPr>
            <w:r>
              <w:rPr>
                <w:rFonts w:cs="Times New Roman" w:ascii="Times New Roman" w:hAnsi="Times New Roman"/>
                <w:sz w:val="18"/>
                <w:szCs w:val="18"/>
              </w:rPr>
              <w:t>Maharana Pratap Sagar (Beas)</w:t>
            </w:r>
          </w:p>
        </w:tc>
        <w:tc>
          <w:tcPr>
            <w:tcW w:w="70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1</w:t>
            </w:r>
          </w:p>
        </w:tc>
        <w:tc>
          <w:tcPr>
            <w:tcW w:w="170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Gandhisagar Reservoir</w:t>
            </w:r>
          </w:p>
        </w:tc>
        <w:tc>
          <w:tcPr>
            <w:tcW w:w="1561"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Madhya Pradesh</w:t>
            </w:r>
          </w:p>
        </w:tc>
        <w:tc>
          <w:tcPr>
            <w:tcW w:w="84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523.5</w:t>
            </w:r>
          </w:p>
        </w:tc>
        <w:tc>
          <w:tcPr>
            <w:tcW w:w="141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0.99822</w:t>
            </w:r>
          </w:p>
        </w:tc>
        <w:tc>
          <w:tcPr>
            <w:tcW w:w="107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2021–2025</w:t>
            </w:r>
          </w:p>
        </w:tc>
        <w:tc>
          <w:tcPr>
            <w:tcW w:w="9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839</w:t>
            </w:r>
          </w:p>
        </w:tc>
        <w:tc>
          <w:tcPr>
            <w:tcW w:w="89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No</w:t>
            </w:r>
          </w:p>
        </w:tc>
      </w:tr>
      <w:tr>
        <w:trPr/>
        <w:tc>
          <w:tcPr>
            <w:tcW w:w="991" w:type="dxa"/>
            <w:tcBorders/>
          </w:tcPr>
          <w:p>
            <w:pPr>
              <w:pStyle w:val="Normal"/>
              <w:widowControl w:val="false"/>
              <w:spacing w:lineRule="auto" w:line="240" w:before="0" w:after="0"/>
              <w:rPr>
                <w:sz w:val="18"/>
                <w:szCs w:val="18"/>
              </w:rPr>
            </w:pPr>
            <w:r>
              <w:rPr>
                <w:sz w:val="18"/>
                <w:szCs w:val="18"/>
              </w:rPr>
            </w:r>
          </w:p>
        </w:tc>
        <w:tc>
          <w:tcPr>
            <w:tcW w:w="70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w:t>
            </w:r>
          </w:p>
        </w:tc>
        <w:tc>
          <w:tcPr>
            <w:tcW w:w="170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Bansagar Lake</w:t>
            </w:r>
          </w:p>
        </w:tc>
        <w:tc>
          <w:tcPr>
            <w:tcW w:w="1561"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Madhya Pradesh</w:t>
            </w:r>
          </w:p>
        </w:tc>
        <w:tc>
          <w:tcPr>
            <w:tcW w:w="84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384.2</w:t>
            </w:r>
          </w:p>
        </w:tc>
        <w:tc>
          <w:tcPr>
            <w:tcW w:w="141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0.99663</w:t>
            </w:r>
          </w:p>
        </w:tc>
        <w:tc>
          <w:tcPr>
            <w:tcW w:w="107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2018–2022</w:t>
            </w:r>
          </w:p>
        </w:tc>
        <w:tc>
          <w:tcPr>
            <w:tcW w:w="9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1,005</w:t>
            </w:r>
          </w:p>
        </w:tc>
        <w:tc>
          <w:tcPr>
            <w:tcW w:w="89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Yes</w:t>
            </w:r>
          </w:p>
        </w:tc>
      </w:tr>
      <w:tr>
        <w:trPr/>
        <w:tc>
          <w:tcPr>
            <w:tcW w:w="991" w:type="dxa"/>
            <w:tcBorders/>
          </w:tcPr>
          <w:p>
            <w:pPr>
              <w:pStyle w:val="Normal"/>
              <w:widowControl w:val="false"/>
              <w:spacing w:lineRule="auto" w:line="240" w:before="0" w:after="0"/>
              <w:rPr>
                <w:sz w:val="18"/>
                <w:szCs w:val="18"/>
              </w:rPr>
            </w:pPr>
            <w:r>
              <w:rPr>
                <w:sz w:val="18"/>
                <w:szCs w:val="18"/>
              </w:rPr>
            </w:r>
          </w:p>
        </w:tc>
        <w:tc>
          <w:tcPr>
            <w:tcW w:w="70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3</w:t>
            </w:r>
          </w:p>
        </w:tc>
        <w:tc>
          <w:tcPr>
            <w:tcW w:w="170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Hirakud Reservoir</w:t>
            </w:r>
          </w:p>
        </w:tc>
        <w:tc>
          <w:tcPr>
            <w:tcW w:w="1561"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Odisha</w:t>
            </w:r>
          </w:p>
        </w:tc>
        <w:tc>
          <w:tcPr>
            <w:tcW w:w="84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500.8</w:t>
            </w:r>
          </w:p>
        </w:tc>
        <w:tc>
          <w:tcPr>
            <w:tcW w:w="141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0.99634</w:t>
            </w:r>
          </w:p>
        </w:tc>
        <w:tc>
          <w:tcPr>
            <w:tcW w:w="107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2018–2022</w:t>
            </w:r>
          </w:p>
        </w:tc>
        <w:tc>
          <w:tcPr>
            <w:tcW w:w="9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1,384</w:t>
            </w:r>
          </w:p>
        </w:tc>
        <w:tc>
          <w:tcPr>
            <w:tcW w:w="89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Yes</w:t>
            </w:r>
          </w:p>
        </w:tc>
      </w:tr>
      <w:tr>
        <w:trPr/>
        <w:tc>
          <w:tcPr>
            <w:tcW w:w="991" w:type="dxa"/>
            <w:tcBorders/>
          </w:tcPr>
          <w:p>
            <w:pPr>
              <w:pStyle w:val="Normal"/>
              <w:widowControl w:val="false"/>
              <w:spacing w:lineRule="auto" w:line="240" w:before="0" w:after="0"/>
              <w:rPr>
                <w:sz w:val="18"/>
                <w:szCs w:val="18"/>
              </w:rPr>
            </w:pPr>
            <w:r>
              <w:rPr>
                <w:sz w:val="18"/>
                <w:szCs w:val="18"/>
              </w:rPr>
            </w:r>
          </w:p>
        </w:tc>
        <w:tc>
          <w:tcPr>
            <w:tcW w:w="70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4</w:t>
            </w:r>
          </w:p>
        </w:tc>
        <w:tc>
          <w:tcPr>
            <w:tcW w:w="170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Rana Pratap</w:t>
            </w:r>
          </w:p>
        </w:tc>
        <w:tc>
          <w:tcPr>
            <w:tcW w:w="1561"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Rajasthan</w:t>
            </w:r>
          </w:p>
        </w:tc>
        <w:tc>
          <w:tcPr>
            <w:tcW w:w="84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171.4</w:t>
            </w:r>
          </w:p>
        </w:tc>
        <w:tc>
          <w:tcPr>
            <w:tcW w:w="141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0.99623</w:t>
            </w:r>
          </w:p>
        </w:tc>
        <w:tc>
          <w:tcPr>
            <w:tcW w:w="107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2021–2025</w:t>
            </w:r>
          </w:p>
        </w:tc>
        <w:tc>
          <w:tcPr>
            <w:tcW w:w="9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802</w:t>
            </w:r>
          </w:p>
        </w:tc>
        <w:tc>
          <w:tcPr>
            <w:tcW w:w="89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No</w:t>
            </w:r>
          </w:p>
        </w:tc>
      </w:tr>
      <w:tr>
        <w:trPr/>
        <w:tc>
          <w:tcPr>
            <w:tcW w:w="991" w:type="dxa"/>
            <w:tcBorders/>
          </w:tcPr>
          <w:p>
            <w:pPr>
              <w:pStyle w:val="Normal"/>
              <w:widowControl w:val="false"/>
              <w:spacing w:lineRule="auto" w:line="240" w:before="0" w:after="0"/>
              <w:rPr>
                <w:sz w:val="18"/>
                <w:szCs w:val="18"/>
              </w:rPr>
            </w:pPr>
            <w:r>
              <w:rPr>
                <w:sz w:val="18"/>
                <w:szCs w:val="18"/>
              </w:rPr>
            </w:r>
          </w:p>
        </w:tc>
        <w:tc>
          <w:tcPr>
            <w:tcW w:w="70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5</w:t>
            </w:r>
          </w:p>
        </w:tc>
        <w:tc>
          <w:tcPr>
            <w:tcW w:w="170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Unnamed (1509)</w:t>
            </w:r>
          </w:p>
        </w:tc>
        <w:tc>
          <w:tcPr>
            <w:tcW w:w="1561"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Telangana</w:t>
            </w:r>
          </w:p>
        </w:tc>
        <w:tc>
          <w:tcPr>
            <w:tcW w:w="84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335.8</w:t>
            </w:r>
          </w:p>
        </w:tc>
        <w:tc>
          <w:tcPr>
            <w:tcW w:w="141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0.99593</w:t>
            </w:r>
          </w:p>
        </w:tc>
        <w:tc>
          <w:tcPr>
            <w:tcW w:w="107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2020–2024</w:t>
            </w:r>
          </w:p>
        </w:tc>
        <w:tc>
          <w:tcPr>
            <w:tcW w:w="9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1,463</w:t>
            </w:r>
          </w:p>
        </w:tc>
        <w:tc>
          <w:tcPr>
            <w:tcW w:w="89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Yes</w:t>
            </w:r>
          </w:p>
        </w:tc>
      </w:tr>
      <w:tr>
        <w:trPr/>
        <w:tc>
          <w:tcPr>
            <w:tcW w:w="991" w:type="dxa"/>
            <w:tcBorders/>
          </w:tcPr>
          <w:p>
            <w:pPr>
              <w:pStyle w:val="Normal"/>
              <w:widowControl w:val="false"/>
              <w:spacing w:lineRule="auto" w:line="240" w:before="0" w:after="0"/>
              <w:rPr>
                <w:sz w:val="18"/>
                <w:szCs w:val="18"/>
              </w:rPr>
            </w:pPr>
            <w:r>
              <w:rPr>
                <w:rFonts w:cs="Times New Roman" w:ascii="Times New Roman" w:hAnsi="Times New Roman"/>
                <w:sz w:val="18"/>
                <w:szCs w:val="18"/>
              </w:rPr>
              <w:t>Tawa Reservoir</w:t>
            </w:r>
          </w:p>
        </w:tc>
        <w:tc>
          <w:tcPr>
            <w:tcW w:w="70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1</w:t>
            </w:r>
          </w:p>
        </w:tc>
        <w:tc>
          <w:tcPr>
            <w:tcW w:w="170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Unnamed (15616)</w:t>
            </w:r>
          </w:p>
        </w:tc>
        <w:tc>
          <w:tcPr>
            <w:tcW w:w="1561"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Maharashtra</w:t>
            </w:r>
          </w:p>
        </w:tc>
        <w:tc>
          <w:tcPr>
            <w:tcW w:w="84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39.9</w:t>
            </w:r>
          </w:p>
        </w:tc>
        <w:tc>
          <w:tcPr>
            <w:tcW w:w="141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0.99856</w:t>
            </w:r>
          </w:p>
        </w:tc>
        <w:tc>
          <w:tcPr>
            <w:tcW w:w="107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2017–2021</w:t>
            </w:r>
          </w:p>
        </w:tc>
        <w:tc>
          <w:tcPr>
            <w:tcW w:w="9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295</w:t>
            </w:r>
          </w:p>
        </w:tc>
        <w:tc>
          <w:tcPr>
            <w:tcW w:w="89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Yes</w:t>
            </w:r>
          </w:p>
        </w:tc>
      </w:tr>
      <w:tr>
        <w:trPr/>
        <w:tc>
          <w:tcPr>
            <w:tcW w:w="991" w:type="dxa"/>
            <w:tcBorders/>
          </w:tcPr>
          <w:p>
            <w:pPr>
              <w:pStyle w:val="Normal"/>
              <w:widowControl w:val="false"/>
              <w:spacing w:lineRule="auto" w:line="240" w:before="0" w:after="0"/>
              <w:rPr>
                <w:sz w:val="18"/>
                <w:szCs w:val="18"/>
              </w:rPr>
            </w:pPr>
            <w:r>
              <w:rPr>
                <w:sz w:val="18"/>
                <w:szCs w:val="18"/>
              </w:rPr>
            </w:r>
          </w:p>
        </w:tc>
        <w:tc>
          <w:tcPr>
            <w:tcW w:w="70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w:t>
            </w:r>
          </w:p>
        </w:tc>
        <w:tc>
          <w:tcPr>
            <w:tcW w:w="170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Ravishankar Sagar</w:t>
            </w:r>
          </w:p>
        </w:tc>
        <w:tc>
          <w:tcPr>
            <w:tcW w:w="1561"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Chhattisgarh</w:t>
            </w:r>
          </w:p>
        </w:tc>
        <w:tc>
          <w:tcPr>
            <w:tcW w:w="84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79.4</w:t>
            </w:r>
          </w:p>
        </w:tc>
        <w:tc>
          <w:tcPr>
            <w:tcW w:w="141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0.99775</w:t>
            </w:r>
          </w:p>
        </w:tc>
        <w:tc>
          <w:tcPr>
            <w:tcW w:w="107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2017–2021</w:t>
            </w:r>
          </w:p>
        </w:tc>
        <w:tc>
          <w:tcPr>
            <w:tcW w:w="9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425</w:t>
            </w:r>
          </w:p>
        </w:tc>
        <w:tc>
          <w:tcPr>
            <w:tcW w:w="89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Yes</w:t>
            </w:r>
          </w:p>
        </w:tc>
      </w:tr>
      <w:tr>
        <w:trPr/>
        <w:tc>
          <w:tcPr>
            <w:tcW w:w="991" w:type="dxa"/>
            <w:tcBorders/>
          </w:tcPr>
          <w:p>
            <w:pPr>
              <w:pStyle w:val="Normal"/>
              <w:widowControl w:val="false"/>
              <w:spacing w:lineRule="auto" w:line="240" w:before="0" w:after="0"/>
              <w:rPr>
                <w:sz w:val="18"/>
                <w:szCs w:val="18"/>
              </w:rPr>
            </w:pPr>
            <w:r>
              <w:rPr>
                <w:sz w:val="18"/>
                <w:szCs w:val="18"/>
              </w:rPr>
            </w:r>
          </w:p>
        </w:tc>
        <w:tc>
          <w:tcPr>
            <w:tcW w:w="70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3</w:t>
            </w:r>
          </w:p>
        </w:tc>
        <w:tc>
          <w:tcPr>
            <w:tcW w:w="170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Erai Reservoir</w:t>
            </w:r>
          </w:p>
        </w:tc>
        <w:tc>
          <w:tcPr>
            <w:tcW w:w="1561"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Maharashtra</w:t>
            </w:r>
          </w:p>
        </w:tc>
        <w:tc>
          <w:tcPr>
            <w:tcW w:w="84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24.5</w:t>
            </w:r>
          </w:p>
        </w:tc>
        <w:tc>
          <w:tcPr>
            <w:tcW w:w="141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0.99745</w:t>
            </w:r>
          </w:p>
        </w:tc>
        <w:tc>
          <w:tcPr>
            <w:tcW w:w="107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2021–2025</w:t>
            </w:r>
          </w:p>
        </w:tc>
        <w:tc>
          <w:tcPr>
            <w:tcW w:w="9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294</w:t>
            </w:r>
          </w:p>
        </w:tc>
        <w:tc>
          <w:tcPr>
            <w:tcW w:w="89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No</w:t>
            </w:r>
          </w:p>
        </w:tc>
      </w:tr>
      <w:tr>
        <w:trPr/>
        <w:tc>
          <w:tcPr>
            <w:tcW w:w="991" w:type="dxa"/>
            <w:tcBorders/>
          </w:tcPr>
          <w:p>
            <w:pPr>
              <w:pStyle w:val="Normal"/>
              <w:widowControl w:val="false"/>
              <w:spacing w:lineRule="auto" w:line="240" w:before="0" w:after="0"/>
              <w:rPr>
                <w:sz w:val="18"/>
                <w:szCs w:val="18"/>
              </w:rPr>
            </w:pPr>
            <w:r>
              <w:rPr>
                <w:sz w:val="18"/>
                <w:szCs w:val="18"/>
              </w:rPr>
            </w:r>
          </w:p>
        </w:tc>
        <w:tc>
          <w:tcPr>
            <w:tcW w:w="70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4</w:t>
            </w:r>
          </w:p>
        </w:tc>
        <w:tc>
          <w:tcPr>
            <w:tcW w:w="170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Unnamed (15613)</w:t>
            </w:r>
          </w:p>
        </w:tc>
        <w:tc>
          <w:tcPr>
            <w:tcW w:w="1561"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Chhattisgarh</w:t>
            </w:r>
          </w:p>
        </w:tc>
        <w:tc>
          <w:tcPr>
            <w:tcW w:w="84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19.1</w:t>
            </w:r>
          </w:p>
        </w:tc>
        <w:tc>
          <w:tcPr>
            <w:tcW w:w="141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0.99743</w:t>
            </w:r>
          </w:p>
        </w:tc>
        <w:tc>
          <w:tcPr>
            <w:tcW w:w="107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2019–2023</w:t>
            </w:r>
          </w:p>
        </w:tc>
        <w:tc>
          <w:tcPr>
            <w:tcW w:w="9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362</w:t>
            </w:r>
          </w:p>
        </w:tc>
        <w:tc>
          <w:tcPr>
            <w:tcW w:w="89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Yes</w:t>
            </w:r>
          </w:p>
        </w:tc>
      </w:tr>
      <w:tr>
        <w:trPr/>
        <w:tc>
          <w:tcPr>
            <w:tcW w:w="991" w:type="dxa"/>
            <w:tcBorders/>
          </w:tcPr>
          <w:p>
            <w:pPr>
              <w:pStyle w:val="Normal"/>
              <w:widowControl w:val="false"/>
              <w:spacing w:lineRule="auto" w:line="240" w:before="0" w:after="0"/>
              <w:rPr>
                <w:sz w:val="18"/>
                <w:szCs w:val="18"/>
              </w:rPr>
            </w:pPr>
            <w:r>
              <w:rPr>
                <w:sz w:val="18"/>
                <w:szCs w:val="18"/>
              </w:rPr>
            </w:r>
          </w:p>
        </w:tc>
        <w:tc>
          <w:tcPr>
            <w:tcW w:w="70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5</w:t>
            </w:r>
          </w:p>
        </w:tc>
        <w:tc>
          <w:tcPr>
            <w:tcW w:w="170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Unnamed (15532)</w:t>
            </w:r>
          </w:p>
        </w:tc>
        <w:tc>
          <w:tcPr>
            <w:tcW w:w="1561"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Jharkhand</w:t>
            </w:r>
          </w:p>
        </w:tc>
        <w:tc>
          <w:tcPr>
            <w:tcW w:w="84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32.7</w:t>
            </w:r>
          </w:p>
        </w:tc>
        <w:tc>
          <w:tcPr>
            <w:tcW w:w="141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0.99742</w:t>
            </w:r>
          </w:p>
        </w:tc>
        <w:tc>
          <w:tcPr>
            <w:tcW w:w="107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2021–2025</w:t>
            </w:r>
          </w:p>
        </w:tc>
        <w:tc>
          <w:tcPr>
            <w:tcW w:w="9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810</w:t>
            </w:r>
          </w:p>
        </w:tc>
        <w:tc>
          <w:tcPr>
            <w:tcW w:w="89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No</w:t>
            </w:r>
          </w:p>
        </w:tc>
      </w:tr>
      <w:tr>
        <w:trPr/>
        <w:tc>
          <w:tcPr>
            <w:tcW w:w="991" w:type="dxa"/>
            <w:tcBorders/>
          </w:tcPr>
          <w:p>
            <w:pPr>
              <w:pStyle w:val="Normal"/>
              <w:widowControl w:val="false"/>
              <w:spacing w:lineRule="auto" w:line="240" w:before="0" w:after="0"/>
              <w:rPr>
                <w:sz w:val="18"/>
                <w:szCs w:val="18"/>
              </w:rPr>
            </w:pPr>
            <w:r>
              <w:rPr>
                <w:rFonts w:cs="Times New Roman" w:ascii="Times New Roman" w:hAnsi="Times New Roman"/>
                <w:sz w:val="18"/>
                <w:szCs w:val="18"/>
              </w:rPr>
              <w:t>Tso Morari</w:t>
            </w:r>
          </w:p>
        </w:tc>
        <w:tc>
          <w:tcPr>
            <w:tcW w:w="70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1</w:t>
            </w:r>
          </w:p>
        </w:tc>
        <w:tc>
          <w:tcPr>
            <w:tcW w:w="170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Pangong</w:t>
            </w:r>
          </w:p>
        </w:tc>
        <w:tc>
          <w:tcPr>
            <w:tcW w:w="1561"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Ladakh</w:t>
            </w:r>
          </w:p>
        </w:tc>
        <w:tc>
          <w:tcPr>
            <w:tcW w:w="84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285.5</w:t>
            </w:r>
          </w:p>
        </w:tc>
        <w:tc>
          <w:tcPr>
            <w:tcW w:w="141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0.99721</w:t>
            </w:r>
          </w:p>
        </w:tc>
        <w:tc>
          <w:tcPr>
            <w:tcW w:w="107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2021–2025</w:t>
            </w:r>
          </w:p>
        </w:tc>
        <w:tc>
          <w:tcPr>
            <w:tcW w:w="9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105</w:t>
            </w:r>
          </w:p>
        </w:tc>
        <w:tc>
          <w:tcPr>
            <w:tcW w:w="89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No</w:t>
            </w:r>
          </w:p>
        </w:tc>
      </w:tr>
      <w:tr>
        <w:trPr/>
        <w:tc>
          <w:tcPr>
            <w:tcW w:w="991" w:type="dxa"/>
            <w:tcBorders/>
          </w:tcPr>
          <w:p>
            <w:pPr>
              <w:pStyle w:val="Normal"/>
              <w:widowControl w:val="false"/>
              <w:spacing w:lineRule="auto" w:line="240" w:before="0" w:after="0"/>
              <w:rPr>
                <w:sz w:val="18"/>
                <w:szCs w:val="18"/>
              </w:rPr>
            </w:pPr>
            <w:r>
              <w:rPr>
                <w:sz w:val="18"/>
                <w:szCs w:val="18"/>
              </w:rPr>
            </w:r>
          </w:p>
        </w:tc>
        <w:tc>
          <w:tcPr>
            <w:tcW w:w="70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w:t>
            </w:r>
          </w:p>
        </w:tc>
        <w:tc>
          <w:tcPr>
            <w:tcW w:w="170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Unnamed (175002)</w:t>
            </w:r>
          </w:p>
        </w:tc>
        <w:tc>
          <w:tcPr>
            <w:tcW w:w="1561"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Ladakh</w:t>
            </w:r>
          </w:p>
        </w:tc>
        <w:tc>
          <w:tcPr>
            <w:tcW w:w="84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3.4</w:t>
            </w:r>
          </w:p>
        </w:tc>
        <w:tc>
          <w:tcPr>
            <w:tcW w:w="141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0.98351</w:t>
            </w:r>
          </w:p>
        </w:tc>
        <w:tc>
          <w:tcPr>
            <w:tcW w:w="107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2021–2025</w:t>
            </w:r>
          </w:p>
        </w:tc>
        <w:tc>
          <w:tcPr>
            <w:tcW w:w="9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47</w:t>
            </w:r>
          </w:p>
        </w:tc>
        <w:tc>
          <w:tcPr>
            <w:tcW w:w="89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No</w:t>
            </w:r>
          </w:p>
        </w:tc>
      </w:tr>
      <w:tr>
        <w:trPr/>
        <w:tc>
          <w:tcPr>
            <w:tcW w:w="991" w:type="dxa"/>
            <w:tcBorders/>
          </w:tcPr>
          <w:p>
            <w:pPr>
              <w:pStyle w:val="Normal"/>
              <w:widowControl w:val="false"/>
              <w:spacing w:lineRule="auto" w:line="240" w:before="0" w:after="0"/>
              <w:rPr>
                <w:sz w:val="18"/>
                <w:szCs w:val="18"/>
              </w:rPr>
            </w:pPr>
            <w:r>
              <w:rPr>
                <w:sz w:val="18"/>
                <w:szCs w:val="18"/>
              </w:rPr>
            </w:r>
          </w:p>
        </w:tc>
        <w:tc>
          <w:tcPr>
            <w:tcW w:w="70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3</w:t>
            </w:r>
          </w:p>
        </w:tc>
        <w:tc>
          <w:tcPr>
            <w:tcW w:w="170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Rana Pratap</w:t>
            </w:r>
          </w:p>
        </w:tc>
        <w:tc>
          <w:tcPr>
            <w:tcW w:w="1561"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Rajasthan</w:t>
            </w:r>
          </w:p>
        </w:tc>
        <w:tc>
          <w:tcPr>
            <w:tcW w:w="84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171.4</w:t>
            </w:r>
          </w:p>
        </w:tc>
        <w:tc>
          <w:tcPr>
            <w:tcW w:w="141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0.98345</w:t>
            </w:r>
          </w:p>
        </w:tc>
        <w:tc>
          <w:tcPr>
            <w:tcW w:w="107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2020–2024</w:t>
            </w:r>
          </w:p>
        </w:tc>
        <w:tc>
          <w:tcPr>
            <w:tcW w:w="9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941</w:t>
            </w:r>
          </w:p>
        </w:tc>
        <w:tc>
          <w:tcPr>
            <w:tcW w:w="89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Yes</w:t>
            </w:r>
          </w:p>
        </w:tc>
      </w:tr>
      <w:tr>
        <w:trPr/>
        <w:tc>
          <w:tcPr>
            <w:tcW w:w="991" w:type="dxa"/>
            <w:tcBorders/>
          </w:tcPr>
          <w:p>
            <w:pPr>
              <w:pStyle w:val="Normal"/>
              <w:widowControl w:val="false"/>
              <w:spacing w:lineRule="auto" w:line="240" w:before="0" w:after="0"/>
              <w:rPr>
                <w:sz w:val="18"/>
                <w:szCs w:val="18"/>
              </w:rPr>
            </w:pPr>
            <w:r>
              <w:rPr>
                <w:sz w:val="18"/>
                <w:szCs w:val="18"/>
              </w:rPr>
            </w:r>
          </w:p>
        </w:tc>
        <w:tc>
          <w:tcPr>
            <w:tcW w:w="70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4</w:t>
            </w:r>
          </w:p>
        </w:tc>
        <w:tc>
          <w:tcPr>
            <w:tcW w:w="170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Matatila</w:t>
            </w:r>
          </w:p>
        </w:tc>
        <w:tc>
          <w:tcPr>
            <w:tcW w:w="1561"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Uttar Pradesh</w:t>
            </w:r>
          </w:p>
        </w:tc>
        <w:tc>
          <w:tcPr>
            <w:tcW w:w="84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65.6</w:t>
            </w:r>
          </w:p>
        </w:tc>
        <w:tc>
          <w:tcPr>
            <w:tcW w:w="141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0.98281</w:t>
            </w:r>
          </w:p>
        </w:tc>
        <w:tc>
          <w:tcPr>
            <w:tcW w:w="107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2018–2022</w:t>
            </w:r>
          </w:p>
        </w:tc>
        <w:tc>
          <w:tcPr>
            <w:tcW w:w="9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870</w:t>
            </w:r>
          </w:p>
        </w:tc>
        <w:tc>
          <w:tcPr>
            <w:tcW w:w="89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Yes</w:t>
            </w:r>
          </w:p>
        </w:tc>
      </w:tr>
      <w:tr>
        <w:trPr/>
        <w:tc>
          <w:tcPr>
            <w:tcW w:w="991" w:type="dxa"/>
            <w:tcBorders/>
          </w:tcPr>
          <w:p>
            <w:pPr>
              <w:pStyle w:val="Normal"/>
              <w:widowControl w:val="false"/>
              <w:spacing w:lineRule="auto" w:line="240" w:before="0" w:after="0"/>
              <w:rPr>
                <w:sz w:val="18"/>
                <w:szCs w:val="18"/>
              </w:rPr>
            </w:pPr>
            <w:r>
              <w:rPr>
                <w:sz w:val="18"/>
                <w:szCs w:val="18"/>
              </w:rPr>
            </w:r>
          </w:p>
        </w:tc>
        <w:tc>
          <w:tcPr>
            <w:tcW w:w="70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5</w:t>
            </w:r>
          </w:p>
        </w:tc>
        <w:tc>
          <w:tcPr>
            <w:tcW w:w="170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Unnamed (15736)</w:t>
            </w:r>
          </w:p>
        </w:tc>
        <w:tc>
          <w:tcPr>
            <w:tcW w:w="1561"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Karnataka</w:t>
            </w:r>
          </w:p>
        </w:tc>
        <w:tc>
          <w:tcPr>
            <w:tcW w:w="84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89.7</w:t>
            </w:r>
          </w:p>
        </w:tc>
        <w:tc>
          <w:tcPr>
            <w:tcW w:w="141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0.98255</w:t>
            </w:r>
          </w:p>
        </w:tc>
        <w:tc>
          <w:tcPr>
            <w:tcW w:w="107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2021–2025</w:t>
            </w:r>
          </w:p>
        </w:tc>
        <w:tc>
          <w:tcPr>
            <w:tcW w:w="9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1,999</w:t>
            </w:r>
          </w:p>
        </w:tc>
        <w:tc>
          <w:tcPr>
            <w:tcW w:w="89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No</w:t>
            </w:r>
          </w:p>
        </w:tc>
      </w:tr>
      <w:tr>
        <w:trPr/>
        <w:tc>
          <w:tcPr>
            <w:tcW w:w="991" w:type="dxa"/>
            <w:tcBorders/>
          </w:tcPr>
          <w:p>
            <w:pPr>
              <w:pStyle w:val="Normal"/>
              <w:widowControl w:val="false"/>
              <w:spacing w:lineRule="auto" w:line="240" w:before="0" w:after="0"/>
              <w:rPr>
                <w:sz w:val="18"/>
                <w:szCs w:val="18"/>
              </w:rPr>
            </w:pPr>
            <w:r>
              <w:rPr>
                <w:rFonts w:cs="Times New Roman" w:ascii="Times New Roman" w:hAnsi="Times New Roman"/>
                <w:sz w:val="18"/>
                <w:szCs w:val="18"/>
              </w:rPr>
              <w:t>Sasthamcotta Lake</w:t>
            </w:r>
          </w:p>
        </w:tc>
        <w:tc>
          <w:tcPr>
            <w:tcW w:w="70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1</w:t>
            </w:r>
          </w:p>
        </w:tc>
        <w:tc>
          <w:tcPr>
            <w:tcW w:w="170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Unnamed (179945)</w:t>
            </w:r>
          </w:p>
        </w:tc>
        <w:tc>
          <w:tcPr>
            <w:tcW w:w="1561"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Kerala</w:t>
            </w:r>
          </w:p>
        </w:tc>
        <w:tc>
          <w:tcPr>
            <w:tcW w:w="84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2.5</w:t>
            </w:r>
          </w:p>
        </w:tc>
        <w:tc>
          <w:tcPr>
            <w:tcW w:w="141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0.99437</w:t>
            </w:r>
          </w:p>
        </w:tc>
        <w:tc>
          <w:tcPr>
            <w:tcW w:w="107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2020–2024</w:t>
            </w:r>
          </w:p>
        </w:tc>
        <w:tc>
          <w:tcPr>
            <w:tcW w:w="9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29</w:t>
            </w:r>
          </w:p>
        </w:tc>
        <w:tc>
          <w:tcPr>
            <w:tcW w:w="89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Yes</w:t>
            </w:r>
          </w:p>
        </w:tc>
      </w:tr>
      <w:tr>
        <w:trPr/>
        <w:tc>
          <w:tcPr>
            <w:tcW w:w="991" w:type="dxa"/>
            <w:tcBorders/>
          </w:tcPr>
          <w:p>
            <w:pPr>
              <w:pStyle w:val="Normal"/>
              <w:widowControl w:val="false"/>
              <w:spacing w:lineRule="auto" w:line="240" w:before="0" w:after="0"/>
              <w:rPr>
                <w:sz w:val="18"/>
                <w:szCs w:val="18"/>
              </w:rPr>
            </w:pPr>
            <w:r>
              <w:rPr>
                <w:sz w:val="18"/>
                <w:szCs w:val="18"/>
              </w:rPr>
            </w:r>
          </w:p>
        </w:tc>
        <w:tc>
          <w:tcPr>
            <w:tcW w:w="70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w:t>
            </w:r>
          </w:p>
        </w:tc>
        <w:tc>
          <w:tcPr>
            <w:tcW w:w="170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Unnamed (179645)</w:t>
            </w:r>
          </w:p>
        </w:tc>
        <w:tc>
          <w:tcPr>
            <w:tcW w:w="1561"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Kerala</w:t>
            </w:r>
          </w:p>
        </w:tc>
        <w:tc>
          <w:tcPr>
            <w:tcW w:w="84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5.7</w:t>
            </w:r>
          </w:p>
        </w:tc>
        <w:tc>
          <w:tcPr>
            <w:tcW w:w="141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0.99391</w:t>
            </w:r>
          </w:p>
        </w:tc>
        <w:tc>
          <w:tcPr>
            <w:tcW w:w="107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2019–2023</w:t>
            </w:r>
          </w:p>
        </w:tc>
        <w:tc>
          <w:tcPr>
            <w:tcW w:w="9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280</w:t>
            </w:r>
          </w:p>
        </w:tc>
        <w:tc>
          <w:tcPr>
            <w:tcW w:w="89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Yes</w:t>
            </w:r>
          </w:p>
        </w:tc>
      </w:tr>
      <w:tr>
        <w:trPr/>
        <w:tc>
          <w:tcPr>
            <w:tcW w:w="991" w:type="dxa"/>
            <w:tcBorders/>
          </w:tcPr>
          <w:p>
            <w:pPr>
              <w:pStyle w:val="Normal"/>
              <w:widowControl w:val="false"/>
              <w:spacing w:lineRule="auto" w:line="240" w:before="0" w:after="0"/>
              <w:rPr>
                <w:sz w:val="18"/>
                <w:szCs w:val="18"/>
              </w:rPr>
            </w:pPr>
            <w:r>
              <w:rPr>
                <w:sz w:val="18"/>
                <w:szCs w:val="18"/>
              </w:rPr>
            </w:r>
          </w:p>
        </w:tc>
        <w:tc>
          <w:tcPr>
            <w:tcW w:w="70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3</w:t>
            </w:r>
          </w:p>
        </w:tc>
        <w:tc>
          <w:tcPr>
            <w:tcW w:w="170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Unnamed (179552)</w:t>
            </w:r>
          </w:p>
        </w:tc>
        <w:tc>
          <w:tcPr>
            <w:tcW w:w="1561"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Kerala</w:t>
            </w:r>
          </w:p>
        </w:tc>
        <w:tc>
          <w:tcPr>
            <w:tcW w:w="84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4.2</w:t>
            </w:r>
          </w:p>
        </w:tc>
        <w:tc>
          <w:tcPr>
            <w:tcW w:w="141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0.99360</w:t>
            </w:r>
          </w:p>
        </w:tc>
        <w:tc>
          <w:tcPr>
            <w:tcW w:w="107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2020–2024</w:t>
            </w:r>
          </w:p>
        </w:tc>
        <w:tc>
          <w:tcPr>
            <w:tcW w:w="9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345</w:t>
            </w:r>
          </w:p>
        </w:tc>
        <w:tc>
          <w:tcPr>
            <w:tcW w:w="89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Yes</w:t>
            </w:r>
          </w:p>
        </w:tc>
      </w:tr>
      <w:tr>
        <w:trPr/>
        <w:tc>
          <w:tcPr>
            <w:tcW w:w="991" w:type="dxa"/>
            <w:tcBorders/>
          </w:tcPr>
          <w:p>
            <w:pPr>
              <w:pStyle w:val="Normal"/>
              <w:widowControl w:val="false"/>
              <w:spacing w:lineRule="auto" w:line="240" w:before="0" w:after="0"/>
              <w:rPr>
                <w:sz w:val="18"/>
                <w:szCs w:val="18"/>
              </w:rPr>
            </w:pPr>
            <w:r>
              <w:rPr>
                <w:sz w:val="18"/>
                <w:szCs w:val="18"/>
              </w:rPr>
            </w:r>
          </w:p>
        </w:tc>
        <w:tc>
          <w:tcPr>
            <w:tcW w:w="70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4</w:t>
            </w:r>
          </w:p>
        </w:tc>
        <w:tc>
          <w:tcPr>
            <w:tcW w:w="170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Unnamed (175567)</w:t>
            </w:r>
          </w:p>
        </w:tc>
        <w:tc>
          <w:tcPr>
            <w:tcW w:w="1561"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Punjab</w:t>
            </w:r>
          </w:p>
        </w:tc>
        <w:tc>
          <w:tcPr>
            <w:tcW w:w="849"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3.1</w:t>
            </w:r>
          </w:p>
        </w:tc>
        <w:tc>
          <w:tcPr>
            <w:tcW w:w="141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0.99358</w:t>
            </w:r>
          </w:p>
        </w:tc>
        <w:tc>
          <w:tcPr>
            <w:tcW w:w="107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2021–2025</w:t>
            </w:r>
          </w:p>
        </w:tc>
        <w:tc>
          <w:tcPr>
            <w:tcW w:w="9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2,487</w:t>
            </w:r>
          </w:p>
        </w:tc>
        <w:tc>
          <w:tcPr>
            <w:tcW w:w="898"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No</w:t>
            </w:r>
          </w:p>
        </w:tc>
      </w:tr>
      <w:tr>
        <w:trPr/>
        <w:tc>
          <w:tcPr>
            <w:tcW w:w="991" w:type="dxa"/>
            <w:tcBorders>
              <w:bottom w:val="single" w:sz="8" w:space="0" w:color="000000"/>
            </w:tcBorders>
          </w:tcPr>
          <w:p>
            <w:pPr>
              <w:pStyle w:val="Normal"/>
              <w:widowControl w:val="false"/>
              <w:spacing w:lineRule="auto" w:line="240" w:before="0" w:after="0"/>
              <w:rPr>
                <w:sz w:val="18"/>
                <w:szCs w:val="18"/>
              </w:rPr>
            </w:pPr>
            <w:r>
              <w:rPr>
                <w:sz w:val="18"/>
                <w:szCs w:val="18"/>
              </w:rPr>
            </w:r>
          </w:p>
        </w:tc>
        <w:tc>
          <w:tcPr>
            <w:tcW w:w="708" w:type="dxa"/>
            <w:tcBorders>
              <w:bottom w:val="single" w:sz="8" w:space="0" w:color="000000"/>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5</w:t>
            </w:r>
          </w:p>
        </w:tc>
        <w:tc>
          <w:tcPr>
            <w:tcW w:w="1702" w:type="dxa"/>
            <w:tcBorders>
              <w:bottom w:val="single" w:sz="8" w:space="0" w:color="000000"/>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Unnamed (179981)</w:t>
            </w:r>
          </w:p>
        </w:tc>
        <w:tc>
          <w:tcPr>
            <w:tcW w:w="1561" w:type="dxa"/>
            <w:tcBorders>
              <w:bottom w:val="single" w:sz="8" w:space="0" w:color="000000"/>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Kerala</w:t>
            </w:r>
          </w:p>
        </w:tc>
        <w:tc>
          <w:tcPr>
            <w:tcW w:w="849" w:type="dxa"/>
            <w:tcBorders>
              <w:bottom w:val="single" w:sz="8" w:space="0" w:color="000000"/>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2.6</w:t>
            </w:r>
          </w:p>
        </w:tc>
        <w:tc>
          <w:tcPr>
            <w:tcW w:w="1418" w:type="dxa"/>
            <w:tcBorders>
              <w:bottom w:val="single" w:sz="8" w:space="0" w:color="000000"/>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0.99303</w:t>
            </w:r>
          </w:p>
        </w:tc>
        <w:tc>
          <w:tcPr>
            <w:tcW w:w="1072" w:type="dxa"/>
            <w:tcBorders>
              <w:bottom w:val="single" w:sz="8" w:space="0" w:color="000000"/>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2021–2025</w:t>
            </w:r>
          </w:p>
        </w:tc>
        <w:tc>
          <w:tcPr>
            <w:tcW w:w="900" w:type="dxa"/>
            <w:tcBorders>
              <w:bottom w:val="single" w:sz="8" w:space="0" w:color="000000"/>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52</w:t>
            </w:r>
          </w:p>
        </w:tc>
        <w:tc>
          <w:tcPr>
            <w:tcW w:w="898" w:type="dxa"/>
            <w:tcBorders>
              <w:bottom w:val="single" w:sz="8" w:space="0" w:color="000000"/>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No</w:t>
            </w:r>
          </w:p>
        </w:tc>
      </w:tr>
    </w:tbl>
    <w:p>
      <w:pPr>
        <w:pStyle w:val="Normal"/>
        <w:spacing w:lineRule="auto" w:line="276" w:before="60" w:after="120"/>
        <w:jc w:val="both"/>
        <w:rPr/>
      </w:pPr>
      <w:r>
        <w:rPr>
          <w:rFonts w:cs="Times New Roman" w:ascii="Times New Roman" w:hAnsi="Times New Roman"/>
          <w:i/>
          <w:iCs/>
          <w:sz w:val="18"/>
          <w:szCs w:val="18"/>
        </w:rPr>
        <w:t xml:space="preserve">Note. </w:t>
      </w:r>
      <w:r>
        <w:rPr>
          <w:rFonts w:cs="Times New Roman" w:ascii="Times New Roman" w:hAnsi="Times New Roman"/>
          <w:sz w:val="18"/>
          <w:szCs w:val="18"/>
        </w:rPr>
        <w:t>Unnamed lakes are identified by their HydroLAKES lake_id. Distance is between polygon centroids. A candidate whose matched window ends in 2025 has no later observations and cannot be a forecast analog.</w:t>
      </w:r>
    </w:p>
    <w:p>
      <w:pPr>
        <w:pStyle w:val="Normal"/>
        <w:spacing w:lineRule="auto" w:line="360" w:before="240" w:after="60"/>
        <w:rPr/>
      </w:pPr>
      <w:r>
        <w:rPr>
          <w:rFonts w:cs="Times New Roman" w:ascii="Times New Roman" w:hAnsi="Times New Roman"/>
          <w:b/>
          <w:bCs/>
          <w:sz w:val="20"/>
          <w:szCs w:val="20"/>
        </w:rPr>
        <w:t>Table 6</w:t>
      </w:r>
    </w:p>
    <w:p>
      <w:pPr>
        <w:pStyle w:val="Normal"/>
        <w:spacing w:lineRule="auto" w:line="360" w:before="0" w:after="60"/>
        <w:rPr/>
      </w:pPr>
      <w:r>
        <w:rPr>
          <w:rFonts w:cs="Times New Roman" w:ascii="Times New Roman" w:hAnsi="Times New Roman"/>
          <w:i/>
          <w:iCs/>
          <w:sz w:val="20"/>
          <w:szCs w:val="20"/>
        </w:rPr>
        <w:t>Directional forecasts for 2026–2028 (anchor year 2025)</w:t>
      </w:r>
    </w:p>
    <w:tbl>
      <w:tblPr>
        <w:tblW w:w="940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98"/>
        <w:gridCol w:w="1500"/>
        <w:gridCol w:w="1900"/>
        <w:gridCol w:w="1902"/>
        <w:gridCol w:w="1900"/>
      </w:tblGrid>
      <w:tr>
        <w:trPr>
          <w:tblHeader w:val="true"/>
        </w:trPr>
        <w:tc>
          <w:tcPr>
            <w:tcW w:w="2198" w:type="dxa"/>
            <w:tcBorders>
              <w:top w:val="single" w:sz="8" w:space="0" w:color="000000"/>
              <w:bottom w:val="single" w:sz="4" w:space="0" w:color="000000"/>
            </w:tcBorders>
          </w:tcPr>
          <w:p>
            <w:pPr>
              <w:pStyle w:val="Normal"/>
              <w:widowControl w:val="false"/>
              <w:spacing w:lineRule="auto" w:line="240" w:before="0" w:after="0"/>
              <w:rPr>
                <w:sz w:val="18"/>
                <w:szCs w:val="18"/>
              </w:rPr>
            </w:pPr>
            <w:r>
              <w:rPr>
                <w:rFonts w:cs="Times New Roman" w:ascii="Times New Roman" w:hAnsi="Times New Roman"/>
                <w:b/>
                <w:bCs/>
                <w:sz w:val="18"/>
                <w:szCs w:val="18"/>
              </w:rPr>
              <w:t>Site</w:t>
            </w:r>
          </w:p>
        </w:tc>
        <w:tc>
          <w:tcPr>
            <w:tcW w:w="1500" w:type="dxa"/>
            <w:tcBorders>
              <w:top w:val="single" w:sz="8" w:space="0" w:color="000000"/>
              <w:bottom w:val="single" w:sz="4" w:space="0" w:color="000000"/>
            </w:tcBorders>
          </w:tcPr>
          <w:p>
            <w:pPr>
              <w:pStyle w:val="Normal"/>
              <w:widowControl w:val="false"/>
              <w:spacing w:lineRule="auto" w:line="240" w:before="0" w:after="0"/>
              <w:jc w:val="center"/>
              <w:rPr>
                <w:sz w:val="18"/>
                <w:szCs w:val="18"/>
              </w:rPr>
            </w:pPr>
            <w:r>
              <w:rPr>
                <w:rFonts w:cs="Times New Roman" w:ascii="Times New Roman" w:hAnsi="Times New Roman"/>
                <w:b/>
                <w:bCs/>
                <w:sz w:val="18"/>
                <w:szCs w:val="18"/>
              </w:rPr>
              <w:t>Index</w:t>
            </w:r>
          </w:p>
        </w:tc>
        <w:tc>
          <w:tcPr>
            <w:tcW w:w="1900" w:type="dxa"/>
            <w:tcBorders>
              <w:top w:val="single" w:sz="8" w:space="0" w:color="000000"/>
              <w:bottom w:val="single" w:sz="4" w:space="0" w:color="000000"/>
            </w:tcBorders>
          </w:tcPr>
          <w:p>
            <w:pPr>
              <w:pStyle w:val="Normal"/>
              <w:widowControl w:val="false"/>
              <w:spacing w:lineRule="auto" w:line="240" w:before="0" w:after="0"/>
              <w:jc w:val="center"/>
              <w:rPr>
                <w:sz w:val="18"/>
                <w:szCs w:val="18"/>
              </w:rPr>
            </w:pPr>
            <w:r>
              <w:rPr>
                <w:rFonts w:cs="Times New Roman" w:ascii="Times New Roman" w:hAnsi="Times New Roman"/>
                <w:b/>
                <w:bCs/>
                <w:sz w:val="18"/>
                <w:szCs w:val="18"/>
              </w:rPr>
              <w:t>2026</w:t>
            </w:r>
          </w:p>
        </w:tc>
        <w:tc>
          <w:tcPr>
            <w:tcW w:w="1902" w:type="dxa"/>
            <w:tcBorders>
              <w:top w:val="single" w:sz="8" w:space="0" w:color="000000"/>
              <w:bottom w:val="single" w:sz="4" w:space="0" w:color="000000"/>
            </w:tcBorders>
          </w:tcPr>
          <w:p>
            <w:pPr>
              <w:pStyle w:val="Normal"/>
              <w:widowControl w:val="false"/>
              <w:spacing w:lineRule="auto" w:line="240" w:before="0" w:after="0"/>
              <w:jc w:val="center"/>
              <w:rPr>
                <w:sz w:val="18"/>
                <w:szCs w:val="18"/>
              </w:rPr>
            </w:pPr>
            <w:r>
              <w:rPr>
                <w:rFonts w:cs="Times New Roman" w:ascii="Times New Roman" w:hAnsi="Times New Roman"/>
                <w:b/>
                <w:bCs/>
                <w:sz w:val="18"/>
                <w:szCs w:val="18"/>
              </w:rPr>
              <w:t>2027</w:t>
            </w:r>
          </w:p>
        </w:tc>
        <w:tc>
          <w:tcPr>
            <w:tcW w:w="1900" w:type="dxa"/>
            <w:tcBorders>
              <w:top w:val="single" w:sz="8" w:space="0" w:color="000000"/>
              <w:bottom w:val="single" w:sz="4" w:space="0" w:color="000000"/>
            </w:tcBorders>
          </w:tcPr>
          <w:p>
            <w:pPr>
              <w:pStyle w:val="Normal"/>
              <w:widowControl w:val="false"/>
              <w:spacing w:lineRule="auto" w:line="240" w:before="0" w:after="0"/>
              <w:jc w:val="center"/>
              <w:rPr>
                <w:sz w:val="18"/>
                <w:szCs w:val="18"/>
              </w:rPr>
            </w:pPr>
            <w:r>
              <w:rPr>
                <w:rFonts w:cs="Times New Roman" w:ascii="Times New Roman" w:hAnsi="Times New Roman"/>
                <w:b/>
                <w:bCs/>
                <w:sz w:val="18"/>
                <w:szCs w:val="18"/>
              </w:rPr>
              <w:t>2028</w:t>
            </w:r>
          </w:p>
        </w:tc>
      </w:tr>
      <w:tr>
        <w:trPr/>
        <w:tc>
          <w:tcPr>
            <w:tcW w:w="2198" w:type="dxa"/>
            <w:tcBorders/>
          </w:tcPr>
          <w:p>
            <w:pPr>
              <w:pStyle w:val="Normal"/>
              <w:widowControl w:val="false"/>
              <w:spacing w:lineRule="auto" w:line="240" w:before="0" w:after="0"/>
              <w:rPr>
                <w:sz w:val="18"/>
                <w:szCs w:val="18"/>
              </w:rPr>
            </w:pPr>
            <w:r>
              <w:rPr>
                <w:rFonts w:cs="Times New Roman" w:ascii="Times New Roman" w:hAnsi="Times New Roman"/>
                <w:sz w:val="18"/>
                <w:szCs w:val="18"/>
              </w:rPr>
              <w:t>Chilika Lagoon</w:t>
            </w:r>
          </w:p>
        </w:tc>
        <w:tc>
          <w:tcPr>
            <w:tcW w:w="15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NDCI</w:t>
            </w:r>
          </w:p>
        </w:tc>
        <w:tc>
          <w:tcPr>
            <w:tcW w:w="19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 xml:space="preserve">→ </w:t>
            </w:r>
            <w:r>
              <w:rPr>
                <w:rFonts w:cs="Times New Roman" w:ascii="Times New Roman" w:hAnsi="Times New Roman"/>
                <w:sz w:val="18"/>
                <w:szCs w:val="18"/>
              </w:rPr>
              <w:t>+0.0034 (n=5)</w:t>
            </w:r>
          </w:p>
        </w:tc>
        <w:tc>
          <w:tcPr>
            <w:tcW w:w="190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 −</w:t>
            </w:r>
            <w:r>
              <w:rPr>
                <w:rFonts w:cs="Times New Roman" w:ascii="Times New Roman" w:hAnsi="Times New Roman"/>
                <w:sz w:val="18"/>
                <w:szCs w:val="18"/>
              </w:rPr>
              <w:t>0.0040 (n=2)</w:t>
            </w:r>
          </w:p>
        </w:tc>
        <w:tc>
          <w:tcPr>
            <w:tcW w:w="19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 −</w:t>
            </w:r>
            <w:r>
              <w:rPr>
                <w:rFonts w:cs="Times New Roman" w:ascii="Times New Roman" w:hAnsi="Times New Roman"/>
                <w:sz w:val="18"/>
                <w:szCs w:val="18"/>
              </w:rPr>
              <w:t>0.0036 (n=2)</w:t>
            </w:r>
          </w:p>
        </w:tc>
      </w:tr>
      <w:tr>
        <w:trPr/>
        <w:tc>
          <w:tcPr>
            <w:tcW w:w="2198" w:type="dxa"/>
            <w:tcBorders/>
          </w:tcPr>
          <w:p>
            <w:pPr>
              <w:pStyle w:val="Normal"/>
              <w:widowControl w:val="false"/>
              <w:spacing w:lineRule="auto" w:line="240" w:before="0" w:after="0"/>
              <w:rPr>
                <w:sz w:val="18"/>
                <w:szCs w:val="18"/>
              </w:rPr>
            </w:pPr>
            <w:r>
              <w:rPr>
                <w:sz w:val="18"/>
                <w:szCs w:val="18"/>
              </w:rPr>
            </w:r>
          </w:p>
        </w:tc>
        <w:tc>
          <w:tcPr>
            <w:tcW w:w="15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NDVI</w:t>
            </w:r>
          </w:p>
        </w:tc>
        <w:tc>
          <w:tcPr>
            <w:tcW w:w="19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 xml:space="preserve">↑ </w:t>
            </w:r>
            <w:r>
              <w:rPr>
                <w:rFonts w:cs="Times New Roman" w:ascii="Times New Roman" w:hAnsi="Times New Roman"/>
                <w:sz w:val="18"/>
                <w:szCs w:val="18"/>
              </w:rPr>
              <w:t>+0.0419 (n=5)</w:t>
            </w:r>
          </w:p>
        </w:tc>
        <w:tc>
          <w:tcPr>
            <w:tcW w:w="190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 xml:space="preserve">→ </w:t>
            </w:r>
            <w:r>
              <w:rPr>
                <w:rFonts w:cs="Times New Roman" w:ascii="Times New Roman" w:hAnsi="Times New Roman"/>
                <w:sz w:val="18"/>
                <w:szCs w:val="18"/>
              </w:rPr>
              <w:t>+0.0043 (n=2)</w:t>
            </w:r>
          </w:p>
        </w:tc>
        <w:tc>
          <w:tcPr>
            <w:tcW w:w="19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 xml:space="preserve">→ </w:t>
            </w:r>
            <w:r>
              <w:rPr>
                <w:rFonts w:cs="Times New Roman" w:ascii="Times New Roman" w:hAnsi="Times New Roman"/>
                <w:sz w:val="18"/>
                <w:szCs w:val="18"/>
              </w:rPr>
              <w:t>+0.0264 (n=2)</w:t>
            </w:r>
          </w:p>
        </w:tc>
      </w:tr>
      <w:tr>
        <w:trPr/>
        <w:tc>
          <w:tcPr>
            <w:tcW w:w="2198" w:type="dxa"/>
            <w:tcBorders/>
          </w:tcPr>
          <w:p>
            <w:pPr>
              <w:pStyle w:val="Normal"/>
              <w:widowControl w:val="false"/>
              <w:spacing w:lineRule="auto" w:line="240" w:before="0" w:after="0"/>
              <w:rPr>
                <w:sz w:val="18"/>
                <w:szCs w:val="18"/>
              </w:rPr>
            </w:pPr>
            <w:r>
              <w:rPr>
                <w:sz w:val="18"/>
                <w:szCs w:val="18"/>
              </w:rPr>
            </w:r>
          </w:p>
        </w:tc>
        <w:tc>
          <w:tcPr>
            <w:tcW w:w="15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NDWI</w:t>
            </w:r>
          </w:p>
        </w:tc>
        <w:tc>
          <w:tcPr>
            <w:tcW w:w="19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 −</w:t>
            </w:r>
            <w:r>
              <w:rPr>
                <w:rFonts w:cs="Times New Roman" w:ascii="Times New Roman" w:hAnsi="Times New Roman"/>
                <w:sz w:val="18"/>
                <w:szCs w:val="18"/>
              </w:rPr>
              <w:t>0.0331 (n=5)</w:t>
            </w:r>
          </w:p>
        </w:tc>
        <w:tc>
          <w:tcPr>
            <w:tcW w:w="190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 −</w:t>
            </w:r>
            <w:r>
              <w:rPr>
                <w:rFonts w:cs="Times New Roman" w:ascii="Times New Roman" w:hAnsi="Times New Roman"/>
                <w:sz w:val="18"/>
                <w:szCs w:val="18"/>
              </w:rPr>
              <w:t>0.0010 (n=2)</w:t>
            </w:r>
          </w:p>
        </w:tc>
        <w:tc>
          <w:tcPr>
            <w:tcW w:w="19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 −</w:t>
            </w:r>
            <w:r>
              <w:rPr>
                <w:rFonts w:cs="Times New Roman" w:ascii="Times New Roman" w:hAnsi="Times New Roman"/>
                <w:sz w:val="18"/>
                <w:szCs w:val="18"/>
              </w:rPr>
              <w:t>0.0251 (n=2)</w:t>
            </w:r>
          </w:p>
        </w:tc>
      </w:tr>
      <w:tr>
        <w:trPr/>
        <w:tc>
          <w:tcPr>
            <w:tcW w:w="2198" w:type="dxa"/>
            <w:tcBorders/>
          </w:tcPr>
          <w:p>
            <w:pPr>
              <w:pStyle w:val="Normal"/>
              <w:widowControl w:val="false"/>
              <w:spacing w:lineRule="auto" w:line="240" w:before="0" w:after="0"/>
              <w:rPr>
                <w:sz w:val="18"/>
                <w:szCs w:val="18"/>
              </w:rPr>
            </w:pPr>
            <w:r>
              <w:rPr>
                <w:sz w:val="18"/>
                <w:szCs w:val="18"/>
              </w:rPr>
            </w:r>
          </w:p>
        </w:tc>
        <w:tc>
          <w:tcPr>
            <w:tcW w:w="15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NDTI</w:t>
            </w:r>
          </w:p>
        </w:tc>
        <w:tc>
          <w:tcPr>
            <w:tcW w:w="19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 −</w:t>
            </w:r>
            <w:r>
              <w:rPr>
                <w:rFonts w:cs="Times New Roman" w:ascii="Times New Roman" w:hAnsi="Times New Roman"/>
                <w:sz w:val="18"/>
                <w:szCs w:val="18"/>
              </w:rPr>
              <w:t>0.0076 (n=5)</w:t>
            </w:r>
          </w:p>
        </w:tc>
        <w:tc>
          <w:tcPr>
            <w:tcW w:w="190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 −</w:t>
            </w:r>
            <w:r>
              <w:rPr>
                <w:rFonts w:cs="Times New Roman" w:ascii="Times New Roman" w:hAnsi="Times New Roman"/>
                <w:sz w:val="18"/>
                <w:szCs w:val="18"/>
              </w:rPr>
              <w:t>0.0029 (n=2)</w:t>
            </w:r>
          </w:p>
        </w:tc>
        <w:tc>
          <w:tcPr>
            <w:tcW w:w="19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 xml:space="preserve">→ </w:t>
            </w:r>
            <w:r>
              <w:rPr>
                <w:rFonts w:cs="Times New Roman" w:ascii="Times New Roman" w:hAnsi="Times New Roman"/>
                <w:sz w:val="18"/>
                <w:szCs w:val="18"/>
              </w:rPr>
              <w:t>0.0004 (n=2)</w:t>
            </w:r>
          </w:p>
        </w:tc>
      </w:tr>
      <w:tr>
        <w:trPr/>
        <w:tc>
          <w:tcPr>
            <w:tcW w:w="2198" w:type="dxa"/>
            <w:tcBorders/>
          </w:tcPr>
          <w:p>
            <w:pPr>
              <w:pStyle w:val="Normal"/>
              <w:widowControl w:val="false"/>
              <w:spacing w:lineRule="auto" w:line="240" w:before="0" w:after="0"/>
              <w:rPr>
                <w:sz w:val="18"/>
                <w:szCs w:val="18"/>
              </w:rPr>
            </w:pPr>
            <w:r>
              <w:rPr>
                <w:rFonts w:cs="Times New Roman" w:ascii="Times New Roman" w:hAnsi="Times New Roman"/>
                <w:sz w:val="18"/>
                <w:szCs w:val="18"/>
              </w:rPr>
              <w:t>Maharana Pratap Sagar (Beas)</w:t>
            </w:r>
          </w:p>
        </w:tc>
        <w:tc>
          <w:tcPr>
            <w:tcW w:w="15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NDCI</w:t>
            </w:r>
          </w:p>
        </w:tc>
        <w:tc>
          <w:tcPr>
            <w:tcW w:w="19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 xml:space="preserve">→ </w:t>
            </w:r>
            <w:r>
              <w:rPr>
                <w:rFonts w:cs="Times New Roman" w:ascii="Times New Roman" w:hAnsi="Times New Roman"/>
                <w:sz w:val="18"/>
                <w:szCs w:val="18"/>
              </w:rPr>
              <w:t>+0.0054 (n=5)</w:t>
            </w:r>
          </w:p>
        </w:tc>
        <w:tc>
          <w:tcPr>
            <w:tcW w:w="190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 xml:space="preserve">↑ </w:t>
            </w:r>
            <w:r>
              <w:rPr>
                <w:rFonts w:cs="Times New Roman" w:ascii="Times New Roman" w:hAnsi="Times New Roman"/>
                <w:sz w:val="18"/>
                <w:szCs w:val="18"/>
              </w:rPr>
              <w:t>+0.0157 (n=4)</w:t>
            </w:r>
          </w:p>
        </w:tc>
        <w:tc>
          <w:tcPr>
            <w:tcW w:w="19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 −</w:t>
            </w:r>
            <w:r>
              <w:rPr>
                <w:rFonts w:cs="Times New Roman" w:ascii="Times New Roman" w:hAnsi="Times New Roman"/>
                <w:sz w:val="18"/>
                <w:szCs w:val="18"/>
              </w:rPr>
              <w:t>0.0090 (n=4)</w:t>
            </w:r>
          </w:p>
        </w:tc>
      </w:tr>
      <w:tr>
        <w:trPr/>
        <w:tc>
          <w:tcPr>
            <w:tcW w:w="2198" w:type="dxa"/>
            <w:tcBorders/>
          </w:tcPr>
          <w:p>
            <w:pPr>
              <w:pStyle w:val="Normal"/>
              <w:widowControl w:val="false"/>
              <w:spacing w:lineRule="auto" w:line="240" w:before="0" w:after="0"/>
              <w:rPr>
                <w:sz w:val="18"/>
                <w:szCs w:val="18"/>
              </w:rPr>
            </w:pPr>
            <w:r>
              <w:rPr>
                <w:sz w:val="18"/>
                <w:szCs w:val="18"/>
              </w:rPr>
            </w:r>
          </w:p>
        </w:tc>
        <w:tc>
          <w:tcPr>
            <w:tcW w:w="15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NDVI</w:t>
            </w:r>
          </w:p>
        </w:tc>
        <w:tc>
          <w:tcPr>
            <w:tcW w:w="19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 xml:space="preserve">→ </w:t>
            </w:r>
            <w:r>
              <w:rPr>
                <w:rFonts w:cs="Times New Roman" w:ascii="Times New Roman" w:hAnsi="Times New Roman"/>
                <w:sz w:val="18"/>
                <w:szCs w:val="18"/>
              </w:rPr>
              <w:t>+0.0047 (n=5)</w:t>
            </w:r>
          </w:p>
        </w:tc>
        <w:tc>
          <w:tcPr>
            <w:tcW w:w="190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 xml:space="preserve">→ </w:t>
            </w:r>
            <w:r>
              <w:rPr>
                <w:rFonts w:cs="Times New Roman" w:ascii="Times New Roman" w:hAnsi="Times New Roman"/>
                <w:sz w:val="18"/>
                <w:szCs w:val="18"/>
              </w:rPr>
              <w:t>+0.0060 (n=4)</w:t>
            </w:r>
          </w:p>
        </w:tc>
        <w:tc>
          <w:tcPr>
            <w:tcW w:w="19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 −</w:t>
            </w:r>
            <w:r>
              <w:rPr>
                <w:rFonts w:cs="Times New Roman" w:ascii="Times New Roman" w:hAnsi="Times New Roman"/>
                <w:sz w:val="18"/>
                <w:szCs w:val="18"/>
              </w:rPr>
              <w:t>0.0166 (n=4)</w:t>
            </w:r>
          </w:p>
        </w:tc>
      </w:tr>
      <w:tr>
        <w:trPr/>
        <w:tc>
          <w:tcPr>
            <w:tcW w:w="2198" w:type="dxa"/>
            <w:tcBorders/>
          </w:tcPr>
          <w:p>
            <w:pPr>
              <w:pStyle w:val="Normal"/>
              <w:widowControl w:val="false"/>
              <w:spacing w:lineRule="auto" w:line="240" w:before="0" w:after="0"/>
              <w:rPr>
                <w:sz w:val="18"/>
                <w:szCs w:val="18"/>
              </w:rPr>
            </w:pPr>
            <w:r>
              <w:rPr>
                <w:sz w:val="18"/>
                <w:szCs w:val="18"/>
              </w:rPr>
            </w:r>
          </w:p>
        </w:tc>
        <w:tc>
          <w:tcPr>
            <w:tcW w:w="15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NDWI</w:t>
            </w:r>
          </w:p>
        </w:tc>
        <w:tc>
          <w:tcPr>
            <w:tcW w:w="19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 xml:space="preserve">→ </w:t>
            </w:r>
            <w:r>
              <w:rPr>
                <w:rFonts w:cs="Times New Roman" w:ascii="Times New Roman" w:hAnsi="Times New Roman"/>
                <w:sz w:val="18"/>
                <w:szCs w:val="18"/>
              </w:rPr>
              <w:t>+0.0006 (n=5)</w:t>
            </w:r>
          </w:p>
        </w:tc>
        <w:tc>
          <w:tcPr>
            <w:tcW w:w="190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 −</w:t>
            </w:r>
            <w:r>
              <w:rPr>
                <w:rFonts w:cs="Times New Roman" w:ascii="Times New Roman" w:hAnsi="Times New Roman"/>
                <w:sz w:val="18"/>
                <w:szCs w:val="18"/>
              </w:rPr>
              <w:t>0.0457 (n=4)</w:t>
            </w:r>
          </w:p>
        </w:tc>
        <w:tc>
          <w:tcPr>
            <w:tcW w:w="19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 xml:space="preserve">→ </w:t>
            </w:r>
            <w:r>
              <w:rPr>
                <w:rFonts w:cs="Times New Roman" w:ascii="Times New Roman" w:hAnsi="Times New Roman"/>
                <w:sz w:val="18"/>
                <w:szCs w:val="18"/>
              </w:rPr>
              <w:t>+0.0126 (n=4)</w:t>
            </w:r>
          </w:p>
        </w:tc>
      </w:tr>
      <w:tr>
        <w:trPr/>
        <w:tc>
          <w:tcPr>
            <w:tcW w:w="2198" w:type="dxa"/>
            <w:tcBorders/>
          </w:tcPr>
          <w:p>
            <w:pPr>
              <w:pStyle w:val="Normal"/>
              <w:widowControl w:val="false"/>
              <w:spacing w:lineRule="auto" w:line="240" w:before="0" w:after="0"/>
              <w:rPr>
                <w:sz w:val="18"/>
                <w:szCs w:val="18"/>
              </w:rPr>
            </w:pPr>
            <w:r>
              <w:rPr>
                <w:sz w:val="18"/>
                <w:szCs w:val="18"/>
              </w:rPr>
            </w:r>
          </w:p>
        </w:tc>
        <w:tc>
          <w:tcPr>
            <w:tcW w:w="15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NDTI</w:t>
            </w:r>
          </w:p>
        </w:tc>
        <w:tc>
          <w:tcPr>
            <w:tcW w:w="19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 −</w:t>
            </w:r>
            <w:r>
              <w:rPr>
                <w:rFonts w:cs="Times New Roman" w:ascii="Times New Roman" w:hAnsi="Times New Roman"/>
                <w:sz w:val="18"/>
                <w:szCs w:val="18"/>
              </w:rPr>
              <w:t>0.0052 (n=5)</w:t>
            </w:r>
          </w:p>
        </w:tc>
        <w:tc>
          <w:tcPr>
            <w:tcW w:w="190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 xml:space="preserve">↑ </w:t>
            </w:r>
            <w:r>
              <w:rPr>
                <w:rFonts w:cs="Times New Roman" w:ascii="Times New Roman" w:hAnsi="Times New Roman"/>
                <w:sz w:val="18"/>
                <w:szCs w:val="18"/>
              </w:rPr>
              <w:t>+0.0408 (n=4)</w:t>
            </w:r>
          </w:p>
        </w:tc>
        <w:tc>
          <w:tcPr>
            <w:tcW w:w="19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 xml:space="preserve">→ </w:t>
            </w:r>
            <w:r>
              <w:rPr>
                <w:rFonts w:cs="Times New Roman" w:ascii="Times New Roman" w:hAnsi="Times New Roman"/>
                <w:sz w:val="18"/>
                <w:szCs w:val="18"/>
              </w:rPr>
              <w:t>+0.0045 (n=4)</w:t>
            </w:r>
          </w:p>
        </w:tc>
      </w:tr>
      <w:tr>
        <w:trPr/>
        <w:tc>
          <w:tcPr>
            <w:tcW w:w="2198" w:type="dxa"/>
            <w:tcBorders/>
          </w:tcPr>
          <w:p>
            <w:pPr>
              <w:pStyle w:val="Normal"/>
              <w:widowControl w:val="false"/>
              <w:spacing w:lineRule="auto" w:line="240" w:before="0" w:after="0"/>
              <w:rPr>
                <w:sz w:val="18"/>
                <w:szCs w:val="18"/>
              </w:rPr>
            </w:pPr>
            <w:r>
              <w:rPr>
                <w:rFonts w:cs="Times New Roman" w:ascii="Times New Roman" w:hAnsi="Times New Roman"/>
                <w:sz w:val="18"/>
                <w:szCs w:val="18"/>
              </w:rPr>
              <w:t>Tawa Reservoir</w:t>
            </w:r>
          </w:p>
        </w:tc>
        <w:tc>
          <w:tcPr>
            <w:tcW w:w="15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NDCI</w:t>
            </w:r>
          </w:p>
        </w:tc>
        <w:tc>
          <w:tcPr>
            <w:tcW w:w="19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 xml:space="preserve">→ </w:t>
            </w:r>
            <w:r>
              <w:rPr>
                <w:rFonts w:cs="Times New Roman" w:ascii="Times New Roman" w:hAnsi="Times New Roman"/>
                <w:sz w:val="18"/>
                <w:szCs w:val="18"/>
              </w:rPr>
              <w:t>+0.0045 (n=5)</w:t>
            </w:r>
          </w:p>
        </w:tc>
        <w:tc>
          <w:tcPr>
            <w:tcW w:w="190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 xml:space="preserve">→ </w:t>
            </w:r>
            <w:r>
              <w:rPr>
                <w:rFonts w:cs="Times New Roman" w:ascii="Times New Roman" w:hAnsi="Times New Roman"/>
                <w:sz w:val="18"/>
                <w:szCs w:val="18"/>
              </w:rPr>
              <w:t>+0.0021 (n=5)</w:t>
            </w:r>
          </w:p>
        </w:tc>
        <w:tc>
          <w:tcPr>
            <w:tcW w:w="19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 xml:space="preserve">↑ </w:t>
            </w:r>
            <w:r>
              <w:rPr>
                <w:rFonts w:cs="Times New Roman" w:ascii="Times New Roman" w:hAnsi="Times New Roman"/>
                <w:sz w:val="18"/>
                <w:szCs w:val="18"/>
              </w:rPr>
              <w:t>+0.0250 (n=3)</w:t>
            </w:r>
          </w:p>
        </w:tc>
      </w:tr>
      <w:tr>
        <w:trPr/>
        <w:tc>
          <w:tcPr>
            <w:tcW w:w="2198" w:type="dxa"/>
            <w:tcBorders/>
          </w:tcPr>
          <w:p>
            <w:pPr>
              <w:pStyle w:val="Normal"/>
              <w:widowControl w:val="false"/>
              <w:spacing w:lineRule="auto" w:line="240" w:before="0" w:after="0"/>
              <w:rPr>
                <w:sz w:val="18"/>
                <w:szCs w:val="18"/>
              </w:rPr>
            </w:pPr>
            <w:r>
              <w:rPr>
                <w:sz w:val="18"/>
                <w:szCs w:val="18"/>
              </w:rPr>
            </w:r>
          </w:p>
        </w:tc>
        <w:tc>
          <w:tcPr>
            <w:tcW w:w="15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NDVI</w:t>
            </w:r>
          </w:p>
        </w:tc>
        <w:tc>
          <w:tcPr>
            <w:tcW w:w="19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 xml:space="preserve">→ </w:t>
            </w:r>
            <w:r>
              <w:rPr>
                <w:rFonts w:cs="Times New Roman" w:ascii="Times New Roman" w:hAnsi="Times New Roman"/>
                <w:sz w:val="18"/>
                <w:szCs w:val="18"/>
              </w:rPr>
              <w:t>+0.0128 (n=5)</w:t>
            </w:r>
          </w:p>
        </w:tc>
        <w:tc>
          <w:tcPr>
            <w:tcW w:w="190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 xml:space="preserve">→ </w:t>
            </w:r>
            <w:r>
              <w:rPr>
                <w:rFonts w:cs="Times New Roman" w:ascii="Times New Roman" w:hAnsi="Times New Roman"/>
                <w:sz w:val="18"/>
                <w:szCs w:val="18"/>
              </w:rPr>
              <w:t>+0.0289 (n=5)</w:t>
            </w:r>
          </w:p>
        </w:tc>
        <w:tc>
          <w:tcPr>
            <w:tcW w:w="19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 xml:space="preserve">↑ </w:t>
            </w:r>
            <w:r>
              <w:rPr>
                <w:rFonts w:cs="Times New Roman" w:ascii="Times New Roman" w:hAnsi="Times New Roman"/>
                <w:sz w:val="18"/>
                <w:szCs w:val="18"/>
              </w:rPr>
              <w:t>+0.0965 (n=3)</w:t>
            </w:r>
          </w:p>
        </w:tc>
      </w:tr>
      <w:tr>
        <w:trPr/>
        <w:tc>
          <w:tcPr>
            <w:tcW w:w="2198" w:type="dxa"/>
            <w:tcBorders/>
          </w:tcPr>
          <w:p>
            <w:pPr>
              <w:pStyle w:val="Normal"/>
              <w:widowControl w:val="false"/>
              <w:spacing w:lineRule="auto" w:line="240" w:before="0" w:after="0"/>
              <w:rPr>
                <w:sz w:val="18"/>
                <w:szCs w:val="18"/>
              </w:rPr>
            </w:pPr>
            <w:r>
              <w:rPr>
                <w:sz w:val="18"/>
                <w:szCs w:val="18"/>
              </w:rPr>
            </w:r>
          </w:p>
        </w:tc>
        <w:tc>
          <w:tcPr>
            <w:tcW w:w="15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NDWI</w:t>
            </w:r>
          </w:p>
        </w:tc>
        <w:tc>
          <w:tcPr>
            <w:tcW w:w="19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 −</w:t>
            </w:r>
            <w:r>
              <w:rPr>
                <w:rFonts w:cs="Times New Roman" w:ascii="Times New Roman" w:hAnsi="Times New Roman"/>
                <w:sz w:val="18"/>
                <w:szCs w:val="18"/>
              </w:rPr>
              <w:t>0.0101 (n=5)</w:t>
            </w:r>
          </w:p>
        </w:tc>
        <w:tc>
          <w:tcPr>
            <w:tcW w:w="190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 −</w:t>
            </w:r>
            <w:r>
              <w:rPr>
                <w:rFonts w:cs="Times New Roman" w:ascii="Times New Roman" w:hAnsi="Times New Roman"/>
                <w:sz w:val="18"/>
                <w:szCs w:val="18"/>
              </w:rPr>
              <w:t>0.0238 (n=5)</w:t>
            </w:r>
          </w:p>
        </w:tc>
        <w:tc>
          <w:tcPr>
            <w:tcW w:w="19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 −</w:t>
            </w:r>
            <w:r>
              <w:rPr>
                <w:rFonts w:cs="Times New Roman" w:ascii="Times New Roman" w:hAnsi="Times New Roman"/>
                <w:sz w:val="18"/>
                <w:szCs w:val="18"/>
              </w:rPr>
              <w:t>0.1258 (n=3)</w:t>
            </w:r>
          </w:p>
        </w:tc>
      </w:tr>
      <w:tr>
        <w:trPr/>
        <w:tc>
          <w:tcPr>
            <w:tcW w:w="2198" w:type="dxa"/>
            <w:tcBorders/>
          </w:tcPr>
          <w:p>
            <w:pPr>
              <w:pStyle w:val="Normal"/>
              <w:widowControl w:val="false"/>
              <w:spacing w:lineRule="auto" w:line="240" w:before="0" w:after="0"/>
              <w:rPr>
                <w:sz w:val="18"/>
                <w:szCs w:val="18"/>
              </w:rPr>
            </w:pPr>
            <w:r>
              <w:rPr>
                <w:sz w:val="18"/>
                <w:szCs w:val="18"/>
              </w:rPr>
            </w:r>
          </w:p>
        </w:tc>
        <w:tc>
          <w:tcPr>
            <w:tcW w:w="15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NDTI</w:t>
            </w:r>
          </w:p>
        </w:tc>
        <w:tc>
          <w:tcPr>
            <w:tcW w:w="19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 −</w:t>
            </w:r>
            <w:r>
              <w:rPr>
                <w:rFonts w:cs="Times New Roman" w:ascii="Times New Roman" w:hAnsi="Times New Roman"/>
                <w:sz w:val="18"/>
                <w:szCs w:val="18"/>
              </w:rPr>
              <w:t>0.0017 (n=5)</w:t>
            </w:r>
          </w:p>
        </w:tc>
        <w:tc>
          <w:tcPr>
            <w:tcW w:w="190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 −</w:t>
            </w:r>
            <w:r>
              <w:rPr>
                <w:rFonts w:cs="Times New Roman" w:ascii="Times New Roman" w:hAnsi="Times New Roman"/>
                <w:sz w:val="18"/>
                <w:szCs w:val="18"/>
              </w:rPr>
              <w:t>0.0038 (n=5)</w:t>
            </w:r>
          </w:p>
        </w:tc>
        <w:tc>
          <w:tcPr>
            <w:tcW w:w="19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 xml:space="preserve">↑ </w:t>
            </w:r>
            <w:r>
              <w:rPr>
                <w:rFonts w:cs="Times New Roman" w:ascii="Times New Roman" w:hAnsi="Times New Roman"/>
                <w:sz w:val="18"/>
                <w:szCs w:val="18"/>
              </w:rPr>
              <w:t>+0.0311 (n=3)</w:t>
            </w:r>
          </w:p>
        </w:tc>
      </w:tr>
      <w:tr>
        <w:trPr/>
        <w:tc>
          <w:tcPr>
            <w:tcW w:w="2198" w:type="dxa"/>
            <w:tcBorders/>
          </w:tcPr>
          <w:p>
            <w:pPr>
              <w:pStyle w:val="Normal"/>
              <w:widowControl w:val="false"/>
              <w:spacing w:lineRule="auto" w:line="240" w:before="0" w:after="0"/>
              <w:rPr>
                <w:sz w:val="18"/>
                <w:szCs w:val="18"/>
              </w:rPr>
            </w:pPr>
            <w:r>
              <w:rPr>
                <w:rFonts w:cs="Times New Roman" w:ascii="Times New Roman" w:hAnsi="Times New Roman"/>
                <w:sz w:val="18"/>
                <w:szCs w:val="18"/>
              </w:rPr>
              <w:t>Tso Morari</w:t>
            </w:r>
          </w:p>
        </w:tc>
        <w:tc>
          <w:tcPr>
            <w:tcW w:w="15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NDCI</w:t>
            </w:r>
          </w:p>
        </w:tc>
        <w:tc>
          <w:tcPr>
            <w:tcW w:w="19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 xml:space="preserve">↑ </w:t>
            </w:r>
            <w:r>
              <w:rPr>
                <w:rFonts w:cs="Times New Roman" w:ascii="Times New Roman" w:hAnsi="Times New Roman"/>
                <w:sz w:val="18"/>
                <w:szCs w:val="18"/>
              </w:rPr>
              <w:t>+0.0171 (n=5)</w:t>
            </w:r>
          </w:p>
        </w:tc>
        <w:tc>
          <w:tcPr>
            <w:tcW w:w="190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 xml:space="preserve">→ </w:t>
            </w:r>
            <w:r>
              <w:rPr>
                <w:rFonts w:cs="Times New Roman" w:ascii="Times New Roman" w:hAnsi="Times New Roman"/>
                <w:sz w:val="18"/>
                <w:szCs w:val="18"/>
              </w:rPr>
              <w:t>+0.0105 (n=3)</w:t>
            </w:r>
          </w:p>
        </w:tc>
        <w:tc>
          <w:tcPr>
            <w:tcW w:w="19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 xml:space="preserve">→ </w:t>
            </w:r>
            <w:r>
              <w:rPr>
                <w:rFonts w:cs="Times New Roman" w:ascii="Times New Roman" w:hAnsi="Times New Roman"/>
                <w:sz w:val="18"/>
                <w:szCs w:val="18"/>
              </w:rPr>
              <w:t>0.0008 (n=2)</w:t>
            </w:r>
          </w:p>
        </w:tc>
      </w:tr>
      <w:tr>
        <w:trPr/>
        <w:tc>
          <w:tcPr>
            <w:tcW w:w="2198" w:type="dxa"/>
            <w:tcBorders/>
          </w:tcPr>
          <w:p>
            <w:pPr>
              <w:pStyle w:val="Normal"/>
              <w:widowControl w:val="false"/>
              <w:spacing w:lineRule="auto" w:line="240" w:before="0" w:after="0"/>
              <w:rPr>
                <w:sz w:val="18"/>
                <w:szCs w:val="18"/>
              </w:rPr>
            </w:pPr>
            <w:r>
              <w:rPr>
                <w:sz w:val="18"/>
                <w:szCs w:val="18"/>
              </w:rPr>
            </w:r>
          </w:p>
        </w:tc>
        <w:tc>
          <w:tcPr>
            <w:tcW w:w="15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NDVI</w:t>
            </w:r>
          </w:p>
        </w:tc>
        <w:tc>
          <w:tcPr>
            <w:tcW w:w="19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 xml:space="preserve">→ </w:t>
            </w:r>
            <w:r>
              <w:rPr>
                <w:rFonts w:cs="Times New Roman" w:ascii="Times New Roman" w:hAnsi="Times New Roman"/>
                <w:sz w:val="18"/>
                <w:szCs w:val="18"/>
              </w:rPr>
              <w:t>+0.0072 (n=5)</w:t>
            </w:r>
          </w:p>
        </w:tc>
        <w:tc>
          <w:tcPr>
            <w:tcW w:w="190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 xml:space="preserve">→ </w:t>
            </w:r>
            <w:r>
              <w:rPr>
                <w:rFonts w:cs="Times New Roman" w:ascii="Times New Roman" w:hAnsi="Times New Roman"/>
                <w:sz w:val="18"/>
                <w:szCs w:val="18"/>
              </w:rPr>
              <w:t>+0.0037 (n=3)</w:t>
            </w:r>
          </w:p>
        </w:tc>
        <w:tc>
          <w:tcPr>
            <w:tcW w:w="19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 xml:space="preserve">→ </w:t>
            </w:r>
            <w:r>
              <w:rPr>
                <w:rFonts w:cs="Times New Roman" w:ascii="Times New Roman" w:hAnsi="Times New Roman"/>
                <w:sz w:val="18"/>
                <w:szCs w:val="18"/>
              </w:rPr>
              <w:t>+0.0161 (n=2)</w:t>
            </w:r>
          </w:p>
        </w:tc>
      </w:tr>
      <w:tr>
        <w:trPr/>
        <w:tc>
          <w:tcPr>
            <w:tcW w:w="2198" w:type="dxa"/>
            <w:tcBorders/>
          </w:tcPr>
          <w:p>
            <w:pPr>
              <w:pStyle w:val="Normal"/>
              <w:widowControl w:val="false"/>
              <w:spacing w:lineRule="auto" w:line="240" w:before="0" w:after="0"/>
              <w:rPr>
                <w:sz w:val="18"/>
                <w:szCs w:val="18"/>
              </w:rPr>
            </w:pPr>
            <w:r>
              <w:rPr>
                <w:sz w:val="18"/>
                <w:szCs w:val="18"/>
              </w:rPr>
            </w:r>
          </w:p>
        </w:tc>
        <w:tc>
          <w:tcPr>
            <w:tcW w:w="15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NDWI</w:t>
            </w:r>
          </w:p>
        </w:tc>
        <w:tc>
          <w:tcPr>
            <w:tcW w:w="19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 −</w:t>
            </w:r>
            <w:r>
              <w:rPr>
                <w:rFonts w:cs="Times New Roman" w:ascii="Times New Roman" w:hAnsi="Times New Roman"/>
                <w:sz w:val="18"/>
                <w:szCs w:val="18"/>
              </w:rPr>
              <w:t>0.0071 (n=5)</w:t>
            </w:r>
          </w:p>
        </w:tc>
        <w:tc>
          <w:tcPr>
            <w:tcW w:w="190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 xml:space="preserve">→ </w:t>
            </w:r>
            <w:r>
              <w:rPr>
                <w:rFonts w:cs="Times New Roman" w:ascii="Times New Roman" w:hAnsi="Times New Roman"/>
                <w:sz w:val="18"/>
                <w:szCs w:val="18"/>
              </w:rPr>
              <w:t>+0.0053 (n=3)</w:t>
            </w:r>
          </w:p>
        </w:tc>
        <w:tc>
          <w:tcPr>
            <w:tcW w:w="19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 xml:space="preserve">→ </w:t>
            </w:r>
            <w:r>
              <w:rPr>
                <w:rFonts w:cs="Times New Roman" w:ascii="Times New Roman" w:hAnsi="Times New Roman"/>
                <w:sz w:val="18"/>
                <w:szCs w:val="18"/>
              </w:rPr>
              <w:t>+0.0001 (n=2)</w:t>
            </w:r>
          </w:p>
        </w:tc>
      </w:tr>
      <w:tr>
        <w:trPr/>
        <w:tc>
          <w:tcPr>
            <w:tcW w:w="2198" w:type="dxa"/>
            <w:tcBorders/>
          </w:tcPr>
          <w:p>
            <w:pPr>
              <w:pStyle w:val="Normal"/>
              <w:widowControl w:val="false"/>
              <w:spacing w:lineRule="auto" w:line="240" w:before="0" w:after="0"/>
              <w:rPr>
                <w:sz w:val="18"/>
                <w:szCs w:val="18"/>
              </w:rPr>
            </w:pPr>
            <w:r>
              <w:rPr>
                <w:sz w:val="18"/>
                <w:szCs w:val="18"/>
              </w:rPr>
            </w:r>
          </w:p>
        </w:tc>
        <w:tc>
          <w:tcPr>
            <w:tcW w:w="15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NDTI</w:t>
            </w:r>
          </w:p>
        </w:tc>
        <w:tc>
          <w:tcPr>
            <w:tcW w:w="19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 xml:space="preserve">→ </w:t>
            </w:r>
            <w:r>
              <w:rPr>
                <w:rFonts w:cs="Times New Roman" w:ascii="Times New Roman" w:hAnsi="Times New Roman"/>
                <w:sz w:val="18"/>
                <w:szCs w:val="18"/>
              </w:rPr>
              <w:t>+0.0003 (n=5)</w:t>
            </w:r>
          </w:p>
        </w:tc>
        <w:tc>
          <w:tcPr>
            <w:tcW w:w="190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 −</w:t>
            </w:r>
            <w:r>
              <w:rPr>
                <w:rFonts w:cs="Times New Roman" w:ascii="Times New Roman" w:hAnsi="Times New Roman"/>
                <w:sz w:val="18"/>
                <w:szCs w:val="18"/>
              </w:rPr>
              <w:t>0.0107 (n=3)</w:t>
            </w:r>
          </w:p>
        </w:tc>
        <w:tc>
          <w:tcPr>
            <w:tcW w:w="19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 −</w:t>
            </w:r>
            <w:r>
              <w:rPr>
                <w:rFonts w:cs="Times New Roman" w:ascii="Times New Roman" w:hAnsi="Times New Roman"/>
                <w:sz w:val="18"/>
                <w:szCs w:val="18"/>
              </w:rPr>
              <w:t>0.0173 (n=2)</w:t>
            </w:r>
          </w:p>
        </w:tc>
      </w:tr>
      <w:tr>
        <w:trPr/>
        <w:tc>
          <w:tcPr>
            <w:tcW w:w="2198" w:type="dxa"/>
            <w:tcBorders/>
          </w:tcPr>
          <w:p>
            <w:pPr>
              <w:pStyle w:val="Normal"/>
              <w:widowControl w:val="false"/>
              <w:spacing w:lineRule="auto" w:line="240" w:before="0" w:after="0"/>
              <w:rPr>
                <w:sz w:val="18"/>
                <w:szCs w:val="18"/>
              </w:rPr>
            </w:pPr>
            <w:r>
              <w:rPr>
                <w:rFonts w:cs="Times New Roman" w:ascii="Times New Roman" w:hAnsi="Times New Roman"/>
                <w:sz w:val="18"/>
                <w:szCs w:val="18"/>
              </w:rPr>
              <w:t>Sasthamcotta Lake</w:t>
            </w:r>
          </w:p>
        </w:tc>
        <w:tc>
          <w:tcPr>
            <w:tcW w:w="15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NDCI</w:t>
            </w:r>
          </w:p>
        </w:tc>
        <w:tc>
          <w:tcPr>
            <w:tcW w:w="19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 xml:space="preserve">↑ </w:t>
            </w:r>
            <w:r>
              <w:rPr>
                <w:rFonts w:cs="Times New Roman" w:ascii="Times New Roman" w:hAnsi="Times New Roman"/>
                <w:sz w:val="18"/>
                <w:szCs w:val="18"/>
              </w:rPr>
              <w:t>+0.0229 (n=5)</w:t>
            </w:r>
          </w:p>
        </w:tc>
        <w:tc>
          <w:tcPr>
            <w:tcW w:w="190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 xml:space="preserve">→ </w:t>
            </w:r>
            <w:r>
              <w:rPr>
                <w:rFonts w:cs="Times New Roman" w:ascii="Times New Roman" w:hAnsi="Times New Roman"/>
                <w:sz w:val="18"/>
                <w:szCs w:val="18"/>
              </w:rPr>
              <w:t>+0.0011 (n=3)</w:t>
            </w:r>
          </w:p>
        </w:tc>
        <w:tc>
          <w:tcPr>
            <w:tcW w:w="19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 (n=1)</w:t>
            </w:r>
          </w:p>
        </w:tc>
      </w:tr>
      <w:tr>
        <w:trPr/>
        <w:tc>
          <w:tcPr>
            <w:tcW w:w="2198" w:type="dxa"/>
            <w:tcBorders/>
          </w:tcPr>
          <w:p>
            <w:pPr>
              <w:pStyle w:val="Normal"/>
              <w:widowControl w:val="false"/>
              <w:spacing w:lineRule="auto" w:line="240" w:before="0" w:after="0"/>
              <w:rPr>
                <w:sz w:val="18"/>
                <w:szCs w:val="18"/>
              </w:rPr>
            </w:pPr>
            <w:r>
              <w:rPr>
                <w:sz w:val="18"/>
                <w:szCs w:val="18"/>
              </w:rPr>
            </w:r>
          </w:p>
        </w:tc>
        <w:tc>
          <w:tcPr>
            <w:tcW w:w="15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NDVI</w:t>
            </w:r>
          </w:p>
        </w:tc>
        <w:tc>
          <w:tcPr>
            <w:tcW w:w="19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 xml:space="preserve">↑ </w:t>
            </w:r>
            <w:r>
              <w:rPr>
                <w:rFonts w:cs="Times New Roman" w:ascii="Times New Roman" w:hAnsi="Times New Roman"/>
                <w:sz w:val="18"/>
                <w:szCs w:val="18"/>
              </w:rPr>
              <w:t>+0.0761 (n=5)</w:t>
            </w:r>
          </w:p>
        </w:tc>
        <w:tc>
          <w:tcPr>
            <w:tcW w:w="190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 xml:space="preserve">→ </w:t>
            </w:r>
            <w:r>
              <w:rPr>
                <w:rFonts w:cs="Times New Roman" w:ascii="Times New Roman" w:hAnsi="Times New Roman"/>
                <w:sz w:val="18"/>
                <w:szCs w:val="18"/>
              </w:rPr>
              <w:t>+0.0196 (n=3)</w:t>
            </w:r>
          </w:p>
        </w:tc>
        <w:tc>
          <w:tcPr>
            <w:tcW w:w="19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 (n=1)</w:t>
            </w:r>
          </w:p>
        </w:tc>
      </w:tr>
      <w:tr>
        <w:trPr/>
        <w:tc>
          <w:tcPr>
            <w:tcW w:w="2198" w:type="dxa"/>
            <w:tcBorders/>
          </w:tcPr>
          <w:p>
            <w:pPr>
              <w:pStyle w:val="Normal"/>
              <w:widowControl w:val="false"/>
              <w:spacing w:lineRule="auto" w:line="240" w:before="0" w:after="0"/>
              <w:rPr>
                <w:sz w:val="18"/>
                <w:szCs w:val="18"/>
              </w:rPr>
            </w:pPr>
            <w:r>
              <w:rPr>
                <w:sz w:val="18"/>
                <w:szCs w:val="18"/>
              </w:rPr>
            </w:r>
          </w:p>
        </w:tc>
        <w:tc>
          <w:tcPr>
            <w:tcW w:w="15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NDWI</w:t>
            </w:r>
          </w:p>
        </w:tc>
        <w:tc>
          <w:tcPr>
            <w:tcW w:w="19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 −</w:t>
            </w:r>
            <w:r>
              <w:rPr>
                <w:rFonts w:cs="Times New Roman" w:ascii="Times New Roman" w:hAnsi="Times New Roman"/>
                <w:sz w:val="18"/>
                <w:szCs w:val="18"/>
              </w:rPr>
              <w:t>0.0997 (n=5)</w:t>
            </w:r>
          </w:p>
        </w:tc>
        <w:tc>
          <w:tcPr>
            <w:tcW w:w="1902"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 −</w:t>
            </w:r>
            <w:r>
              <w:rPr>
                <w:rFonts w:cs="Times New Roman" w:ascii="Times New Roman" w:hAnsi="Times New Roman"/>
                <w:sz w:val="18"/>
                <w:szCs w:val="18"/>
              </w:rPr>
              <w:t>0.0245 (n=3)</w:t>
            </w:r>
          </w:p>
        </w:tc>
        <w:tc>
          <w:tcPr>
            <w:tcW w:w="1900" w:type="dxa"/>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 (n=1)</w:t>
            </w:r>
          </w:p>
        </w:tc>
      </w:tr>
      <w:tr>
        <w:trPr/>
        <w:tc>
          <w:tcPr>
            <w:tcW w:w="2198" w:type="dxa"/>
            <w:tcBorders>
              <w:bottom w:val="single" w:sz="8" w:space="0" w:color="000000"/>
            </w:tcBorders>
          </w:tcPr>
          <w:p>
            <w:pPr>
              <w:pStyle w:val="Normal"/>
              <w:widowControl w:val="false"/>
              <w:spacing w:lineRule="auto" w:line="240" w:before="0" w:after="0"/>
              <w:rPr>
                <w:sz w:val="18"/>
                <w:szCs w:val="18"/>
              </w:rPr>
            </w:pPr>
            <w:r>
              <w:rPr>
                <w:sz w:val="18"/>
                <w:szCs w:val="18"/>
              </w:rPr>
            </w:r>
          </w:p>
        </w:tc>
        <w:tc>
          <w:tcPr>
            <w:tcW w:w="1500" w:type="dxa"/>
            <w:tcBorders>
              <w:bottom w:val="single" w:sz="8" w:space="0" w:color="000000"/>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NDTI</w:t>
            </w:r>
          </w:p>
        </w:tc>
        <w:tc>
          <w:tcPr>
            <w:tcW w:w="1900" w:type="dxa"/>
            <w:tcBorders>
              <w:bottom w:val="single" w:sz="8" w:space="0" w:color="000000"/>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 xml:space="preserve">↑ </w:t>
            </w:r>
            <w:r>
              <w:rPr>
                <w:rFonts w:cs="Times New Roman" w:ascii="Times New Roman" w:hAnsi="Times New Roman"/>
                <w:sz w:val="18"/>
                <w:szCs w:val="18"/>
              </w:rPr>
              <w:t>+0.0316 (n=5)</w:t>
            </w:r>
          </w:p>
        </w:tc>
        <w:tc>
          <w:tcPr>
            <w:tcW w:w="1902" w:type="dxa"/>
            <w:tcBorders>
              <w:bottom w:val="single" w:sz="8" w:space="0" w:color="000000"/>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 xml:space="preserve">→ </w:t>
            </w:r>
            <w:r>
              <w:rPr>
                <w:rFonts w:cs="Times New Roman" w:ascii="Times New Roman" w:hAnsi="Times New Roman"/>
                <w:sz w:val="18"/>
                <w:szCs w:val="18"/>
              </w:rPr>
              <w:t>+0.0060 (n=3)</w:t>
            </w:r>
          </w:p>
        </w:tc>
        <w:tc>
          <w:tcPr>
            <w:tcW w:w="1900" w:type="dxa"/>
            <w:tcBorders>
              <w:bottom w:val="single" w:sz="8" w:space="0" w:color="000000"/>
            </w:tcBorders>
          </w:tcPr>
          <w:p>
            <w:pPr>
              <w:pStyle w:val="Normal"/>
              <w:widowControl w:val="false"/>
              <w:spacing w:lineRule="auto" w:line="240" w:before="0" w:after="0"/>
              <w:jc w:val="center"/>
              <w:rPr>
                <w:sz w:val="18"/>
                <w:szCs w:val="18"/>
              </w:rPr>
            </w:pPr>
            <w:r>
              <w:rPr>
                <w:rFonts w:cs="Times New Roman" w:ascii="Times New Roman" w:hAnsi="Times New Roman"/>
                <w:sz w:val="18"/>
                <w:szCs w:val="18"/>
              </w:rPr>
              <w:t>? (n=1)</w:t>
            </w:r>
          </w:p>
        </w:tc>
      </w:tr>
    </w:tbl>
    <w:p>
      <w:pPr>
        <w:pStyle w:val="Normal"/>
        <w:spacing w:lineRule="auto" w:line="276" w:before="60" w:after="120"/>
        <w:jc w:val="both"/>
        <w:rPr/>
      </w:pPr>
      <w:r>
        <w:rPr>
          <w:rFonts w:cs="Times New Roman" w:ascii="Times New Roman" w:hAnsi="Times New Roman"/>
          <w:i/>
          <w:iCs/>
          <w:sz w:val="18"/>
          <w:szCs w:val="18"/>
        </w:rPr>
        <w:t xml:space="preserve">Note. </w:t>
      </w:r>
      <w:r>
        <w:rPr>
          <w:rFonts w:cs="Times New Roman" w:ascii="Times New Roman" w:hAnsi="Times New Roman"/>
          <w:sz w:val="18"/>
          <w:szCs w:val="18"/>
        </w:rPr>
        <w:t>Each cell gives the direction (↑ increase, ↓ decrease, → stable, ? uncertain), the rank-weighted change Σ, and the number of contributing analogs n. The threshold τ is specific to each index and horizon (half the cohort median absolute change over that horizon); τ for 2026/2027/2028: NDCI 0.011/0.013/0.014; NDVI 0.029/0.033/0.037; NDWI 0.035/0.042/0.045; NDTI 0.015/0.017/0.017. Fewer than two analogs gives an uncertain classification. Totals: 10 ↑, 3 ↓, 43 →, 4 ? (60 cells).</w:t>
      </w:r>
    </w:p>
    <w:p>
      <w:pPr>
        <w:pStyle w:val="Normal"/>
        <w:spacing w:before="360" w:after="160"/>
        <w:jc w:val="center"/>
        <w:rPr>
          <w:rFonts w:ascii="Times New Roman" w:hAnsi="Times New Roman" w:cs="Times New Roman"/>
          <w:b/>
          <w:b/>
          <w:bCs/>
          <w:sz w:val="20"/>
          <w:szCs w:val="20"/>
        </w:rPr>
      </w:pPr>
      <w:r>
        <w:rPr>
          <w:rFonts w:cs="Times New Roman" w:ascii="Times New Roman" w:hAnsi="Times New Roman"/>
          <w:b/>
          <w:bCs/>
          <w:sz w:val="20"/>
          <w:szCs w:val="20"/>
        </w:rPr>
      </w:r>
    </w:p>
    <w:p>
      <w:pPr>
        <w:pStyle w:val="Normal"/>
        <w:spacing w:before="360" w:after="160"/>
        <w:jc w:val="center"/>
        <w:rPr>
          <w:rFonts w:ascii="Times New Roman" w:hAnsi="Times New Roman" w:cs="Times New Roman"/>
          <w:b/>
          <w:b/>
          <w:bCs/>
          <w:sz w:val="20"/>
          <w:szCs w:val="20"/>
        </w:rPr>
      </w:pPr>
      <w:r>
        <w:rPr>
          <w:rFonts w:cs="Times New Roman" w:ascii="Times New Roman" w:hAnsi="Times New Roman"/>
          <w:b/>
          <w:bCs/>
          <w:sz w:val="20"/>
          <w:szCs w:val="20"/>
        </w:rPr>
      </w:r>
    </w:p>
    <w:p>
      <w:pPr>
        <w:pStyle w:val="Normal"/>
        <w:spacing w:before="360" w:after="160"/>
        <w:jc w:val="center"/>
        <w:rPr>
          <w:rFonts w:ascii="Times New Roman" w:hAnsi="Times New Roman" w:cs="Times New Roman"/>
          <w:b/>
          <w:b/>
          <w:bCs/>
          <w:sz w:val="20"/>
          <w:szCs w:val="20"/>
        </w:rPr>
      </w:pPr>
      <w:r>
        <w:rPr>
          <w:rFonts w:cs="Times New Roman" w:ascii="Times New Roman" w:hAnsi="Times New Roman"/>
          <w:b/>
          <w:bCs/>
          <w:sz w:val="20"/>
          <w:szCs w:val="20"/>
        </w:rPr>
      </w:r>
    </w:p>
    <w:p>
      <w:pPr>
        <w:pStyle w:val="Normal"/>
        <w:spacing w:before="360" w:after="160"/>
        <w:jc w:val="center"/>
        <w:rPr/>
      </w:pPr>
      <w:r>
        <w:rPr>
          <w:rFonts w:cs="Times New Roman" w:ascii="Times New Roman" w:hAnsi="Times New Roman"/>
          <w:b/>
          <w:bCs/>
          <w:sz w:val="20"/>
          <w:szCs w:val="20"/>
        </w:rPr>
        <w:t>Figure Captions</w:t>
      </w:r>
    </w:p>
    <w:p>
      <w:pPr>
        <w:pStyle w:val="Normal"/>
        <w:keepNext w:val="true"/>
        <w:spacing w:before="0" w:after="120"/>
        <w:jc w:val="center"/>
        <w:rPr/>
      </w:pPr>
      <w:r>
        <w:rPr/>
        <w:drawing>
          <wp:inline distT="0" distB="0" distL="0" distR="0">
            <wp:extent cx="5206365" cy="7456805"/>
            <wp:effectExtent l="0" t="0" r="0" b="0"/>
            <wp:docPr id="1" name="Figure 1" descr="EcoTwin offline processing workflow applied to a synthetic lake: lake synchronisation, imagery acquisition, tile merging, embedding generation, embedding re-blending, and lake-feature gene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 1" descr="EcoTwin offline processing workflow applied to a synthetic lake: lake synchronisation, imagery acquisition, tile merging, embedding generation, embedding re-blending, and lake-feature generation."/>
                    <pic:cNvPicPr>
                      <a:picLocks noChangeAspect="1" noChangeArrowheads="1"/>
                    </pic:cNvPicPr>
                  </pic:nvPicPr>
                  <pic:blipFill>
                    <a:blip r:embed="rId30"/>
                    <a:stretch>
                      <a:fillRect/>
                    </a:stretch>
                  </pic:blipFill>
                  <pic:spPr bwMode="auto">
                    <a:xfrm>
                      <a:off x="0" y="0"/>
                      <a:ext cx="5206365" cy="7456805"/>
                    </a:xfrm>
                    <a:prstGeom prst="rect">
                      <a:avLst/>
                    </a:prstGeom>
                  </pic:spPr>
                </pic:pic>
              </a:graphicData>
            </a:graphic>
          </wp:inline>
        </w:drawing>
      </w:r>
    </w:p>
    <w:p>
      <w:pPr>
        <w:pStyle w:val="Normal"/>
        <w:spacing w:lineRule="auto" w:line="276" w:before="60" w:after="120"/>
        <w:jc w:val="both"/>
        <w:rPr/>
      </w:pPr>
      <w:r>
        <w:rPr>
          <w:rFonts w:cs="Times New Roman" w:ascii="Times New Roman" w:hAnsi="Times New Roman"/>
          <w:b/>
          <w:bCs/>
          <w:sz w:val="20"/>
          <w:szCs w:val="20"/>
        </w:rPr>
        <w:t xml:space="preserve">Figure 1. </w:t>
      </w:r>
      <w:r>
        <w:rPr>
          <w:rFonts w:cs="Times New Roman" w:ascii="Times New Roman" w:hAnsi="Times New Roman"/>
          <w:sz w:val="20"/>
          <w:szCs w:val="20"/>
        </w:rPr>
        <w:t>EcoTwin offline processing workflow: lake synchronisation, imagery acquisition, tile merging, embedding generation, embedding re-blending, and lake-feature generation.</w:t>
      </w:r>
    </w:p>
    <w:p>
      <w:pPr>
        <w:pStyle w:val="Normal"/>
        <w:keepNext w:val="true"/>
        <w:spacing w:before="0" w:after="120"/>
        <w:jc w:val="center"/>
        <w:rPr/>
      </w:pPr>
      <w:r>
        <w:rPr/>
        <w:drawing>
          <wp:inline distT="0" distB="0" distL="0" distR="0">
            <wp:extent cx="5731510" cy="3474720"/>
            <wp:effectExtent l="0" t="0" r="0" b="0"/>
            <wp:docPr id="2" name="Figure 3" descr="EcoTwin system components and their communication: React frontend, FastAPI backend with online analysis services and offline pipeline background tasks, GeoTIFF file store, in-process Prithvi encoder, Google Earth Engine, and PostgreSQL with PostGIS and pg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e 3" descr="EcoTwin system components and their communication: React frontend, FastAPI backend with online analysis services and offline pipeline background tasks, GeoTIFF file store, in-process Prithvi encoder, Google Earth Engine, and PostgreSQL with PostGIS and pgvector."/>
                    <pic:cNvPicPr>
                      <a:picLocks noChangeAspect="1" noChangeArrowheads="1"/>
                    </pic:cNvPicPr>
                  </pic:nvPicPr>
                  <pic:blipFill>
                    <a:blip r:embed="rId31"/>
                    <a:stretch>
                      <a:fillRect/>
                    </a:stretch>
                  </pic:blipFill>
                  <pic:spPr bwMode="auto">
                    <a:xfrm>
                      <a:off x="0" y="0"/>
                      <a:ext cx="5731510" cy="3474720"/>
                    </a:xfrm>
                    <a:prstGeom prst="rect">
                      <a:avLst/>
                    </a:prstGeom>
                  </pic:spPr>
                </pic:pic>
              </a:graphicData>
            </a:graphic>
          </wp:inline>
        </w:drawing>
      </w:r>
    </w:p>
    <w:p>
      <w:pPr>
        <w:pStyle w:val="Normal"/>
        <w:spacing w:lineRule="auto" w:line="276" w:before="60" w:after="120"/>
        <w:jc w:val="both"/>
        <w:rPr>
          <w:rFonts w:ascii="Times New Roman" w:hAnsi="Times New Roman" w:cs="Times New Roman"/>
          <w:sz w:val="20"/>
          <w:szCs w:val="20"/>
        </w:rPr>
      </w:pPr>
      <w:r>
        <w:rPr>
          <w:rFonts w:cs="Times New Roman" w:ascii="Times New Roman" w:hAnsi="Times New Roman"/>
          <w:b/>
          <w:bCs/>
          <w:sz w:val="20"/>
          <w:szCs w:val="20"/>
        </w:rPr>
        <w:t xml:space="preserve">Figure 2. </w:t>
      </w:r>
      <w:r>
        <w:rPr>
          <w:rFonts w:cs="Times New Roman" w:ascii="Times New Roman" w:hAnsi="Times New Roman"/>
          <w:sz w:val="20"/>
          <w:szCs w:val="20"/>
        </w:rPr>
        <w:t>Principal system components (frontend, FastAPI backend, PostgreSQL with PostGIS and pgvector, Google Earth Engine, and the Prithvi encoder) and their communication.</w:t>
      </w:r>
    </w:p>
    <w:p>
      <w:pPr>
        <w:pStyle w:val="Normal"/>
        <w:spacing w:lineRule="auto" w:line="276" w:before="60" w:after="120"/>
        <w:jc w:val="center"/>
        <w:rPr/>
      </w:pPr>
      <w:r>
        <w:rPr/>
        <w:drawing>
          <wp:inline distT="0" distB="0" distL="0" distR="0">
            <wp:extent cx="4445000" cy="2745740"/>
            <wp:effectExtent l="0" t="0" r="0" b="0"/>
            <wp:docPr id="3"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
                    <pic:cNvPicPr>
                      <a:picLocks noChangeAspect="1" noChangeArrowheads="1"/>
                    </pic:cNvPicPr>
                  </pic:nvPicPr>
                  <pic:blipFill>
                    <a:blip r:embed="rId32"/>
                    <a:srcRect l="0" t="16022" r="0" b="0"/>
                    <a:stretch>
                      <a:fillRect/>
                    </a:stretch>
                  </pic:blipFill>
                  <pic:spPr bwMode="auto">
                    <a:xfrm>
                      <a:off x="0" y="0"/>
                      <a:ext cx="4445000" cy="2745740"/>
                    </a:xfrm>
                    <a:prstGeom prst="rect">
                      <a:avLst/>
                    </a:prstGeom>
                  </pic:spPr>
                </pic:pic>
              </a:graphicData>
            </a:graphic>
          </wp:inline>
        </w:drawing>
      </w:r>
    </w:p>
    <w:p>
      <w:pPr>
        <w:pStyle w:val="Normal"/>
        <w:spacing w:lineRule="auto" w:line="276" w:before="60" w:after="120"/>
        <w:jc w:val="both"/>
        <w:rPr/>
      </w:pPr>
      <w:r>
        <w:rPr>
          <w:rFonts w:cs="Times New Roman" w:ascii="Times New Roman" w:hAnsi="Times New Roman"/>
          <w:b/>
          <w:bCs/>
          <w:sz w:val="20"/>
          <w:szCs w:val="20"/>
        </w:rPr>
        <w:t xml:space="preserve">Figure 3. </w:t>
      </w:r>
      <w:r>
        <w:rPr>
          <w:rFonts w:cs="Times New Roman" w:ascii="Times New Roman" w:hAnsi="Times New Roman"/>
          <w:sz w:val="20"/>
          <w:szCs w:val="20"/>
        </w:rPr>
        <w:t>Chilika Lake boundary in the EcoTwin application.</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roman"/>
    <w:pitch w:val="variable"/>
  </w:font>
  <w:font w:name="Times New Roman">
    <w:charset w:val="01"/>
    <w:family w:val="roman"/>
    <w:pitch w:val="variable"/>
  </w:font>
</w:fonts>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IN" w:eastAsia="" w:bidi="hi-IN"/>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Mangal" w:asciiTheme="minorHAnsi" w:cstheme="minorBidi" w:eastAsiaTheme="minorHAnsi" w:hAnsiTheme="minorHAnsi"/>
        <w:kern w:val="2"/>
        <w:sz w:val="24"/>
        <w:szCs w:val="24"/>
        <w:lang w:val="en-IN"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160"/>
      <w:jc w:val="left"/>
    </w:pPr>
    <w:rPr>
      <w:rFonts w:ascii="Aptos" w:hAnsi="Aptos" w:eastAsia="Aptos" w:cs="Mangal" w:asciiTheme="minorHAnsi" w:cstheme="minorBidi" w:eastAsiaTheme="minorHAnsi" w:hAnsiTheme="minorHAnsi"/>
      <w:color w:val="auto"/>
      <w:kern w:val="2"/>
      <w:sz w:val="24"/>
      <w:szCs w:val="24"/>
      <w:lang w:val="en-IN" w:eastAsia="en-US" w:bidi="ar-SA"/>
      <w14:ligatures w14:val="standardContextual"/>
    </w:rPr>
  </w:style>
  <w:style w:type="paragraph" w:styleId="Heading1">
    <w:name w:val="Heading 1"/>
    <w:basedOn w:val="Normal"/>
    <w:next w:val="Normal"/>
    <w:link w:val="Heading1Char"/>
    <w:uiPriority w:val="9"/>
    <w:qFormat/>
    <w:rsid w:val="00d96f07"/>
    <w:pPr>
      <w:keepNext w:val="true"/>
      <w:keepLines/>
      <w:spacing w:before="360" w:after="80"/>
      <w:outlineLvl w:val="0"/>
    </w:pPr>
    <w:rPr>
      <w:rFonts w:ascii="Aptos Display" w:hAnsi="Aptos Display" w:eastAsia="" w:cs="Mangal" w:asciiTheme="majorHAnsi" w:cstheme="majorBidi" w:eastAsiaTheme="majorEastAsia" w:hAnsiTheme="majorHAnsi"/>
      <w:color w:val="0F4761" w:themeColor="accent1" w:themeShade="bf"/>
      <w:sz w:val="40"/>
      <w:szCs w:val="40"/>
    </w:rPr>
  </w:style>
  <w:style w:type="paragraph" w:styleId="Heading2">
    <w:name w:val="Heading 2"/>
    <w:basedOn w:val="Normal"/>
    <w:next w:val="Normal"/>
    <w:link w:val="Heading2Char"/>
    <w:uiPriority w:val="9"/>
    <w:unhideWhenUsed/>
    <w:qFormat/>
    <w:rsid w:val="00d96f07"/>
    <w:pPr>
      <w:keepNext w:val="true"/>
      <w:keepLines/>
      <w:spacing w:before="160" w:after="80"/>
      <w:outlineLvl w:val="1"/>
    </w:pPr>
    <w:rPr>
      <w:rFonts w:ascii="Aptos Display" w:hAnsi="Aptos Display" w:eastAsia="" w:cs="Mangal" w:asciiTheme="majorHAnsi" w:cstheme="majorBidi" w:eastAsiaTheme="majorEastAsia" w:hAnsiTheme="majorHAnsi"/>
      <w:color w:val="0F4761" w:themeColor="accent1" w:themeShade="bf"/>
      <w:sz w:val="32"/>
      <w:szCs w:val="32"/>
    </w:rPr>
  </w:style>
  <w:style w:type="paragraph" w:styleId="Heading3">
    <w:name w:val="Heading 3"/>
    <w:basedOn w:val="Normal"/>
    <w:next w:val="Normal"/>
    <w:link w:val="Heading3Char"/>
    <w:uiPriority w:val="9"/>
    <w:unhideWhenUsed/>
    <w:qFormat/>
    <w:rsid w:val="00d96f07"/>
    <w:pPr>
      <w:keepNext w:val="true"/>
      <w:keepLines/>
      <w:spacing w:before="160" w:after="80"/>
      <w:outlineLvl w:val="2"/>
    </w:pPr>
    <w:rPr>
      <w:rFonts w:eastAsia="" w:cs="Mangal" w:cstheme="majorBidi" w:eastAsiaTheme="majorEastAsia"/>
      <w:color w:val="0F4761" w:themeColor="accent1" w:themeShade="bf"/>
      <w:sz w:val="28"/>
      <w:szCs w:val="28"/>
    </w:rPr>
  </w:style>
  <w:style w:type="paragraph" w:styleId="Heading4">
    <w:name w:val="Heading 4"/>
    <w:basedOn w:val="Normal"/>
    <w:next w:val="Normal"/>
    <w:link w:val="Heading4Char"/>
    <w:uiPriority w:val="9"/>
    <w:semiHidden/>
    <w:unhideWhenUsed/>
    <w:qFormat/>
    <w:rsid w:val="00d96f07"/>
    <w:pPr>
      <w:keepNext w:val="true"/>
      <w:keepLines/>
      <w:spacing w:before="80" w:after="40"/>
      <w:outlineLvl w:val="3"/>
    </w:pPr>
    <w:rPr>
      <w:rFonts w:eastAsia="" w:cs="Mangal" w:cstheme="majorBidi"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d96f07"/>
    <w:pPr>
      <w:keepNext w:val="true"/>
      <w:keepLines/>
      <w:spacing w:before="80" w:after="40"/>
      <w:outlineLvl w:val="4"/>
    </w:pPr>
    <w:rPr>
      <w:rFonts w:eastAsia="" w:cs="Mangal" w:cstheme="majorBidi" w:eastAsiaTheme="majorEastAsia"/>
      <w:color w:val="0F4761" w:themeColor="accent1" w:themeShade="bf"/>
    </w:rPr>
  </w:style>
  <w:style w:type="paragraph" w:styleId="Heading6">
    <w:name w:val="Heading 6"/>
    <w:basedOn w:val="Normal"/>
    <w:next w:val="Normal"/>
    <w:link w:val="Heading6Char"/>
    <w:uiPriority w:val="9"/>
    <w:semiHidden/>
    <w:unhideWhenUsed/>
    <w:qFormat/>
    <w:rsid w:val="00d96f07"/>
    <w:pPr>
      <w:keepNext w:val="true"/>
      <w:keepLines/>
      <w:spacing w:before="40" w:after="0"/>
      <w:outlineLvl w:val="5"/>
    </w:pPr>
    <w:rPr>
      <w:rFonts w:eastAsia="" w:cs="Mangal" w:cstheme="majorBidi"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d96f07"/>
    <w:pPr>
      <w:keepNext w:val="true"/>
      <w:keepLines/>
      <w:spacing w:before="40" w:after="0"/>
      <w:outlineLvl w:val="6"/>
    </w:pPr>
    <w:rPr>
      <w:rFonts w:eastAsia="" w:cs="Mangal" w:cstheme="majorBidi" w:eastAsiaTheme="majorEastAsia"/>
      <w:color w:val="595959" w:themeColor="text1" w:themeTint="a6"/>
    </w:rPr>
  </w:style>
  <w:style w:type="paragraph" w:styleId="Heading8">
    <w:name w:val="Heading 8"/>
    <w:basedOn w:val="Normal"/>
    <w:next w:val="Normal"/>
    <w:link w:val="Heading8Char"/>
    <w:uiPriority w:val="9"/>
    <w:semiHidden/>
    <w:unhideWhenUsed/>
    <w:qFormat/>
    <w:rsid w:val="00d96f07"/>
    <w:pPr>
      <w:keepNext w:val="true"/>
      <w:keepLines/>
      <w:spacing w:before="0" w:after="0"/>
      <w:outlineLvl w:val="7"/>
    </w:pPr>
    <w:rPr>
      <w:rFonts w:eastAsia="" w:cs="Mangal" w:cstheme="majorBidi"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d96f07"/>
    <w:pPr>
      <w:keepNext w:val="true"/>
      <w:keepLines/>
      <w:spacing w:before="0" w:after="0"/>
      <w:outlineLvl w:val="8"/>
    </w:pPr>
    <w:rPr>
      <w:rFonts w:eastAsia="" w:cs="Mangal" w:cstheme="majorBidi" w:eastAsiaTheme="majorEastAsia"/>
      <w:color w:val="272727" w:themeColor="text1" w:themeTint="d8"/>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d96f07"/>
    <w:rPr>
      <w:rFonts w:ascii="Aptos Display" w:hAnsi="Aptos Display" w:eastAsia="" w:cs="Mangal" w:asciiTheme="majorHAnsi" w:cstheme="majorBidi" w:eastAsiaTheme="majorEastAsia" w:hAnsiTheme="majorHAnsi"/>
      <w:color w:val="0F4761" w:themeColor="accent1" w:themeShade="bf"/>
      <w:sz w:val="40"/>
      <w:szCs w:val="40"/>
    </w:rPr>
  </w:style>
  <w:style w:type="character" w:styleId="Heading2Char" w:customStyle="1">
    <w:name w:val="Heading 2 Char"/>
    <w:basedOn w:val="DefaultParagraphFont"/>
    <w:link w:val="Heading2"/>
    <w:uiPriority w:val="9"/>
    <w:qFormat/>
    <w:rsid w:val="00d96f07"/>
    <w:rPr>
      <w:rFonts w:ascii="Aptos Display" w:hAnsi="Aptos Display" w:eastAsia="" w:cs="Mangal" w:asciiTheme="majorHAnsi" w:cstheme="majorBidi" w:eastAsiaTheme="majorEastAsia" w:hAnsiTheme="majorHAnsi"/>
      <w:color w:val="0F4761" w:themeColor="accent1" w:themeShade="bf"/>
      <w:sz w:val="32"/>
      <w:szCs w:val="32"/>
    </w:rPr>
  </w:style>
  <w:style w:type="character" w:styleId="Heading3Char" w:customStyle="1">
    <w:name w:val="Heading 3 Char"/>
    <w:basedOn w:val="DefaultParagraphFont"/>
    <w:link w:val="Heading3"/>
    <w:uiPriority w:val="9"/>
    <w:qFormat/>
    <w:rsid w:val="00d96f07"/>
    <w:rPr>
      <w:rFonts w:eastAsia="" w:cs="Mangal" w:cstheme="majorBidi" w:eastAsiaTheme="majorEastAsia"/>
      <w:color w:val="0F4761" w:themeColor="accent1" w:themeShade="bf"/>
      <w:sz w:val="28"/>
      <w:szCs w:val="28"/>
    </w:rPr>
  </w:style>
  <w:style w:type="character" w:styleId="Heading4Char" w:customStyle="1">
    <w:name w:val="Heading 4 Char"/>
    <w:basedOn w:val="DefaultParagraphFont"/>
    <w:link w:val="Heading4"/>
    <w:uiPriority w:val="9"/>
    <w:semiHidden/>
    <w:qFormat/>
    <w:rsid w:val="00d96f07"/>
    <w:rPr>
      <w:rFonts w:eastAsia="" w:cs="Mangal" w:cstheme="majorBidi" w:eastAsiaTheme="majorEastAsia"/>
      <w:i/>
      <w:iCs/>
      <w:color w:val="0F4761" w:themeColor="accent1" w:themeShade="bf"/>
    </w:rPr>
  </w:style>
  <w:style w:type="character" w:styleId="Heading5Char" w:customStyle="1">
    <w:name w:val="Heading 5 Char"/>
    <w:basedOn w:val="DefaultParagraphFont"/>
    <w:link w:val="Heading5"/>
    <w:uiPriority w:val="9"/>
    <w:semiHidden/>
    <w:qFormat/>
    <w:rsid w:val="00d96f07"/>
    <w:rPr>
      <w:rFonts w:eastAsia="" w:cs="Mangal" w:cstheme="majorBidi" w:eastAsiaTheme="majorEastAsia"/>
      <w:color w:val="0F4761" w:themeColor="accent1" w:themeShade="bf"/>
    </w:rPr>
  </w:style>
  <w:style w:type="character" w:styleId="Heading6Char" w:customStyle="1">
    <w:name w:val="Heading 6 Char"/>
    <w:basedOn w:val="DefaultParagraphFont"/>
    <w:link w:val="Heading6"/>
    <w:uiPriority w:val="9"/>
    <w:semiHidden/>
    <w:qFormat/>
    <w:rsid w:val="00d96f07"/>
    <w:rPr>
      <w:rFonts w:eastAsia="" w:cs="Mangal" w:cstheme="majorBidi" w:eastAsiaTheme="majorEastAsia"/>
      <w:i/>
      <w:iCs/>
      <w:color w:val="595959" w:themeColor="text1" w:themeTint="a6"/>
    </w:rPr>
  </w:style>
  <w:style w:type="character" w:styleId="Heading7Char" w:customStyle="1">
    <w:name w:val="Heading 7 Char"/>
    <w:basedOn w:val="DefaultParagraphFont"/>
    <w:link w:val="Heading7"/>
    <w:uiPriority w:val="9"/>
    <w:semiHidden/>
    <w:qFormat/>
    <w:rsid w:val="00d96f07"/>
    <w:rPr>
      <w:rFonts w:eastAsia="" w:cs="Mangal" w:cstheme="majorBidi" w:eastAsiaTheme="majorEastAsia"/>
      <w:color w:val="595959" w:themeColor="text1" w:themeTint="a6"/>
    </w:rPr>
  </w:style>
  <w:style w:type="character" w:styleId="Heading8Char" w:customStyle="1">
    <w:name w:val="Heading 8 Char"/>
    <w:basedOn w:val="DefaultParagraphFont"/>
    <w:link w:val="Heading8"/>
    <w:uiPriority w:val="9"/>
    <w:semiHidden/>
    <w:qFormat/>
    <w:rsid w:val="00d96f07"/>
    <w:rPr>
      <w:rFonts w:eastAsia="" w:cs="Mangal" w:cstheme="majorBidi" w:eastAsiaTheme="majorEastAsia"/>
      <w:i/>
      <w:iCs/>
      <w:color w:val="272727" w:themeColor="text1" w:themeTint="d8"/>
    </w:rPr>
  </w:style>
  <w:style w:type="character" w:styleId="Heading9Char" w:customStyle="1">
    <w:name w:val="Heading 9 Char"/>
    <w:basedOn w:val="DefaultParagraphFont"/>
    <w:link w:val="Heading9"/>
    <w:uiPriority w:val="9"/>
    <w:semiHidden/>
    <w:qFormat/>
    <w:rsid w:val="00d96f07"/>
    <w:rPr>
      <w:rFonts w:eastAsia="" w:cs="Mangal" w:cstheme="majorBidi" w:eastAsiaTheme="majorEastAsia"/>
      <w:color w:val="272727" w:themeColor="text1" w:themeTint="d8"/>
    </w:rPr>
  </w:style>
  <w:style w:type="character" w:styleId="TitleChar" w:customStyle="1">
    <w:name w:val="Title Char"/>
    <w:basedOn w:val="DefaultParagraphFont"/>
    <w:link w:val="Title"/>
    <w:uiPriority w:val="10"/>
    <w:qFormat/>
    <w:rsid w:val="00d96f07"/>
    <w:rPr>
      <w:rFonts w:ascii="Aptos Display" w:hAnsi="Aptos Display" w:eastAsia="" w:cs="Mangal"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d96f07"/>
    <w:rPr>
      <w:rFonts w:eastAsia="" w:cs="Mangal" w:cstheme="majorBidi" w:eastAsiaTheme="majorEastAsia"/>
      <w:color w:val="595959" w:themeColor="text1" w:themeTint="a6"/>
      <w:spacing w:val="15"/>
      <w:sz w:val="28"/>
      <w:szCs w:val="28"/>
    </w:rPr>
  </w:style>
  <w:style w:type="character" w:styleId="QuoteChar" w:customStyle="1">
    <w:name w:val="Quote Char"/>
    <w:basedOn w:val="DefaultParagraphFont"/>
    <w:link w:val="Quote"/>
    <w:uiPriority w:val="29"/>
    <w:qFormat/>
    <w:rsid w:val="00d96f07"/>
    <w:rPr>
      <w:i/>
      <w:iCs/>
      <w:color w:val="404040" w:themeColor="text1" w:themeTint="bf"/>
    </w:rPr>
  </w:style>
  <w:style w:type="character" w:styleId="IntenseEmphasis">
    <w:name w:val="Intense Emphasis"/>
    <w:basedOn w:val="DefaultParagraphFont"/>
    <w:uiPriority w:val="21"/>
    <w:qFormat/>
    <w:rsid w:val="00d96f07"/>
    <w:rPr>
      <w:i/>
      <w:iCs/>
      <w:color w:val="0F4761" w:themeColor="accent1" w:themeShade="bf"/>
    </w:rPr>
  </w:style>
  <w:style w:type="character" w:styleId="IntenseQuoteChar" w:customStyle="1">
    <w:name w:val="Intense Quote Char"/>
    <w:basedOn w:val="DefaultParagraphFont"/>
    <w:link w:val="IntenseQuote"/>
    <w:uiPriority w:val="30"/>
    <w:qFormat/>
    <w:rsid w:val="00d96f07"/>
    <w:rPr>
      <w:i/>
      <w:iCs/>
      <w:color w:val="0F4761" w:themeColor="accent1" w:themeShade="bf"/>
    </w:rPr>
  </w:style>
  <w:style w:type="character" w:styleId="IntenseReference">
    <w:name w:val="Intense Reference"/>
    <w:basedOn w:val="DefaultParagraphFont"/>
    <w:uiPriority w:val="32"/>
    <w:qFormat/>
    <w:rsid w:val="00d96f07"/>
    <w:rPr>
      <w:b/>
      <w:bCs/>
      <w:smallCaps/>
      <w:color w:val="0F4761" w:themeColor="accent1" w:themeShade="bf"/>
      <w:spacing w:val="5"/>
    </w:rPr>
  </w:style>
  <w:style w:type="character" w:styleId="CommentTextChar" w:customStyle="1">
    <w:name w:val="Comment Text Char"/>
    <w:basedOn w:val="DefaultParagraphFont"/>
    <w:link w:val="Annotationtext"/>
    <w:uiPriority w:val="99"/>
    <w:semiHidden/>
    <w:qFormat/>
    <w:rPr>
      <w:sz w:val="20"/>
      <w:szCs w:val="20"/>
    </w:rPr>
  </w:style>
  <w:style w:type="character" w:styleId="Annotationreference">
    <w:name w:val="annotation reference"/>
    <w:basedOn w:val="DefaultParagraphFont"/>
    <w:uiPriority w:val="99"/>
    <w:semiHidden/>
    <w:unhideWhenUsed/>
    <w:qFormat/>
    <w:rPr>
      <w:sz w:val="16"/>
      <w:szCs w:val="16"/>
    </w:rPr>
  </w:style>
  <w:style w:type="character" w:styleId="InternetLink">
    <w:name w:val="Hyperlink"/>
    <w:rPr>
      <w:color w:val="000080"/>
      <w:u w:val="single"/>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Normal"/>
    <w:next w:val="Normal"/>
    <w:link w:val="TitleChar"/>
    <w:uiPriority w:val="10"/>
    <w:qFormat/>
    <w:rsid w:val="00d96f07"/>
    <w:pPr>
      <w:spacing w:lineRule="auto" w:line="240" w:before="0" w:after="80"/>
      <w:contextualSpacing/>
    </w:pPr>
    <w:rPr>
      <w:rFonts w:ascii="Aptos Display" w:hAnsi="Aptos Display" w:eastAsia="" w:cs="Mangal"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d96f07"/>
    <w:pPr/>
    <w:rPr>
      <w:rFonts w:eastAsia="" w:cs="Mangal" w:cstheme="majorBidi" w:eastAsiaTheme="majorEastAsia"/>
      <w:color w:val="595959" w:themeColor="text1" w:themeTint="a6"/>
      <w:spacing w:val="15"/>
      <w:sz w:val="28"/>
      <w:szCs w:val="28"/>
    </w:rPr>
  </w:style>
  <w:style w:type="paragraph" w:styleId="Quote">
    <w:name w:val="Quote"/>
    <w:basedOn w:val="Normal"/>
    <w:next w:val="Normal"/>
    <w:link w:val="QuoteChar"/>
    <w:uiPriority w:val="29"/>
    <w:qFormat/>
    <w:rsid w:val="00d96f07"/>
    <w:pPr>
      <w:spacing w:before="160" w:after="160"/>
      <w:jc w:val="center"/>
    </w:pPr>
    <w:rPr>
      <w:i/>
      <w:iCs/>
      <w:color w:val="404040" w:themeColor="text1" w:themeTint="bf"/>
    </w:rPr>
  </w:style>
  <w:style w:type="paragraph" w:styleId="ListParagraph">
    <w:name w:val="List Paragraph"/>
    <w:basedOn w:val="Normal"/>
    <w:uiPriority w:val="34"/>
    <w:qFormat/>
    <w:rsid w:val="00d96f07"/>
    <w:pPr>
      <w:spacing w:before="0" w:after="160"/>
      <w:ind w:left="720" w:hanging="0"/>
      <w:contextualSpacing/>
    </w:pPr>
    <w:rPr/>
  </w:style>
  <w:style w:type="paragraph" w:styleId="IntenseQuote">
    <w:name w:val="Intense Quote"/>
    <w:basedOn w:val="Normal"/>
    <w:next w:val="Normal"/>
    <w:link w:val="IntenseQuoteChar"/>
    <w:uiPriority w:val="30"/>
    <w:qFormat/>
    <w:rsid w:val="00d96f07"/>
    <w:pPr>
      <w:pBdr>
        <w:top w:val="single" w:sz="4" w:space="10" w:color="0F4761"/>
        <w:bottom w:val="single" w:sz="4" w:space="10" w:color="0F4761"/>
      </w:pBdr>
      <w:spacing w:before="360" w:after="360"/>
      <w:ind w:left="864" w:right="864" w:hanging="0"/>
      <w:jc w:val="center"/>
    </w:pPr>
    <w:rPr>
      <w:i/>
      <w:iCs/>
      <w:color w:val="0F4761" w:themeColor="accent1" w:themeShade="bf"/>
    </w:rPr>
  </w:style>
  <w:style w:type="paragraph" w:styleId="APAEquation" w:customStyle="1">
    <w:name w:val="APA Equation"/>
    <w:basedOn w:val="Normal"/>
    <w:qFormat/>
    <w:rsid w:val="00c863a1"/>
    <w:pPr>
      <w:spacing w:lineRule="auto" w:line="240" w:before="120" w:after="120"/>
      <w:jc w:val="center"/>
    </w:pPr>
    <w:rPr>
      <w:rFonts w:ascii="Times New Roman" w:hAnsi="Times New Roman" w:eastAsia="Times New Roman"/>
      <w:kern w:val="0"/>
      <w:szCs w:val="22"/>
      <w:lang w:val="en-US"/>
      <w14:ligatures w14:val="none"/>
    </w:rPr>
  </w:style>
  <w:style w:type="paragraph" w:styleId="NormalWeb">
    <w:name w:val="Normal (Web)"/>
    <w:basedOn w:val="Normal"/>
    <w:uiPriority w:val="99"/>
    <w:semiHidden/>
    <w:unhideWhenUsed/>
    <w:qFormat/>
    <w:rsid w:val="005002e9"/>
    <w:pPr/>
    <w:rPr>
      <w:rFonts w:ascii="Times New Roman" w:hAnsi="Times New Roman" w:cs="Times New Roman"/>
    </w:rPr>
  </w:style>
  <w:style w:type="paragraph" w:styleId="APAH1" w:customStyle="1">
    <w:name w:val="APA H1"/>
    <w:basedOn w:val="Normal"/>
    <w:qFormat/>
    <w:rsid w:val="001f6b11"/>
    <w:pPr>
      <w:keepNext w:val="true"/>
      <w:spacing w:lineRule="auto" w:line="480" w:before="0" w:after="0"/>
      <w:jc w:val="center"/>
    </w:pPr>
    <w:rPr>
      <w:rFonts w:ascii="Times New Roman" w:hAnsi="Times New Roman" w:eastAsia="Times New Roman"/>
      <w:b/>
      <w:kern w:val="0"/>
      <w:szCs w:val="22"/>
      <w:lang w:val="en-US"/>
      <w14:ligatures w14:val="none"/>
    </w:rPr>
  </w:style>
  <w:style w:type="paragraph" w:styleId="APABodyNoIndent" w:customStyle="1">
    <w:name w:val="APA Body NoIndent"/>
    <w:basedOn w:val="Normal"/>
    <w:qFormat/>
    <w:rsid w:val="001f6b11"/>
    <w:pPr>
      <w:spacing w:lineRule="auto" w:line="480" w:before="0" w:after="0"/>
    </w:pPr>
    <w:rPr>
      <w:rFonts w:ascii="Times New Roman" w:hAnsi="Times New Roman" w:eastAsia="Times New Roman"/>
      <w:kern w:val="0"/>
      <w:szCs w:val="22"/>
      <w:lang w:val="en-US"/>
      <w14:ligatures w14:val="none"/>
    </w:rPr>
  </w:style>
  <w:style w:type="paragraph" w:styleId="APABody" w:customStyle="1">
    <w:name w:val="APA Body"/>
    <w:basedOn w:val="Normal"/>
    <w:qFormat/>
    <w:rsid w:val="001f6b11"/>
    <w:pPr>
      <w:spacing w:lineRule="auto" w:line="480" w:before="0" w:after="0"/>
      <w:ind w:firstLine="720"/>
    </w:pPr>
    <w:rPr>
      <w:rFonts w:ascii="Times New Roman" w:hAnsi="Times New Roman" w:eastAsia="Times New Roman"/>
      <w:kern w:val="0"/>
      <w:szCs w:val="22"/>
      <w:lang w:val="en-US"/>
      <w14:ligatures w14:val="none"/>
    </w:rPr>
  </w:style>
  <w:style w:type="paragraph" w:styleId="Notesoncontributors" w:customStyle="1">
    <w:name w:val="Notes on contributors"/>
    <w:basedOn w:val="Normal"/>
    <w:qFormat/>
    <w:rsid w:val="001f6b11"/>
    <w:pPr>
      <w:spacing w:lineRule="auto" w:line="360" w:before="240" w:after="0"/>
    </w:pPr>
    <w:rPr>
      <w:rFonts w:ascii="Times New Roman" w:hAnsi="Times New Roman" w:eastAsia="Times New Roman" w:cs="Times New Roman"/>
      <w:kern w:val="0"/>
      <w:sz w:val="22"/>
      <w:lang w:val="en-GB" w:eastAsia="en-GB"/>
      <w14:ligatures w14:val="none"/>
    </w:rPr>
  </w:style>
  <w:style w:type="paragraph" w:styleId="Annotationtext">
    <w:name w:val="annotation text"/>
    <w:basedOn w:val="Normal"/>
    <w:link w:val="CommentTextChar"/>
    <w:uiPriority w:val="99"/>
    <w:semiHidden/>
    <w:unhideWhenUsed/>
    <w:qFormat/>
    <w:pPr>
      <w:spacing w:lineRule="auto" w:line="240"/>
    </w:pPr>
    <w:rPr>
      <w:sz w:val="20"/>
      <w:szCs w:val="20"/>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chilika.com/visit-chilika.php" TargetMode="External"/><Relationship Id="rId3" Type="http://schemas.openxmlformats.org/officeDocument/2006/relationships/hyperlink" Target="https://www.ijeat.org/wp-content/uploads/papers/v7i3/C5315027318.pdf" TargetMode="External"/><Relationship Id="rId4" Type="http://schemas.openxmlformats.org/officeDocument/2006/relationships/hyperlink" Target="https://sentiwiki.copernicus.eu/web/s2-mission" TargetMode="External"/><Relationship Id="rId5" Type="http://schemas.openxmlformats.org/officeDocument/2006/relationships/hyperlink" Target="https://doi.org/10.1016/j.rse.2017.06.031" TargetMode="External"/><Relationship Id="rId6" Type="http://schemas.openxmlformats.org/officeDocument/2006/relationships/hyperlink" Target="https://doi.org/10.1016/j.ijforecast.2007.05.005" TargetMode="External"/><Relationship Id="rId7" Type="http://schemas.openxmlformats.org/officeDocument/2006/relationships/hyperlink" Target="https://doi.org/10.48550/arXiv.2409.00489" TargetMode="External"/><Relationship Id="rId8" Type="http://schemas.openxmlformats.org/officeDocument/2006/relationships/hyperlink" Target="https://doi.org/10.1016/S0034-4257(02)00096-2" TargetMode="External"/><Relationship Id="rId9" Type="http://schemas.openxmlformats.org/officeDocument/2006/relationships/hyperlink" Target="https://doi.org/10.1038/s41586-021-03436-z" TargetMode="External"/><Relationship Id="rId10" Type="http://schemas.openxmlformats.org/officeDocument/2006/relationships/hyperlink" Target="https://www.chilika.com/pdf/Macrophytes Workshop 17-18 Jan 2011 Background Paper.pdf" TargetMode="External"/><Relationship Id="rId11" Type="http://schemas.openxmlformats.org/officeDocument/2006/relationships/hyperlink" Target="https://doi.org/10.1016/j.rse.2006.07.012" TargetMode="External"/><Relationship Id="rId12" Type="http://schemas.openxmlformats.org/officeDocument/2006/relationships/hyperlink" Target="https://doi.org/10.1175/1520-0469(1969)26&lt;636:APARBN&gt;2.0.CO;2" TargetMode="External"/><Relationship Id="rId13" Type="http://schemas.openxmlformats.org/officeDocument/2006/relationships/hyperlink" Target="https://doi.org/10.1080/01431169608948714" TargetMode="External"/><Relationship Id="rId14" Type="http://schemas.openxmlformats.org/officeDocument/2006/relationships/hyperlink" Target="https://doi.org/10.1038/ncomms13603" TargetMode="External"/><Relationship Id="rId15" Type="http://schemas.openxmlformats.org/officeDocument/2006/relationships/hyperlink" Target="https://pib.gov.in/PressReleasePage.aspx?PRID=2045232" TargetMode="External"/><Relationship Id="rId16" Type="http://schemas.openxmlformats.org/officeDocument/2006/relationships/hyperlink" Target="https://doi.org/10.1127/fal/2014/0664" TargetMode="External"/><Relationship Id="rId17" Type="http://schemas.openxmlformats.org/officeDocument/2006/relationships/hyperlink" Target="https://doi.org/10.1016/j.rse.2011.10.016" TargetMode="External"/><Relationship Id="rId18" Type="http://schemas.openxmlformats.org/officeDocument/2006/relationships/hyperlink" Target="https://huggingface.co/ibm-nasa-geospatial/Prithvi-EO-1.0-100M" TargetMode="External"/><Relationship Id="rId19" Type="http://schemas.openxmlformats.org/officeDocument/2006/relationships/hyperlink" Target="https://doi.org/10.1016/j.tree.2005.05.011" TargetMode="External"/><Relationship Id="rId20" Type="http://schemas.openxmlformats.org/officeDocument/2006/relationships/hyperlink" Target="https://moef.gov.in/uploads/2019/12/gwo_e.pdf" TargetMode="External"/><Relationship Id="rId21" Type="http://schemas.openxmlformats.org/officeDocument/2006/relationships/hyperlink" Target="https://rsis.ramsar.org/ris/1211" TargetMode="External"/><Relationship Id="rId22" Type="http://schemas.openxmlformats.org/officeDocument/2006/relationships/hyperlink" Target="https://rsis.ramsar.org/ris/1212" TargetMode="External"/><Relationship Id="rId23" Type="http://schemas.openxmlformats.org/officeDocument/2006/relationships/hyperlink" Target="https://rsis.ramsar.org/ris/2547" TargetMode="External"/><Relationship Id="rId24" Type="http://schemas.openxmlformats.org/officeDocument/2006/relationships/hyperlink" Target="https://doi.org/10.1007/s40808-018-0431-3" TargetMode="External"/><Relationship Id="rId25" Type="http://schemas.openxmlformats.org/officeDocument/2006/relationships/hyperlink" Target="https://doi.org/10.1371/journal.pone.0231866" TargetMode="External"/><Relationship Id="rId26" Type="http://schemas.openxmlformats.org/officeDocument/2006/relationships/hyperlink" Target="https://doi.org/10.3390/rs18020293" TargetMode="External"/><Relationship Id="rId27" Type="http://schemas.openxmlformats.org/officeDocument/2006/relationships/hyperlink" Target="https://doi.org/10.48550/arXiv.2412.02732" TargetMode="External"/><Relationship Id="rId28" Type="http://schemas.openxmlformats.org/officeDocument/2006/relationships/hyperlink" Target="https://doi.org/10.1175/1520-0493(1989)117&lt;2230:ANLAWF&gt;2.0.CO;2" TargetMode="External"/><Relationship Id="rId29" Type="http://schemas.openxmlformats.org/officeDocument/2006/relationships/hyperlink" Target="https://doi.org/10.3402/tellusa.v46i3.15481" TargetMode="External"/><Relationship Id="rId30" Type="http://schemas.openxmlformats.org/officeDocument/2006/relationships/image" Target="media/image1.png"/><Relationship Id="rId31" Type="http://schemas.openxmlformats.org/officeDocument/2006/relationships/image" Target="media/image2.png"/><Relationship Id="rId32" Type="http://schemas.openxmlformats.org/officeDocument/2006/relationships/image" Target="media/image3.png"/><Relationship Id="rId33" Type="http://schemas.openxmlformats.org/officeDocument/2006/relationships/fontTable" Target="fontTable.xml"/><Relationship Id="rId34" Type="http://schemas.openxmlformats.org/officeDocument/2006/relationships/settings" Target="settings.xml"/><Relationship Id="rId35"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181</TotalTime>
  <Application>LibreOffice/7.3.7.2$Linux_X86_64 LibreOffice_project/30$Build-2</Application>
  <AppVersion>15.0000</AppVersion>
  <Pages>30</Pages>
  <Words>12867</Words>
  <Characters>75597</Characters>
  <CharactersWithSpaces>87496</CharactersWithSpaces>
  <Paragraphs>954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2026-10-17T11:21:00Z</dcterms:created>
  <dc:creator>Ramachandra Prasad</dc:creator>
  <dc:description/>
  <dc:language>en-IN</dc:language>
  <cp:lastModifiedBy/>
  <dcterms:modified xsi:type="dcterms:W3CDTF">2026-10-31T04:17:28Z</dcterms:modified>
  <cp:revision>18</cp:revision>
  <dc:subject/>
  <dc:title/>
</cp:coreProperties>
</file>

<file path=docProps/custom.xml><?xml version="1.0" encoding="utf-8"?>
<Properties xmlns="http://schemas.openxmlformats.org/officeDocument/2006/custom-properties" xmlns:vt="http://schemas.openxmlformats.org/officeDocument/2006/docPropsVTypes"/>
</file>