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83F80" w14:textId="77777777" w:rsidR="00352D6A" w:rsidRDefault="00000000">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 xml:space="preserve">EcoTwin: Trajectory-Based Ecosystem Analog Retrieval and Forecasting with </w:t>
      </w:r>
    </w:p>
    <w:p w14:paraId="2668E473" w14:textId="77777777" w:rsidR="00352D6A" w:rsidRDefault="00000000">
      <w:pPr>
        <w:spacing w:after="0" w:line="360" w:lineRule="auto"/>
        <w:jc w:val="center"/>
        <w:rPr>
          <w:rFonts w:ascii="Times New Roman" w:hAnsi="Times New Roman" w:cs="Times New Roman"/>
          <w:b/>
          <w:bCs/>
          <w:sz w:val="20"/>
          <w:szCs w:val="20"/>
        </w:rPr>
      </w:pPr>
      <w:r>
        <w:rPr>
          <w:rFonts w:ascii="Times New Roman" w:hAnsi="Times New Roman" w:cs="Times New Roman"/>
          <w:b/>
          <w:bCs/>
          <w:sz w:val="20"/>
          <w:szCs w:val="20"/>
        </w:rPr>
        <w:t>Geospatial Foundation Models</w:t>
      </w:r>
    </w:p>
    <w:p w14:paraId="2110C62D" w14:textId="77777777" w:rsidR="00352D6A" w:rsidRDefault="00352D6A">
      <w:pPr>
        <w:spacing w:after="0" w:line="360" w:lineRule="auto"/>
        <w:jc w:val="center"/>
        <w:rPr>
          <w:rFonts w:ascii="Times New Roman" w:hAnsi="Times New Roman" w:cs="Times New Roman"/>
          <w:b/>
          <w:bCs/>
          <w:sz w:val="20"/>
          <w:szCs w:val="20"/>
        </w:rPr>
      </w:pPr>
    </w:p>
    <w:p w14:paraId="1B8F813E" w14:textId="77777777" w:rsidR="00352D6A" w:rsidRDefault="00000000">
      <w:pPr>
        <w:spacing w:after="0" w:line="360" w:lineRule="auto"/>
        <w:jc w:val="center"/>
        <w:rPr>
          <w:rFonts w:ascii="Times New Roman" w:hAnsi="Times New Roman" w:cs="Times New Roman"/>
          <w:sz w:val="20"/>
          <w:szCs w:val="20"/>
        </w:rPr>
      </w:pPr>
      <w:r>
        <w:rPr>
          <w:rFonts w:ascii="Times New Roman" w:hAnsi="Times New Roman" w:cs="Times New Roman"/>
          <w:sz w:val="20"/>
          <w:szCs w:val="20"/>
        </w:rPr>
        <w:t>Vikash Kumar, Peeyush Prashant, Ankit Kumar and P. Rama Chandra Prasad</w:t>
      </w:r>
    </w:p>
    <w:p w14:paraId="6B5DF9A4" w14:textId="77777777" w:rsidR="00352D6A" w:rsidRDefault="00000000">
      <w:pPr>
        <w:pStyle w:val="Notesoncontributors"/>
        <w:jc w:val="center"/>
        <w:rPr>
          <w:i/>
          <w:iCs/>
          <w:sz w:val="20"/>
          <w:szCs w:val="20"/>
        </w:rPr>
      </w:pPr>
      <w:r>
        <w:rPr>
          <w:i/>
          <w:iCs/>
          <w:sz w:val="20"/>
          <w:szCs w:val="20"/>
        </w:rPr>
        <w:t>Lab of Spatial Informatics, International Institute of Information Technology - Hyderabad, Hyderabad, Telangana, 500032, India</w:t>
      </w:r>
    </w:p>
    <w:p w14:paraId="0F3F0BC8" w14:textId="77777777" w:rsidR="00352D6A" w:rsidRDefault="00352D6A">
      <w:pPr>
        <w:spacing w:after="0" w:line="360" w:lineRule="auto"/>
        <w:jc w:val="center"/>
        <w:rPr>
          <w:rFonts w:ascii="Times New Roman" w:hAnsi="Times New Roman" w:cs="Times New Roman"/>
          <w:sz w:val="20"/>
          <w:szCs w:val="20"/>
        </w:rPr>
      </w:pPr>
    </w:p>
    <w:p w14:paraId="00B3AD3C" w14:textId="77777777" w:rsidR="00352D6A" w:rsidRDefault="00352D6A">
      <w:pPr>
        <w:spacing w:after="0" w:line="360" w:lineRule="auto"/>
        <w:jc w:val="both"/>
        <w:rPr>
          <w:rFonts w:ascii="Times New Roman" w:hAnsi="Times New Roman" w:cs="Times New Roman"/>
          <w:b/>
          <w:bCs/>
          <w:sz w:val="20"/>
          <w:szCs w:val="20"/>
        </w:rPr>
      </w:pPr>
    </w:p>
    <w:p w14:paraId="08098568"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Abstract</w:t>
      </w:r>
    </w:p>
    <w:p w14:paraId="704F9982"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Freshwater lakes and wetlands face increasing environmental pressures, yet long-term field observations remain unavailable for many water bodies. This limits the ability to assess their changing conditions and anticipate future trajectories. We present EcoTwin, a geospatial framework that uses ecosystem analogs to support directional forecasting from satellite observations. Using Sentinel-2 imagery and a pretrained Earth-observation foundation model (Prithvi-EO), EcoTwin represents each lake-year as an embedding of the lake surface and its 500 m shoreline, and each lake's five-year spectral-temporal trajectory as a sequence of these embeddings. A sliding-window similarity search identifies lakes with comparable trajectories, and a transparent forecasting procedure transfers their observed spectral-index changes to the target lake. The system reports an uncertain classification when fewer than two analogs provide usable evidence. We demonstrate the workflow on 829 Indian lakes over 2016–2025 and examine five Ramsar wetlands in detail. The retrieval process ranked Pangong Tso first among 828 candidates for Tso Morari, a high-altitude lake in Ladakh, without using location as an input, and the Chilika results are discussed against its documented history of aquatic weed expansion. Across 60 forecast cells in the case studies, 4 (6.7%) were classified as uncertain. These results demonstrate the feasibility of integrating foundation-model embeddings, trajectory-based retrieval, and interpretable directional forecasting within a scalable geospatial workflow. Formal hindcasting and independent ecological validation remain necessary to establish predictive accuracy.</w:t>
      </w:r>
    </w:p>
    <w:p w14:paraId="38C0F472" w14:textId="77777777" w:rsidR="00352D6A" w:rsidRDefault="00352D6A">
      <w:pPr>
        <w:spacing w:after="0" w:line="360" w:lineRule="auto"/>
        <w:jc w:val="both"/>
        <w:rPr>
          <w:rFonts w:ascii="Times New Roman" w:hAnsi="Times New Roman" w:cs="Times New Roman"/>
          <w:b/>
          <w:bCs/>
          <w:sz w:val="20"/>
          <w:szCs w:val="20"/>
        </w:rPr>
      </w:pPr>
    </w:p>
    <w:p w14:paraId="5D6E7DF9" w14:textId="77777777" w:rsidR="00352D6A" w:rsidRDefault="00000000">
      <w:pPr>
        <w:pStyle w:val="APABody"/>
        <w:spacing w:line="360" w:lineRule="auto"/>
        <w:ind w:firstLine="0"/>
        <w:rPr>
          <w:sz w:val="20"/>
          <w:szCs w:val="18"/>
        </w:rPr>
      </w:pPr>
      <w:r>
        <w:rPr>
          <w:rFonts w:cs="Times New Roman"/>
          <w:b/>
          <w:bCs/>
          <w:sz w:val="20"/>
          <w:szCs w:val="18"/>
        </w:rPr>
        <w:t>Keywords</w:t>
      </w:r>
      <w:r>
        <w:rPr>
          <w:rFonts w:cs="Times New Roman"/>
          <w:i/>
          <w:iCs/>
          <w:sz w:val="20"/>
          <w:szCs w:val="18"/>
        </w:rPr>
        <w:t xml:space="preserve">: </w:t>
      </w:r>
      <w:r>
        <w:rPr>
          <w:rFonts w:cs="Times New Roman"/>
          <w:sz w:val="20"/>
          <w:szCs w:val="18"/>
        </w:rPr>
        <w:t>Geospatial Foundation Models, Prithvi, Remote Sensing, Sentinel-2, HydroLAKES, Ecosystem Analogs, Vector Search, pgvector, NDCI, Spectral Indices, Ramsar Wetlands, Trajectory Similarity</w:t>
      </w:r>
    </w:p>
    <w:p w14:paraId="72E39B03" w14:textId="77777777" w:rsidR="00352D6A" w:rsidRDefault="00352D6A">
      <w:pPr>
        <w:spacing w:after="0" w:line="360" w:lineRule="auto"/>
        <w:jc w:val="both"/>
        <w:rPr>
          <w:rFonts w:ascii="Times New Roman" w:hAnsi="Times New Roman" w:cs="Times New Roman"/>
          <w:b/>
          <w:bCs/>
          <w:sz w:val="20"/>
          <w:szCs w:val="20"/>
        </w:rPr>
      </w:pPr>
    </w:p>
    <w:p w14:paraId="20BEAEF7" w14:textId="77777777" w:rsidR="00352D6A" w:rsidRDefault="00352D6A">
      <w:pPr>
        <w:spacing w:after="0" w:line="360" w:lineRule="auto"/>
        <w:jc w:val="both"/>
        <w:rPr>
          <w:rFonts w:ascii="Times New Roman" w:hAnsi="Times New Roman" w:cs="Times New Roman"/>
          <w:b/>
          <w:bCs/>
          <w:sz w:val="20"/>
          <w:szCs w:val="20"/>
        </w:rPr>
      </w:pPr>
    </w:p>
    <w:p w14:paraId="4E4AEA5C" w14:textId="77777777" w:rsidR="00352D6A" w:rsidRDefault="00352D6A">
      <w:pPr>
        <w:spacing w:after="0" w:line="360" w:lineRule="auto"/>
        <w:jc w:val="both"/>
        <w:rPr>
          <w:rFonts w:ascii="Times New Roman" w:hAnsi="Times New Roman" w:cs="Times New Roman"/>
          <w:b/>
          <w:bCs/>
          <w:sz w:val="20"/>
          <w:szCs w:val="20"/>
        </w:rPr>
      </w:pPr>
    </w:p>
    <w:p w14:paraId="2B0DA0D7" w14:textId="77777777" w:rsidR="00352D6A" w:rsidRDefault="00352D6A">
      <w:pPr>
        <w:spacing w:after="0" w:line="360" w:lineRule="auto"/>
        <w:jc w:val="both"/>
        <w:rPr>
          <w:rFonts w:ascii="Times New Roman" w:hAnsi="Times New Roman" w:cs="Times New Roman"/>
          <w:b/>
          <w:bCs/>
          <w:sz w:val="20"/>
          <w:szCs w:val="20"/>
        </w:rPr>
      </w:pPr>
    </w:p>
    <w:p w14:paraId="44E034A4" w14:textId="77777777" w:rsidR="00352D6A" w:rsidRDefault="00352D6A">
      <w:pPr>
        <w:spacing w:after="0" w:line="360" w:lineRule="auto"/>
        <w:jc w:val="both"/>
        <w:rPr>
          <w:rFonts w:ascii="Times New Roman" w:hAnsi="Times New Roman" w:cs="Times New Roman"/>
          <w:b/>
          <w:bCs/>
          <w:sz w:val="20"/>
          <w:szCs w:val="20"/>
        </w:rPr>
      </w:pPr>
    </w:p>
    <w:p w14:paraId="68505DEE" w14:textId="77777777" w:rsidR="00352D6A" w:rsidRDefault="00352D6A">
      <w:pPr>
        <w:spacing w:after="0" w:line="360" w:lineRule="auto"/>
        <w:jc w:val="both"/>
        <w:rPr>
          <w:rFonts w:ascii="Times New Roman" w:hAnsi="Times New Roman" w:cs="Times New Roman"/>
          <w:b/>
          <w:bCs/>
          <w:sz w:val="20"/>
          <w:szCs w:val="20"/>
        </w:rPr>
      </w:pPr>
    </w:p>
    <w:p w14:paraId="6E3051F1" w14:textId="77777777" w:rsidR="00352D6A" w:rsidRDefault="00352D6A">
      <w:pPr>
        <w:spacing w:after="0" w:line="360" w:lineRule="auto"/>
        <w:jc w:val="both"/>
        <w:rPr>
          <w:rFonts w:ascii="Times New Roman" w:hAnsi="Times New Roman" w:cs="Times New Roman"/>
          <w:b/>
          <w:bCs/>
          <w:sz w:val="20"/>
          <w:szCs w:val="20"/>
        </w:rPr>
      </w:pPr>
    </w:p>
    <w:p w14:paraId="4EC48CA0" w14:textId="77777777" w:rsidR="00352D6A" w:rsidRDefault="00352D6A">
      <w:pPr>
        <w:spacing w:after="0" w:line="360" w:lineRule="auto"/>
        <w:jc w:val="both"/>
        <w:rPr>
          <w:rFonts w:ascii="Times New Roman" w:hAnsi="Times New Roman" w:cs="Times New Roman"/>
          <w:b/>
          <w:bCs/>
          <w:sz w:val="20"/>
          <w:szCs w:val="20"/>
        </w:rPr>
      </w:pPr>
    </w:p>
    <w:p w14:paraId="6553BC8D" w14:textId="77777777" w:rsidR="00352D6A" w:rsidRDefault="00352D6A">
      <w:pPr>
        <w:spacing w:after="0" w:line="360" w:lineRule="auto"/>
        <w:jc w:val="both"/>
        <w:rPr>
          <w:rFonts w:ascii="Times New Roman" w:hAnsi="Times New Roman" w:cs="Times New Roman"/>
          <w:b/>
          <w:bCs/>
          <w:sz w:val="20"/>
          <w:szCs w:val="20"/>
        </w:rPr>
      </w:pPr>
    </w:p>
    <w:p w14:paraId="587552AD" w14:textId="77777777" w:rsidR="00352D6A" w:rsidRDefault="00352D6A">
      <w:pPr>
        <w:spacing w:after="0" w:line="360" w:lineRule="auto"/>
        <w:jc w:val="both"/>
        <w:rPr>
          <w:rFonts w:ascii="Times New Roman" w:hAnsi="Times New Roman" w:cs="Times New Roman"/>
          <w:b/>
          <w:bCs/>
          <w:sz w:val="20"/>
          <w:szCs w:val="20"/>
        </w:rPr>
      </w:pPr>
    </w:p>
    <w:p w14:paraId="27F18E71" w14:textId="77777777" w:rsidR="00352D6A" w:rsidRDefault="00352D6A">
      <w:pPr>
        <w:spacing w:after="0" w:line="360" w:lineRule="auto"/>
        <w:jc w:val="both"/>
        <w:rPr>
          <w:rFonts w:ascii="Times New Roman" w:hAnsi="Times New Roman" w:cs="Times New Roman"/>
          <w:b/>
          <w:bCs/>
          <w:sz w:val="20"/>
          <w:szCs w:val="20"/>
        </w:rPr>
      </w:pPr>
    </w:p>
    <w:p w14:paraId="78F2457C" w14:textId="77777777" w:rsidR="00352D6A" w:rsidRDefault="00352D6A">
      <w:pPr>
        <w:spacing w:after="0" w:line="360" w:lineRule="auto"/>
        <w:jc w:val="both"/>
        <w:rPr>
          <w:rFonts w:ascii="Times New Roman" w:hAnsi="Times New Roman" w:cs="Times New Roman"/>
          <w:b/>
          <w:bCs/>
          <w:sz w:val="20"/>
          <w:szCs w:val="20"/>
        </w:rPr>
      </w:pPr>
    </w:p>
    <w:p w14:paraId="14EBE131"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1. Introduction</w:t>
      </w:r>
    </w:p>
    <w:p w14:paraId="382AC62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Earth observation satellites provide repeated measurements of ecosystems over spatial and temporal scales that field surveys alone cannot cover. Wetlands, which include lakes, are declining globally: where data are available, an estimated 35% of wetland area was lost between 1970 and 2015 (Ramsar Convention on Wetlands, 2018). Sentinel-2 multispectral imagery supports lake monitoring by capturing information about water, vegetation, and surface conditions. However, interpreting these observations to assess changes in lake ecosystems remains difficult, particularly where long-term field measurements are unavailable. EcoTwin addresses this limitation by representing lakes as numerical feature vectors derived from satellite imagery and identifying lakes with similar representations in a reference collection.</w:t>
      </w:r>
    </w:p>
    <w:p w14:paraId="5C01A116" w14:textId="77777777" w:rsidR="00352D6A" w:rsidRDefault="00352D6A">
      <w:pPr>
        <w:spacing w:after="0" w:line="240" w:lineRule="auto"/>
        <w:jc w:val="both"/>
        <w:rPr>
          <w:rFonts w:ascii="Times New Roman" w:hAnsi="Times New Roman" w:cs="Times New Roman"/>
          <w:sz w:val="20"/>
          <w:szCs w:val="20"/>
        </w:rPr>
      </w:pPr>
    </w:p>
    <w:p w14:paraId="458DA2A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approach draws on analog-based forecasting, which uses historical states resembling the current state of a system to infer its subsequent behaviour (Lorenz, 1969; van den Dool, 1989). Finding sufficiently similar analogs within large historical datasets remains a recognised challenge (van den Dool, 1994). Structured analogies have also been used to identify and combine evidence from multiple historical cases (Green &amp; Armstrong, 2007). In lake monitoring, this approach raises a specific question: can the observed changes in historically comparable lakes provide useful evidence about the likely direction of change in a target lake when its own historical observations are limited?</w:t>
      </w:r>
    </w:p>
    <w:p w14:paraId="65A6D74F" w14:textId="77777777" w:rsidR="00352D6A" w:rsidRDefault="00352D6A">
      <w:pPr>
        <w:spacing w:after="0" w:line="240" w:lineRule="auto"/>
        <w:jc w:val="both"/>
        <w:rPr>
          <w:rFonts w:ascii="Times New Roman" w:hAnsi="Times New Roman" w:cs="Times New Roman"/>
          <w:sz w:val="20"/>
          <w:szCs w:val="20"/>
        </w:rPr>
      </w:pPr>
    </w:p>
    <w:p w14:paraId="4C9ED355"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Geospatial foundation models offer a way to compare satellite observations through learned representations. Prithvi-EO-2.0 has demonstrated strong performance on downstream benchmark tasks (Szwarcman et al., 2024), while an independent evaluation of the original Prithvi model's domain adaptability across image-analysis tasks reported both strengths and limitations (Hsu et al., 2024). The use of AlphaEarth embeddings for supervised wetland classification also demonstrates the application of learned geospatial representations to ecological mapping (Ryan et al., 2026). These studies support the use of learned representations for analysing Earth observation data, but they do not establish whether such representations can identify lakes with comparable historical trajectories or provide reliable forecasts of environmental change.</w:t>
      </w:r>
    </w:p>
    <w:p w14:paraId="041E315C" w14:textId="77777777" w:rsidR="00352D6A" w:rsidRDefault="00352D6A">
      <w:pPr>
        <w:spacing w:after="0" w:line="240" w:lineRule="auto"/>
        <w:jc w:val="both"/>
        <w:rPr>
          <w:rFonts w:ascii="Times New Roman" w:hAnsi="Times New Roman" w:cs="Times New Roman"/>
          <w:sz w:val="20"/>
          <w:szCs w:val="20"/>
        </w:rPr>
      </w:pPr>
    </w:p>
    <w:p w14:paraId="155842DB"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EcoTwin compares sequences of five consecutive annual lake embeddings. It retrieves candidate lakes with similar historical trajectories and uses the subsequent changes observed in those lakes to estimate the likely direction of change in the target lake. Geographic coordinates are not part of the similarity calculation, and every other lake in the cohort is a candidate. This design separates the identification of comparable ecosystems from the assessment of whether their historical changes provide useful predictive information.</w:t>
      </w:r>
    </w:p>
    <w:p w14:paraId="76099A61" w14:textId="77777777" w:rsidR="00352D6A" w:rsidRDefault="00352D6A">
      <w:pPr>
        <w:spacing w:after="0" w:line="240" w:lineRule="auto"/>
        <w:jc w:val="both"/>
        <w:rPr>
          <w:rFonts w:ascii="Times New Roman" w:hAnsi="Times New Roman" w:cs="Times New Roman"/>
          <w:sz w:val="20"/>
          <w:szCs w:val="20"/>
        </w:rPr>
      </w:pPr>
    </w:p>
    <w:p w14:paraId="69747EB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derives these embeddings with the Prithvi-EO-1.0-100M foundation model from Sentinel-2 imagery of each HydroLAKES lake polygon and a 500 m shoreline ring (Sections 2 and 3), and retains the contributing analogs and their matched windows, including time-shifted matches, for inspection.</w:t>
      </w:r>
    </w:p>
    <w:p w14:paraId="352EEA1C" w14:textId="77777777" w:rsidR="00352D6A" w:rsidRDefault="00352D6A">
      <w:pPr>
        <w:spacing w:after="0" w:line="240" w:lineRule="auto"/>
        <w:jc w:val="both"/>
        <w:rPr>
          <w:rFonts w:ascii="Times New Roman" w:hAnsi="Times New Roman" w:cs="Times New Roman"/>
          <w:sz w:val="20"/>
          <w:szCs w:val="20"/>
        </w:rPr>
      </w:pPr>
    </w:p>
    <w:p w14:paraId="63D7F8A8"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directional outlook is based on changes in four spectral indicators, NDCI, NDVI, NDWI, and NDTI (Section 2.2). These describe aspects of lake-surface conditions rather than ecosystem health directly, so </w:t>
      </w:r>
      <w:r>
        <w:rPr>
          <w:rFonts w:ascii="Times New Roman" w:hAnsi="Times New Roman" w:cs="Times New Roman"/>
          <w:sz w:val="20"/>
          <w:szCs w:val="20"/>
        </w:rPr>
        <w:lastRenderedPageBreak/>
        <w:t>EcoTwin’s outputs indicate the expected direction of change in remote-sensing indicators, not definitive changes in ecological condition.</w:t>
      </w:r>
    </w:p>
    <w:p w14:paraId="6F6B1F9E" w14:textId="77777777" w:rsidR="00352D6A" w:rsidRDefault="00352D6A">
      <w:pPr>
        <w:spacing w:after="0" w:line="240" w:lineRule="auto"/>
        <w:jc w:val="both"/>
        <w:rPr>
          <w:rFonts w:ascii="Times New Roman" w:hAnsi="Times New Roman" w:cs="Times New Roman"/>
          <w:sz w:val="20"/>
          <w:szCs w:val="20"/>
        </w:rPr>
      </w:pPr>
    </w:p>
    <w:p w14:paraId="7BA8E163" w14:textId="77777777" w:rsidR="00352D6A" w:rsidRDefault="00000000">
      <w:pPr>
        <w:spacing w:after="0" w:line="360" w:lineRule="auto"/>
        <w:jc w:val="both"/>
        <w:rPr>
          <w:rFonts w:ascii="Times New Roman" w:hAnsi="Times New Roman" w:cs="Times New Roman"/>
          <w:b/>
          <w:bCs/>
          <w:i/>
          <w:iCs/>
          <w:sz w:val="20"/>
          <w:szCs w:val="20"/>
        </w:rPr>
      </w:pPr>
      <w:r>
        <w:rPr>
          <w:rFonts w:ascii="Times New Roman" w:hAnsi="Times New Roman" w:cs="Times New Roman"/>
          <w:b/>
          <w:bCs/>
          <w:i/>
          <w:iCs/>
          <w:sz w:val="20"/>
          <w:szCs w:val="20"/>
        </w:rPr>
        <w:t>1.1 Hypothesis and Research Objectives</w:t>
      </w:r>
    </w:p>
    <w:p w14:paraId="18DB8FD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This study tests the hypothesis that lakes with similar learned geospatial representations and historical trajectories can provide useful analogs for estimating the direction of subsequent environmental change in a target lake. The hypothesis distinguishes two tasks: retrieving lakes with comparable satellite-derived representations and evaluating whether their subsequent indicator changes provide predictive information about the target lake. The study evaluates 829 Indian lakes over 2016–2025 and uses five Ramsar sites to illustrate the framework's application. Each target trajectory ends at the latest observed year, 2025, which is the forecast origin; the outlook covers 2026–2028 and is therefore a prospective estimate, not a retrospectively validated prediction. The three-year horizon is a design choice dictated by the ten-year record, not a demonstrated limit of reliable forecasting. The study addresses two research questions: (i) can a geospatial foundation model retrieve spectrally comparable lakes without using geographic location as a similarity feature; and (ii) can historical changes in retrieved analogs support a three-year directional outlook that can be evaluated against observed changes?</w:t>
      </w:r>
    </w:p>
    <w:p w14:paraId="3A2B300F" w14:textId="77777777" w:rsidR="00352D6A" w:rsidRDefault="00352D6A">
      <w:pPr>
        <w:spacing w:after="0" w:line="240" w:lineRule="auto"/>
        <w:jc w:val="both"/>
        <w:rPr>
          <w:rFonts w:ascii="Times New Roman" w:hAnsi="Times New Roman" w:cs="Times New Roman"/>
          <w:sz w:val="20"/>
          <w:szCs w:val="20"/>
        </w:rPr>
      </w:pPr>
    </w:p>
    <w:p w14:paraId="25DF855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combines satellite-image processing, foundation-model embeddings, temporal analog retrieval, and environmental-index trajectories without training a separate predictive model for each lake. Its purpose is to identify potentially informative ecological comparisons and provide a transparent basis for further investigation. The usefulness of the resulting outlooks depends not only on the similarity of the retrieved lakes but also on whether their subsequent changes predict those of the target lake.</w:t>
      </w:r>
    </w:p>
    <w:p w14:paraId="0B0A546A" w14:textId="77777777" w:rsidR="00352D6A" w:rsidRDefault="00352D6A">
      <w:pPr>
        <w:spacing w:after="0" w:line="240" w:lineRule="auto"/>
        <w:jc w:val="both"/>
        <w:rPr>
          <w:rFonts w:ascii="Times New Roman" w:hAnsi="Times New Roman" w:cs="Times New Roman"/>
          <w:sz w:val="20"/>
          <w:szCs w:val="20"/>
        </w:rPr>
      </w:pPr>
    </w:p>
    <w:p w14:paraId="26550DC6"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2. Data and Spectral Indices</w:t>
      </w:r>
    </w:p>
    <w:p w14:paraId="27FE1F4D"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2.1 Data Sources and Temporal Coverage</w:t>
      </w:r>
    </w:p>
    <w:p w14:paraId="5B03938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combines lake boundaries and geographic attributes from HydroLAKES (Messager et al., 2016) with multispectral satellite observations from Sentinel-2 (European Space Agency, n.d.). HydroLAKES provides the geometries used to extract lake-specific observations and the associated attributes used to describe the study lakes. The database retains the lake identifier, name, country, geometry, area, elevation, pour-point, type, depth, volume, and watershed area. The analysis covers all 829 HydroLAKES polygons in India with an area of at least 2 km²; no lake meeting this threshold was excluded. The threshold keeps imagery acquisition, embedding generation, and data storage within the available Google Earth Engine and computational resources, while ensuring that each lake spans several 480 m model tokens.</w:t>
      </w:r>
    </w:p>
    <w:p w14:paraId="33408C79" w14:textId="77777777" w:rsidR="00352D6A" w:rsidRDefault="00352D6A">
      <w:pPr>
        <w:spacing w:after="0" w:line="240" w:lineRule="auto"/>
        <w:jc w:val="both"/>
        <w:rPr>
          <w:rFonts w:ascii="Times New Roman" w:hAnsi="Times New Roman" w:cs="Times New Roman"/>
          <w:sz w:val="20"/>
          <w:szCs w:val="20"/>
        </w:rPr>
      </w:pPr>
    </w:p>
    <w:p w14:paraId="4E59C849"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Sentinel-2 imagery provides the primary remote-sensing input. Image filtering, compositing, and export were performed in Google Earth Engine (Gorelick et al., 2017) using the harmonized Level-2A surface-reflectance collection for every year; no Level-1C imagery is used. The analysis covers 2016–2025. Of the 8,290 possible lake-years (829 lakes × 10 years), 8,268 have a complete record: 816 in 2016, 820 in 2017, and all 829 in each year from 2018 to 2025 (Table 1). Of the 22 missing lake-years, 19 have no Sentinel-2 surface-reflectance scenes in Earth Engine (coastal lakes in Tamil Nadu and Puducherry; 11 in 2016 and 8 in 2017), and 3 had fewer than the 100 cloud-free lake pixels required for an embedding and were excluded. Missing lake-years are left absent rather than interpolated, because temporal analog retrieval requires five consecutive annual observations.</w:t>
      </w:r>
    </w:p>
    <w:p w14:paraId="6565798D" w14:textId="77777777" w:rsidR="00352D6A" w:rsidRDefault="00352D6A">
      <w:pPr>
        <w:spacing w:after="0" w:line="240" w:lineRule="auto"/>
        <w:jc w:val="both"/>
        <w:rPr>
          <w:rFonts w:ascii="Times New Roman" w:hAnsi="Times New Roman" w:cs="Times New Roman"/>
          <w:sz w:val="20"/>
          <w:szCs w:val="20"/>
        </w:rPr>
      </w:pPr>
    </w:p>
    <w:p w14:paraId="00F4F8A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Prithvi embedding pipeline uses six Sentinel-2 bands: B2 (blue), B3 (green), B4 (red), B8A (narrow near-infrared), B11, and B12 (short-wave infrared). Prithvi-EO-1.0 was pre-trained on HLS Landsat-numbered bands B02–B07 (blue, green, red, narrow near-infrared, SWIR1, and SWIR2); B8A, B11, and B12 are their Sentinel-2 equivalents. Sentinel-2 bands B5–B7 are red-edge bands and B8 is broad near-infrared; none of these is part of the model input. A single 12-band annual image per lake-year (B1–B8, B8A, B11, B12, and a per-pixel count of cloud-free observations) serves both the embeddings and the spectral-index calculations, so the two procedures use the same observations and cloud mask.</w:t>
      </w:r>
    </w:p>
    <w:p w14:paraId="50F4F89C" w14:textId="77777777" w:rsidR="00352D6A" w:rsidRDefault="00352D6A">
      <w:pPr>
        <w:spacing w:after="0" w:line="240" w:lineRule="auto"/>
        <w:jc w:val="both"/>
        <w:rPr>
          <w:rFonts w:ascii="Times New Roman" w:hAnsi="Times New Roman" w:cs="Times New Roman"/>
          <w:sz w:val="20"/>
          <w:szCs w:val="20"/>
        </w:rPr>
      </w:pPr>
    </w:p>
    <w:p w14:paraId="60F26ADD"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2.2 Environmental Indices</w:t>
      </w:r>
    </w:p>
    <w:p w14:paraId="4EFA7EB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calculates four spectral indicators from lake-level reflectance statistics: the Normalized Difference Chlorophyll Index (NDCI), Normalized Difference Vegetation Index (NDVI), Normalized Difference Water Index (NDWI), and Normalized Difference Turbidity Index (NDTI) (Table 2). Each indicator captures a different spectral property and should be interpreted accordingly. NDCI serves as a proxy for chlorophyll-a in turbid, productive waters and may be less reliable in clear lakes such as Tso Morari (Mishra &amp; Mishra, 2012); NDVI characterises vegetation signals, including potential signals from aquatic and floating vegetation (Huete et al., 2002; Pettorelli et al., 2005); NDWI characterises open water through the contrast between green and near-infrared reflectance (McFeeters, 1996); and NDTI provides a relative indicator associated with suspended material and turbidity (Lacaux et al., 2007).</w:t>
      </w:r>
    </w:p>
    <w:p w14:paraId="7ADB4768" w14:textId="77777777" w:rsidR="00352D6A" w:rsidRDefault="00352D6A">
      <w:pPr>
        <w:spacing w:after="0" w:line="240" w:lineRule="auto"/>
        <w:jc w:val="both"/>
        <w:rPr>
          <w:rFonts w:ascii="Times New Roman" w:hAnsi="Times New Roman" w:cs="Times New Roman"/>
          <w:sz w:val="20"/>
          <w:szCs w:val="20"/>
        </w:rPr>
      </w:pPr>
    </w:p>
    <w:p w14:paraId="4A4DF41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All four indicators are calculated on demand from the stored mean reflectance of each band over the cloud-free 30 m pixels inside the lake polygon; shoreline pixels are excluded from these statistics. When a required input band is unavailable, the index is recorded as missing rather than assigned a default. NDTI is treated as a relative, qualitative indicator of turbidity, not as a calibrated estimate of suspended-sediment concentration, and its interpretation is restricted to water surfaces.</w:t>
      </w:r>
    </w:p>
    <w:p w14:paraId="38F7A023" w14:textId="77777777" w:rsidR="00352D6A" w:rsidRDefault="00352D6A">
      <w:pPr>
        <w:spacing w:after="0" w:line="360" w:lineRule="auto"/>
        <w:jc w:val="both"/>
        <w:rPr>
          <w:rFonts w:ascii="Times New Roman" w:hAnsi="Times New Roman" w:cs="Times New Roman"/>
          <w:b/>
          <w:bCs/>
          <w:sz w:val="20"/>
          <w:szCs w:val="20"/>
        </w:rPr>
      </w:pPr>
    </w:p>
    <w:p w14:paraId="439C6D60"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 Methodology</w:t>
      </w:r>
    </w:p>
    <w:p w14:paraId="631CD676"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3.1 Imagery Acquisition and Preprocessing</w:t>
      </w:r>
    </w:p>
    <w:p w14:paraId="645C5DDB"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uses a sequential offline pipeline to convert satellite observations into lake-level representations for temporal similarity search. The workflow comprises six stages: lake synchronisation, imagery acquisition, tile merging, embedding generation, embedding re-blending, and lake-feature generation (Figure 1). Each stage is launched through an API call that runs as a background job and records its progress in the database. Because every stage skips lake-years whose outputs are already present and current, processing can resume after an interruption without repeating completed operations or retrieving imagery that is already available locally.</w:t>
      </w:r>
    </w:p>
    <w:p w14:paraId="46899777" w14:textId="77777777" w:rsidR="00352D6A" w:rsidRDefault="00352D6A">
      <w:pPr>
        <w:spacing w:after="0" w:line="240" w:lineRule="auto"/>
        <w:jc w:val="both"/>
        <w:rPr>
          <w:rFonts w:ascii="Times New Roman" w:hAnsi="Times New Roman" w:cs="Times New Roman"/>
          <w:sz w:val="20"/>
          <w:szCs w:val="20"/>
        </w:rPr>
      </w:pPr>
    </w:p>
    <w:p w14:paraId="27848234"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pipeline first retrieves the target lake polygon from PostGIS and validates its geometry. A buffer of 3,500 m is applied around the lake boundary so that the encoder windows, which span 6.72 km, include the surrounding shoreline and landscape context. The buffered polygon, simplified at 30 m, defines the area requested from Earth Engine; it is divided into tiles of up to 25 km that are trimmed to the buffered shape, keeping each request below Earth Engine's download limit. All tiles and years are exported on one fixed global 30 m grid, so tiles merge without resampling and a lake's pixels align exactly across years. Depending on its size and shape, a lake may intersect one or more tiles.</w:t>
      </w:r>
    </w:p>
    <w:p w14:paraId="2183D3CB" w14:textId="77777777" w:rsidR="00352D6A" w:rsidRDefault="00352D6A">
      <w:pPr>
        <w:spacing w:after="0" w:line="240" w:lineRule="auto"/>
        <w:jc w:val="both"/>
        <w:rPr>
          <w:rFonts w:ascii="Times New Roman" w:hAnsi="Times New Roman" w:cs="Times New Roman"/>
          <w:sz w:val="20"/>
          <w:szCs w:val="20"/>
        </w:rPr>
      </w:pPr>
    </w:p>
    <w:p w14:paraId="5960D07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For each lake-year combination, the pipeline queries the Sentinel-2 harmonized surface-reflectance collection (COPERNICUS/S2_SR_HARMONIZED). Scenes with reported cloud cover of 20% or more are excluded. Unusable pixels are then masked with Cloud Score+ (cs_cdf ≥ 0.6 retained) together with the scene-classification classes for saturated pixels and snow or ice; the snow and ice mask also removes frozen surfaces, which affects high-altitude lakes such as Tso Morari in winter. The remaining observations are combined into an annual median composite for each pixel and spectral band:</w:t>
      </w:r>
    </w:p>
    <w:p w14:paraId="722B18A9" w14:textId="77777777" w:rsidR="00352D6A" w:rsidRDefault="00000000">
      <w:pPr>
        <w:spacing w:after="0" w:line="360" w:lineRule="auto"/>
        <w:jc w:val="center"/>
        <w:rPr>
          <w:rFonts w:ascii="Times New Roman"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annual,y</m:t>
              </m:r>
            </m:sub>
          </m:sSub>
          <m:d>
            <m:dPr>
              <m:ctrlPr>
                <w:rPr>
                  <w:rFonts w:ascii="Cambria Math" w:hAnsi="Cambria Math"/>
                </w:rPr>
              </m:ctrlPr>
            </m:dPr>
            <m:e>
              <m:r>
                <w:rPr>
                  <w:rFonts w:ascii="Cambria Math" w:hAnsi="Cambria Math"/>
                </w:rPr>
                <m:t>p,b</m:t>
              </m:r>
            </m:e>
          </m:d>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median</m:t>
                  </m:r>
                </m:e>
                <m:sub>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y</m:t>
                      </m:r>
                    </m:sub>
                  </m:sSub>
                </m:sub>
              </m:sSub>
              <m:r>
                <w:rPr>
                  <w:rFonts w:ascii="Cambria Math" w:hAnsi="Cambria Math"/>
                </w:rPr>
                <m:t>I</m:t>
              </m:r>
            </m:e>
            <m:sub>
              <m:r>
                <w:rPr>
                  <w:rFonts w:ascii="Cambria Math" w:hAnsi="Cambria Math"/>
                </w:rPr>
                <m:t>s</m:t>
              </m:r>
            </m:sub>
          </m:sSub>
          <m:d>
            <m:dPr>
              <m:ctrlPr>
                <w:rPr>
                  <w:rFonts w:ascii="Cambria Math" w:hAnsi="Cambria Math"/>
                </w:rPr>
              </m:ctrlPr>
            </m:dPr>
            <m:e>
              <m:r>
                <w:rPr>
                  <w:rFonts w:ascii="Cambria Math" w:hAnsi="Cambria Math"/>
                </w:rPr>
                <m:t>p,b</m:t>
              </m:r>
            </m:e>
          </m:d>
        </m:oMath>
      </m:oMathPara>
    </w:p>
    <w:p w14:paraId="7A5DEFA5"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w:rPr>
                <w:rFonts w:ascii="Cambria Math" w:hAnsi="Cambria Math"/>
              </w:rPr>
              <m:t>I</m:t>
            </m:r>
          </m:e>
          <m:sub>
            <m:r>
              <w:rPr>
                <w:rFonts w:ascii="Cambria Math" w:hAnsi="Cambria Math"/>
              </w:rPr>
              <m:t>annual,y</m:t>
            </m:r>
          </m:sub>
        </m:sSub>
        <m:d>
          <m:dPr>
            <m:ctrlPr>
              <w:rPr>
                <w:rFonts w:ascii="Cambria Math" w:hAnsi="Cambria Math"/>
              </w:rPr>
            </m:ctrlPr>
          </m:dPr>
          <m:e>
            <m:r>
              <w:rPr>
                <w:rFonts w:ascii="Cambria Math" w:hAnsi="Cambria Math"/>
              </w:rPr>
              <m:t>p,b</m:t>
            </m:r>
          </m:e>
        </m:d>
      </m:oMath>
      <w:r>
        <w:rPr>
          <w:rFonts w:ascii="Times New Roman" w:hAnsi="Times New Roman" w:cs="Times New Roman"/>
          <w:sz w:val="20"/>
          <w:szCs w:val="20"/>
        </w:rPr>
        <w:t xml:space="preserve"> denotes the annual median reflectance for pixel p, band b, and year y, </w:t>
      </w:r>
      <m:oMath>
        <m:sSub>
          <m:sSubPr>
            <m:ctrlPr>
              <w:rPr>
                <w:rFonts w:ascii="Cambria Math" w:hAnsi="Cambria Math"/>
              </w:rPr>
            </m:ctrlPr>
          </m:sSubPr>
          <m:e>
            <m:r>
              <w:rPr>
                <w:rFonts w:ascii="Cambria Math" w:hAnsi="Cambria Math"/>
              </w:rPr>
              <m:t>I</m:t>
            </m:r>
          </m:e>
          <m:sub>
            <m:r>
              <w:rPr>
                <w:rFonts w:ascii="Cambria Math" w:hAnsi="Cambria Math"/>
              </w:rPr>
              <m:t>s</m:t>
            </m:r>
          </m:sub>
        </m:sSub>
        <m:d>
          <m:dPr>
            <m:ctrlPr>
              <w:rPr>
                <w:rFonts w:ascii="Cambria Math" w:hAnsi="Cambria Math"/>
              </w:rPr>
            </m:ctrlPr>
          </m:dPr>
          <m:e>
            <m:r>
              <w:rPr>
                <w:rFonts w:ascii="Cambria Math" w:hAnsi="Cambria Math"/>
              </w:rPr>
              <m:t>p,b</m:t>
            </m:r>
          </m:e>
        </m:d>
      </m:oMath>
      <w:r>
        <w:rPr>
          <w:rFonts w:ascii="Times New Roman" w:hAnsi="Times New Roman" w:cs="Times New Roman"/>
          <w:sz w:val="20"/>
          <w:szCs w:val="20"/>
        </w:rPr>
        <w:t>denotes the corresponding reflectance in observation s; and S</w:t>
      </w:r>
      <w:r>
        <w:rPr>
          <w:rFonts w:ascii="Times New Roman" w:hAnsi="Times New Roman" w:cs="Times New Roman"/>
          <w:sz w:val="20"/>
          <w:szCs w:val="20"/>
          <w:vertAlign w:val="subscript"/>
        </w:rPr>
        <w:t>y</w:t>
      </w:r>
      <w:r>
        <w:rPr>
          <w:rFonts w:ascii="Times New Roman" w:hAnsi="Times New Roman" w:cs="Times New Roman"/>
          <w:sz w:val="20"/>
          <w:szCs w:val="20"/>
        </w:rPr>
        <w:t xml:space="preserve"> is the set of usable observations for that year. The composite is clipped to the requested extent and exported at 30 m as a 12-band unsigned 16-bit GeoTIFF (reflectance × 10,000, with 65,535 marking missing data), including a band that records the number of cloud-free observations used for each pixel.</w:t>
      </w:r>
    </w:p>
    <w:p w14:paraId="00BF8EA5" w14:textId="77777777" w:rsidR="00352D6A" w:rsidRDefault="00352D6A">
      <w:pPr>
        <w:spacing w:after="0" w:line="240" w:lineRule="auto"/>
        <w:jc w:val="both"/>
        <w:rPr>
          <w:rFonts w:ascii="Times New Roman" w:hAnsi="Times New Roman" w:cs="Times New Roman"/>
          <w:sz w:val="20"/>
          <w:szCs w:val="20"/>
        </w:rPr>
      </w:pPr>
    </w:p>
    <w:p w14:paraId="4FD0139A"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Each imagery tile is associated with metadata containing the lake identifier, year, tile index, bounding box, local file path, and processing status. A lake-year is merged only when all of its tiles are complete; Rasterio then combines them into a single raster, with the missing-data value passed explicitly so that one tile's fill cannot overwrite a neighbour's valid pixels. The resulting raster provides a consistent input for both lake-feature and embedding generation.</w:t>
      </w:r>
    </w:p>
    <w:p w14:paraId="7C8CD59B" w14:textId="77777777" w:rsidR="00352D6A" w:rsidRDefault="00352D6A">
      <w:pPr>
        <w:spacing w:after="0" w:line="240" w:lineRule="auto"/>
        <w:jc w:val="both"/>
        <w:rPr>
          <w:rFonts w:ascii="Times New Roman" w:hAnsi="Times New Roman" w:cs="Times New Roman"/>
          <w:sz w:val="20"/>
          <w:szCs w:val="20"/>
        </w:rPr>
      </w:pPr>
    </w:p>
    <w:p w14:paraId="41EB9EBC"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3.2 Lake and Shoreline Embeddings</w:t>
      </w:r>
    </w:p>
    <w:p w14:paraId="07355CDB"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merged 30 m raster is divided into windows of 224 × 224 pixels (6.72 km), the input size of Prithvi-EO-1.0-100M, and each window forms a 14 × 14 grid of 16-pixel (480 m) tokens. Two regions are defined from the lake polygon: the lake region, containing pixels whose centres lie inside the polygon, and the shore region, containing pixels within 500 m outside it. For each token </w:t>
      </w:r>
      <m:oMath>
        <m:r>
          <w:rPr>
            <w:rFonts w:ascii="Cambria Math" w:hAnsi="Cambria Math"/>
          </w:rPr>
          <m:t>t</m:t>
        </m:r>
      </m:oMath>
      <w:r>
        <w:rPr>
          <w:rFonts w:ascii="Times New Roman" w:hAnsi="Times New Roman" w:cs="Times New Roman"/>
          <w:sz w:val="20"/>
          <w:szCs w:val="20"/>
        </w:rPr>
        <w:t xml:space="preserve">, the pipeline records the fraction of its pixels that are cloud-free lake pixels, </w:t>
      </w:r>
      <m:oMath>
        <m:sSub>
          <m:sSubPr>
            <m:ctrlPr>
              <w:rPr>
                <w:rFonts w:ascii="Cambria Math" w:hAnsi="Cambria Math"/>
              </w:rPr>
            </m:ctrlPr>
          </m:sSubPr>
          <m:e>
            <m:r>
              <w:rPr>
                <w:rFonts w:ascii="Cambria Math" w:hAnsi="Cambria Math"/>
              </w:rPr>
              <m:t>a</m:t>
            </m:r>
          </m:e>
          <m:sub>
            <m:r>
              <w:rPr>
                <w:rFonts w:ascii="Cambria Math" w:hAnsi="Cambria Math"/>
              </w:rPr>
              <m:t>t</m:t>
            </m:r>
          </m:sub>
        </m:sSub>
      </m:oMath>
      <w:r>
        <w:rPr>
          <w:rFonts w:ascii="Times New Roman" w:hAnsi="Times New Roman" w:cs="Times New Roman"/>
          <w:sz w:val="20"/>
          <w:szCs w:val="20"/>
        </w:rPr>
        <w:t xml:space="preserve">, and the fraction that are cloud-free shore pixels, </w:t>
      </w:r>
      <m:oMath>
        <m:sSub>
          <m:sSubPr>
            <m:ctrlPr>
              <w:rPr>
                <w:rFonts w:ascii="Cambria Math" w:hAnsi="Cambria Math"/>
              </w:rPr>
            </m:ctrlPr>
          </m:sSubPr>
          <m:e>
            <m:r>
              <w:rPr>
                <w:rFonts w:ascii="Cambria Math" w:hAnsi="Cambria Math"/>
              </w:rPr>
              <m:t>b</m:t>
            </m:r>
          </m:e>
          <m:sub>
            <m:r>
              <w:rPr>
                <w:rFonts w:ascii="Cambria Math" w:hAnsi="Cambria Math"/>
              </w:rPr>
              <m:t>t</m:t>
            </m:r>
          </m:sub>
        </m:sSub>
      </m:oMath>
      <w:r>
        <w:rPr>
          <w:rFonts w:ascii="Times New Roman" w:hAnsi="Times New Roman" w:cs="Times New Roman"/>
          <w:sz w:val="20"/>
          <w:szCs w:val="20"/>
        </w:rPr>
        <w:t xml:space="preserve">. Only tokens with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&gt;0</m:t>
        </m:r>
      </m:oMath>
      <w:r>
        <w:rPr>
          <w:rFonts w:ascii="Times New Roman" w:hAnsi="Times New Roman" w:cs="Times New Roman"/>
          <w:sz w:val="20"/>
          <w:szCs w:val="20"/>
        </w:rPr>
        <w:t xml:space="preserve"> or </w:t>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&gt;0</m:t>
        </m:r>
      </m:oMath>
      <w:r>
        <w:rPr>
          <w:rFonts w:ascii="Times New Roman" w:hAnsi="Times New Roman" w:cs="Times New Roman"/>
          <w:sz w:val="20"/>
          <w:szCs w:val="20"/>
        </w:rPr>
        <w:t xml:space="preserve"> are passed to the encoder; omitting the remaining tokens is consistent with the model's masked-autoencoder pre-training, in which the encoder processes a subset of tokens.</w:t>
      </w:r>
    </w:p>
    <w:p w14:paraId="2537E6C5"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500 m ring was chosen from three considerations. In the JRC Global Surface Water record for the 829 lakes, the proportion of area just outside the HydroLAKES polygon that was ever water falls from 41% within 250 m to 10% between 250 and 500 m and 2–5% beyond, so the fluctuation zone of the lake itself ends at about 500 m. Near-shore land-use effects on lake water quality are most often reported at distances of 100–500 m. Finally, at 30 m a token is 480 m wide, so 500 m is the narrowest ring that forms a distinct region.</w:t>
      </w:r>
    </w:p>
    <w:p w14:paraId="6C9CE9A8" w14:textId="77777777" w:rsidR="00352D6A" w:rsidRDefault="00352D6A">
      <w:pPr>
        <w:spacing w:after="0" w:line="360" w:lineRule="auto"/>
        <w:jc w:val="both"/>
        <w:rPr>
          <w:rFonts w:ascii="Times New Roman" w:hAnsi="Times New Roman" w:cs="Times New Roman"/>
          <w:sz w:val="20"/>
          <w:szCs w:val="20"/>
        </w:rPr>
      </w:pPr>
    </w:p>
    <w:p w14:paraId="5ABCC6EB" w14:textId="77777777" w:rsidR="00352D6A" w:rsidRDefault="00352D6A">
      <w:pPr>
        <w:spacing w:after="0" w:line="240" w:lineRule="auto"/>
        <w:jc w:val="both"/>
        <w:rPr>
          <w:rFonts w:ascii="Times New Roman" w:hAnsi="Times New Roman" w:cs="Times New Roman"/>
          <w:sz w:val="20"/>
          <w:szCs w:val="20"/>
        </w:rPr>
      </w:pPr>
    </w:p>
    <w:p w14:paraId="17280D0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Before inference, the six model bands are extracted from each window and scaled with Prithvi's per-band training mean and standard deviation; missing pixels are filled with the band's training mean, which becomes zero after scaling, as in the model's reference inference code (NASA and IBM, n.d.). Each window is supplied as a single annual frame, and the pre-trained encoder is used in evaluation mode without fine-tuning and without random masking.</w:t>
      </w:r>
    </w:p>
    <w:p w14:paraId="7687747D"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For each encoded token </w:t>
      </w:r>
      <m:oMath>
        <m:r>
          <w:rPr>
            <w:rFonts w:ascii="Cambria Math" w:hAnsi="Cambria Math"/>
          </w:rPr>
          <m:t>t</m:t>
        </m:r>
      </m:oMath>
      <w:r>
        <w:rPr>
          <w:rFonts w:ascii="Times New Roman" w:hAnsi="Times New Roman" w:cs="Times New Roman"/>
          <w:sz w:val="20"/>
          <w:szCs w:val="20"/>
        </w:rPr>
        <w:t>, the model produces a 768-dimensional feature vector:</w:t>
      </w:r>
    </w:p>
    <w:p w14:paraId="458CE827" w14:textId="77777777" w:rsidR="00352D6A" w:rsidRDefault="00000000">
      <w:pPr>
        <w:spacing w:after="0" w:line="360" w:lineRule="auto"/>
        <w:jc w:val="center"/>
        <w:rPr>
          <w:rFonts w:ascii="Times New Roman"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Prithvi</m:t>
              </m:r>
            </m:sub>
          </m:sSub>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w</m:t>
                      </m:r>
                    </m:sub>
                  </m:sSub>
                </m:e>
              </m:d>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768</m:t>
              </m:r>
            </m:sup>
          </m:sSup>
        </m:oMath>
      </m:oMathPara>
    </w:p>
    <w:p w14:paraId="49B30D0A" w14:textId="77777777" w:rsidR="00352D6A" w:rsidRDefault="00352D6A">
      <w:pPr>
        <w:spacing w:after="0" w:line="360" w:lineRule="auto"/>
        <w:jc w:val="both"/>
        <w:rPr>
          <w:rFonts w:ascii="Times New Roman" w:hAnsi="Times New Roman" w:cs="Times New Roman"/>
          <w:sz w:val="20"/>
          <w:szCs w:val="20"/>
        </w:rPr>
      </w:pPr>
    </w:p>
    <w:p w14:paraId="75080F8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w:rPr>
                <w:rFonts w:ascii="Cambria Math" w:hAnsi="Cambria Math"/>
              </w:rPr>
              <m:t>X</m:t>
            </m:r>
          </m:e>
          <m:sub>
            <m:r>
              <w:rPr>
                <w:rFonts w:ascii="Cambria Math" w:hAnsi="Cambria Math"/>
              </w:rPr>
              <m:t>w</m:t>
            </m:r>
          </m:sub>
        </m:sSub>
      </m:oMath>
      <w:r>
        <w:rPr>
          <w:rFonts w:ascii="Times New Roman" w:hAnsi="Times New Roman" w:cs="Times New Roman"/>
          <w:sz w:val="20"/>
          <w:szCs w:val="20"/>
        </w:rPr>
        <w:t xml:space="preserve"> is the prepared six-band window containing token </w:t>
      </w:r>
      <m:oMath>
        <m:r>
          <w:rPr>
            <w:rFonts w:ascii="Cambria Math" w:hAnsi="Cambria Math"/>
          </w:rPr>
          <m:t>t</m:t>
        </m:r>
      </m:oMath>
      <w:r>
        <w:rPr>
          <w:rFonts w:ascii="Times New Roman" w:hAnsi="Times New Roman" w:cs="Times New Roman"/>
          <w:sz w:val="20"/>
          <w:szCs w:val="20"/>
        </w:rPr>
        <w:t xml:space="preserve"> and </w:t>
      </w:r>
      <m:oMath>
        <m:sSub>
          <m:sSubPr>
            <m:ctrlPr>
              <w:rPr>
                <w:rFonts w:ascii="Cambria Math" w:hAnsi="Cambria Math"/>
              </w:rPr>
            </m:ctrlPr>
          </m:sSubPr>
          <m:e>
            <m:r>
              <w:rPr>
                <w:rFonts w:ascii="Cambria Math" w:hAnsi="Cambria Math"/>
              </w:rPr>
              <m:t>f</m:t>
            </m:r>
          </m:e>
          <m:sub>
            <m:r>
              <w:rPr>
                <w:rFonts w:ascii="Cambria Math" w:hAnsi="Cambria Math"/>
              </w:rPr>
              <m:t>Prithvi</m:t>
            </m:r>
          </m:sub>
        </m:sSub>
      </m:oMath>
      <w:r>
        <w:rPr>
          <w:rFonts w:ascii="Times New Roman" w:hAnsi="Times New Roman" w:cs="Times New Roman"/>
          <w:sz w:val="20"/>
          <w:szCs w:val="20"/>
        </w:rPr>
        <w:t xml:space="preserve"> denotes the encoder. Inference runs on CPU and takes about 0.2–4 s per lake-year, depending on lake size. The token vectors are pooled separately over the lake and shore regions, weighted by each token's share of cloud-free lake or shore pixels:</w:t>
      </w:r>
    </w:p>
    <w:p w14:paraId="514962AC"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L,y</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t</m:t>
                      </m:r>
                    </m:sub>
                  </m:sSub>
                </m:e>
              </m:nary>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m:t>
              </m:r>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a</m:t>
                      </m:r>
                    </m:e>
                    <m:sub>
                      <m:r>
                        <w:rPr>
                          <w:rFonts w:ascii="Cambria Math" w:hAnsi="Cambria Math"/>
                        </w:rPr>
                        <m:t>t</m:t>
                      </m:r>
                    </m:sub>
                  </m:sSub>
                </m:e>
              </m:nary>
              <m:sSub>
                <m:sSubPr>
                  <m:ctrlPr>
                    <w:rPr>
                      <w:rFonts w:ascii="Cambria Math" w:hAnsi="Cambria Math"/>
                    </w:rPr>
                  </m:ctrlPr>
                </m:sSubPr>
                <m:e>
                  <m:r>
                    <w:rPr>
                      <w:rFonts w:ascii="Cambria Math" w:hAnsi="Cambria Math"/>
                    </w:rPr>
                    <m:t>v</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L,y</m:t>
              </m:r>
            </m:sub>
          </m:sSub>
          <m:r>
            <w:rPr>
              <w:rFonts w:ascii="Cambria Math" w:hAnsi="Cambria Math"/>
            </w:rPr>
            <m:t>=</m:t>
          </m:r>
          <m:f>
            <m:fPr>
              <m:ctrlPr>
                <w:rPr>
                  <w:rFonts w:ascii="Cambria Math" w:hAnsi="Cambria Math"/>
                </w:rPr>
              </m:ctrlPr>
            </m:fPr>
            <m:num>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t</m:t>
                      </m:r>
                    </m:sub>
                  </m:sSub>
                </m:e>
              </m:nary>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m:t>
              </m:r>
              <m:nary>
                <m:naryPr>
                  <m:chr m:val="∑"/>
                  <m:supHide m:val="1"/>
                  <m:ctrlPr>
                    <w:rPr>
                      <w:rFonts w:ascii="Cambria Math" w:hAnsi="Cambria Math"/>
                    </w:rPr>
                  </m:ctrlPr>
                </m:naryPr>
                <m:sub>
                  <m:r>
                    <w:rPr>
                      <w:rFonts w:ascii="Cambria Math" w:hAnsi="Cambria Math"/>
                    </w:rPr>
                    <m:t>t</m:t>
                  </m:r>
                </m:sub>
                <m:sup/>
                <m:e>
                  <m:sSub>
                    <m:sSubPr>
                      <m:ctrlPr>
                        <w:rPr>
                          <w:rFonts w:ascii="Cambria Math" w:hAnsi="Cambria Math"/>
                        </w:rPr>
                      </m:ctrlPr>
                    </m:sSubPr>
                    <m:e>
                      <m:r>
                        <w:rPr>
                          <w:rFonts w:ascii="Cambria Math" w:hAnsi="Cambria Math"/>
                        </w:rPr>
                        <m:t>b</m:t>
                      </m:r>
                    </m:e>
                    <m:sub>
                      <m:r>
                        <w:rPr>
                          <w:rFonts w:ascii="Cambria Math" w:hAnsi="Cambria Math"/>
                        </w:rPr>
                        <m:t>t</m:t>
                      </m:r>
                    </m:sub>
                  </m:sSub>
                </m:e>
              </m:nary>
              <m:sSub>
                <m:sSubPr>
                  <m:ctrlPr>
                    <w:rPr>
                      <w:rFonts w:ascii="Cambria Math" w:hAnsi="Cambria Math"/>
                    </w:rPr>
                  </m:ctrlPr>
                </m:sSubPr>
                <m:e>
                  <m:r>
                    <w:rPr>
                      <w:rFonts w:ascii="Cambria Math" w:hAnsi="Cambria Math"/>
                    </w:rPr>
                    <m:t>v</m:t>
                  </m:r>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075B4138" w14:textId="77777777" w:rsidR="00352D6A" w:rsidRDefault="00352D6A">
      <w:pPr>
        <w:spacing w:after="0" w:line="360" w:lineRule="auto"/>
        <w:jc w:val="both"/>
        <w:rPr>
          <w:rFonts w:ascii="Times New Roman" w:eastAsiaTheme="minorEastAsia" w:hAnsi="Times New Roman" w:cs="Times New Roman"/>
          <w:sz w:val="20"/>
          <w:szCs w:val="20"/>
        </w:rPr>
      </w:pPr>
    </w:p>
    <w:p w14:paraId="52E1C7ED"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l</m:t>
            </m:r>
          </m:e>
          <m:sub>
            <m:r>
              <w:rPr>
                <w:rFonts w:ascii="Cambria Math" w:hAnsi="Cambria Math"/>
              </w:rPr>
              <m:t>L,y</m:t>
            </m:r>
          </m:sub>
        </m:sSub>
      </m:oMath>
      <w:r>
        <w:rPr>
          <w:rFonts w:ascii="Times New Roman" w:eastAsiaTheme="minorEastAsia" w:hAnsi="Times New Roman" w:cs="Times New Roman"/>
          <w:sz w:val="20"/>
          <w:szCs w:val="20"/>
        </w:rPr>
        <w:t xml:space="preserve"> and </w:t>
      </w:r>
      <m:oMath>
        <m:sSub>
          <m:sSubPr>
            <m:ctrlPr>
              <w:rPr>
                <w:rFonts w:ascii="Cambria Math" w:hAnsi="Cambria Math"/>
              </w:rPr>
            </m:ctrlPr>
          </m:sSubPr>
          <m:e>
            <m:r>
              <w:rPr>
                <w:rFonts w:ascii="Cambria Math" w:hAnsi="Cambria Math"/>
              </w:rPr>
              <m:t>s</m:t>
            </m:r>
          </m:e>
          <m:sub>
            <m:r>
              <w:rPr>
                <w:rFonts w:ascii="Cambria Math" w:hAnsi="Cambria Math"/>
              </w:rPr>
              <m:t>L,y</m:t>
            </m:r>
          </m:sub>
        </m:sSub>
      </m:oMath>
      <w:r>
        <w:rPr>
          <w:rFonts w:ascii="Times New Roman" w:eastAsiaTheme="minorEastAsia" w:hAnsi="Times New Roman" w:cs="Times New Roman"/>
          <w:sz w:val="20"/>
          <w:szCs w:val="20"/>
        </w:rPr>
        <w:t xml:space="preserve"> are the lake and shoreline vectors of lake </w:t>
      </w:r>
      <m:oMath>
        <m:r>
          <w:rPr>
            <w:rFonts w:ascii="Cambria Math" w:hAnsi="Cambria Math"/>
          </w:rPr>
          <m:t>L</m:t>
        </m:r>
      </m:oMath>
      <w:r>
        <w:rPr>
          <w:rFonts w:ascii="Times New Roman" w:eastAsiaTheme="minorEastAsia" w:hAnsi="Times New Roman" w:cs="Times New Roman"/>
          <w:sz w:val="20"/>
          <w:szCs w:val="20"/>
        </w:rPr>
        <w:t xml:space="preserve"> in year </w:t>
      </w:r>
      <m:oMath>
        <m:r>
          <w:rPr>
            <w:rFonts w:ascii="Cambria Math" w:hAnsi="Cambria Math"/>
          </w:rPr>
          <m:t>y</m:t>
        </m:r>
      </m:oMath>
      <w:r>
        <w:rPr>
          <w:rFonts w:ascii="Times New Roman" w:eastAsiaTheme="minorEastAsia" w:hAnsi="Times New Roman" w:cs="Times New Roman"/>
          <w:sz w:val="20"/>
          <w:szCs w:val="20"/>
        </w:rPr>
        <w:t xml:space="preserve">. Weighting by pixel fractions rather than applying a coverage threshold means that no token touching the lake or shore is discarded. The combined lake-year embedding used for retrieval and forecasting blends the two vectors with a lake weight </w:t>
      </w:r>
      <m:oMath>
        <m:r>
          <w:rPr>
            <w:rFonts w:ascii="Cambria Math" w:hAnsi="Cambria Math"/>
          </w:rPr>
          <m:t>λ</m:t>
        </m:r>
      </m:oMath>
      <w:r>
        <w:rPr>
          <w:rFonts w:ascii="Times New Roman" w:eastAsiaTheme="minorEastAsia" w:hAnsi="Times New Roman" w:cs="Times New Roman"/>
          <w:sz w:val="20"/>
          <w:szCs w:val="20"/>
        </w:rPr>
        <w:t>:</w:t>
      </w:r>
    </w:p>
    <w:p w14:paraId="3ABFACFC"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L,y</m:t>
              </m:r>
            </m:sub>
          </m:sSub>
          <m:r>
            <w:rPr>
              <w:rFonts w:ascii="Cambria Math" w:hAnsi="Cambria Math"/>
            </w:rPr>
            <m:t>=</m:t>
          </m:r>
          <m:f>
            <m:fPr>
              <m:ctrlPr>
                <w:rPr>
                  <w:rFonts w:ascii="Cambria Math" w:hAnsi="Cambria Math"/>
                </w:rPr>
              </m:ctrlPr>
            </m:fPr>
            <m:num>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L,y</m:t>
                  </m:r>
                </m:sub>
              </m:sSub>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s</m:t>
                  </m:r>
                </m:e>
                <m:sub>
                  <m:r>
                    <w:rPr>
                      <w:rFonts w:ascii="Cambria Math" w:hAnsi="Cambria Math"/>
                    </w:rPr>
                    <m:t>L,y</m:t>
                  </m:r>
                </m:sub>
              </m:sSub>
            </m:num>
            <m:den>
              <m:r>
                <w:rPr>
                  <w:rFonts w:ascii="Cambria Math" w:hAnsi="Cambria Math"/>
                </w:rPr>
                <m:t>‖λ</m:t>
              </m:r>
              <m:sSub>
                <m:sSubPr>
                  <m:ctrlPr>
                    <w:rPr>
                      <w:rFonts w:ascii="Cambria Math" w:hAnsi="Cambria Math"/>
                    </w:rPr>
                  </m:ctrlPr>
                </m:sSubPr>
                <m:e>
                  <m:r>
                    <w:rPr>
                      <w:rFonts w:ascii="Cambria Math" w:hAnsi="Cambria Math"/>
                    </w:rPr>
                    <m:t>l</m:t>
                  </m:r>
                </m:e>
                <m:sub>
                  <m:r>
                    <w:rPr>
                      <w:rFonts w:ascii="Cambria Math" w:hAnsi="Cambria Math"/>
                    </w:rPr>
                    <m:t>L,y</m:t>
                  </m:r>
                </m:sub>
              </m:sSub>
              <m:r>
                <w:rPr>
                  <w:rFonts w:ascii="Cambria Math" w:hAnsi="Cambria Math"/>
                </w:rPr>
                <m:t>+</m:t>
              </m:r>
              <m:d>
                <m:dPr>
                  <m:ctrlPr>
                    <w:rPr>
                      <w:rFonts w:ascii="Cambria Math" w:hAnsi="Cambria Math"/>
                    </w:rPr>
                  </m:ctrlPr>
                </m:dPr>
                <m:e>
                  <m:r>
                    <w:rPr>
                      <w:rFonts w:ascii="Cambria Math" w:hAnsi="Cambria Math"/>
                    </w:rPr>
                    <m:t>1-λ</m:t>
                  </m:r>
                </m:e>
              </m:d>
              <m:sSub>
                <m:sSubPr>
                  <m:ctrlPr>
                    <w:rPr>
                      <w:rFonts w:ascii="Cambria Math" w:hAnsi="Cambria Math"/>
                    </w:rPr>
                  </m:ctrlPr>
                </m:sSubPr>
                <m:e>
                  <m:r>
                    <w:rPr>
                      <w:rFonts w:ascii="Cambria Math" w:hAnsi="Cambria Math"/>
                    </w:rPr>
                    <m:t>s</m:t>
                  </m:r>
                </m:e>
                <m:sub>
                  <m:r>
                    <w:rPr>
                      <w:rFonts w:ascii="Cambria Math" w:hAnsi="Cambria Math"/>
                    </w:rPr>
                    <m:t>L,y</m:t>
                  </m:r>
                </m:sub>
              </m:sSub>
              <m:sSub>
                <m:sSubPr>
                  <m:ctrlPr>
                    <w:rPr>
                      <w:rFonts w:ascii="Cambria Math" w:hAnsi="Cambria Math"/>
                    </w:rPr>
                  </m:ctrlPr>
                </m:sSubPr>
                <m:e>
                  <m:r>
                    <w:rPr>
                      <w:rFonts w:ascii="Cambria Math" w:hAnsi="Cambria Math"/>
                    </w:rPr>
                    <m:t>‖</m:t>
                  </m:r>
                </m:e>
                <m:sub>
                  <m:r>
                    <w:rPr>
                      <w:rFonts w:ascii="Cambria Math" w:hAnsi="Cambria Math"/>
                    </w:rPr>
                    <m:t>2</m:t>
                  </m:r>
                </m:sub>
              </m:sSub>
            </m:den>
          </m:f>
        </m:oMath>
      </m:oMathPara>
    </w:p>
    <w:p w14:paraId="665C09E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r>
          <w:rPr>
            <w:rFonts w:ascii="Cambria Math" w:hAnsi="Cambria Math"/>
          </w:rPr>
          <m:t>λ=0.7</m:t>
        </m:r>
      </m:oMath>
      <w:r>
        <w:rPr>
          <w:rFonts w:ascii="Times New Roman" w:hAnsi="Times New Roman" w:cs="Times New Roman"/>
          <w:sz w:val="20"/>
          <w:szCs w:val="20"/>
        </w:rPr>
        <w:t xml:space="preserve">. Blending the two parts keeps the same water-to-shore balance for every lake regardless of size; pooling the lake and ring together would give small lakes a land-dominated vector. The forecast targets the state of the water, which the lake pixels observe directly, whereas shoreline conditions are a secondary influence; no published weight exists for this balance, and 0.7 has not yet been calibrated. Both parts are stored, so the weight can be changed later by re-blending without repeating model inference. Because </w:t>
      </w:r>
      <m:oMath>
        <m:sSub>
          <m:sSubPr>
            <m:ctrlPr>
              <w:rPr>
                <w:rFonts w:ascii="Cambria Math" w:hAnsi="Cambria Math"/>
              </w:rPr>
            </m:ctrlPr>
          </m:sSubPr>
          <m:e>
            <m:r>
              <w:rPr>
                <w:rFonts w:ascii="Cambria Math" w:hAnsi="Cambria Math"/>
              </w:rPr>
              <m:t>z</m:t>
            </m:r>
          </m:e>
          <m:sub>
            <m:r>
              <w:rPr>
                <w:rFonts w:ascii="Cambria Math" w:hAnsi="Cambria Math"/>
              </w:rPr>
              <m:t>L,y</m:t>
            </m:r>
          </m:sub>
        </m:sSub>
      </m:oMath>
      <w:r>
        <w:rPr>
          <w:rFonts w:ascii="Times New Roman" w:hAnsi="Times New Roman" w:cs="Times New Roman"/>
          <w:sz w:val="20"/>
          <w:szCs w:val="20"/>
        </w:rPr>
        <w:t xml:space="preserve"> is unit-normalised, cosine similarity between lake-year embeddings equals their inner product, which allows similarity calculations to be performed efficiently using matrix operations.</w:t>
      </w:r>
    </w:p>
    <w:p w14:paraId="73F3B767" w14:textId="77777777" w:rsidR="00352D6A" w:rsidRDefault="00352D6A">
      <w:pPr>
        <w:spacing w:after="0" w:line="240" w:lineRule="auto"/>
        <w:jc w:val="both"/>
        <w:rPr>
          <w:rFonts w:ascii="Times New Roman" w:hAnsi="Times New Roman" w:cs="Times New Roman"/>
          <w:sz w:val="20"/>
          <w:szCs w:val="20"/>
        </w:rPr>
      </w:pPr>
    </w:p>
    <w:p w14:paraId="67CFF33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pipeline produced 8,268 lake-year embeddings from 1,724,214 encoded tokens, an average of 208.5 tokens per lake-year. Before database insertion, each vector is checked for dimensionality, missing values, numerical validity, and correct association with its lake and year. The lake, shoreline, and combined vectors are stored in PostgreSQL using pgvector (Section 4.1).</w:t>
      </w:r>
    </w:p>
    <w:p w14:paraId="2FB338B6" w14:textId="77777777" w:rsidR="00352D6A" w:rsidRDefault="00352D6A">
      <w:pPr>
        <w:spacing w:after="0" w:line="360" w:lineRule="auto"/>
        <w:jc w:val="both"/>
        <w:rPr>
          <w:rFonts w:ascii="Times New Roman" w:hAnsi="Times New Roman" w:cs="Times New Roman"/>
          <w:sz w:val="20"/>
          <w:szCs w:val="20"/>
        </w:rPr>
      </w:pPr>
    </w:p>
    <w:p w14:paraId="099377E3"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3.3 Temporal Trajectory Similarity</w:t>
      </w:r>
    </w:p>
    <w:p w14:paraId="1368AB3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a target lake with anchor year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ascii="Times New Roman" w:hAnsi="Times New Roman" w:cs="Times New Roman"/>
          <w:sz w:val="20"/>
          <w:szCs w:val="20"/>
        </w:rPr>
        <w:t>, the query trajectory consists of five consecutive annual embeddings</w:t>
      </w:r>
    </w:p>
    <w:p w14:paraId="317BF959"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t</m:t>
                      </m:r>
                    </m:e>
                    <m:sub>
                      <m:r>
                        <w:rPr>
                          <w:rFonts w:ascii="Cambria Math" w:hAnsi="Cambria Math"/>
                        </w:rPr>
                        <m:t>0</m:t>
                      </m:r>
                    </m:sub>
                  </m:sSub>
                </m:sub>
              </m:sSub>
            </m:e>
          </m:d>
        </m:oMath>
      </m:oMathPara>
    </w:p>
    <w:p w14:paraId="7C19ABE9"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Each candidate's annual records are ordered by year, and every five consecutive records form a candidate window. Because missing lake-years in the final dataset occur only in 2016 and 2017, no window crosses a gap and every window spans five consecutive calendar years. For a candidate with </w:t>
      </w:r>
      <m:oMath>
        <m:r>
          <w:rPr>
            <w:rFonts w:ascii="Cambria Math" w:hAnsi="Cambria Math"/>
          </w:rPr>
          <m:t>n</m:t>
        </m:r>
      </m:oMath>
      <w:r>
        <w:rPr>
          <w:rFonts w:ascii="Times New Roman" w:eastAsiaTheme="minorEastAsia" w:hAnsi="Times New Roman" w:cs="Times New Roman"/>
          <w:sz w:val="20"/>
          <w:szCs w:val="20"/>
        </w:rPr>
        <w:t xml:space="preserve"> annual records, the windows are defined as</w:t>
      </w:r>
    </w:p>
    <w:p w14:paraId="7FE50F03"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j</m:t>
                  </m:r>
                </m:e>
              </m:d>
            </m:sup>
          </m:s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y</m:t>
                      </m:r>
                    </m:e>
                    <m:sub>
                      <m:r>
                        <w:rPr>
                          <w:rFonts w:ascii="Cambria Math" w:hAnsi="Cambria Math"/>
                        </w:rPr>
                        <m:t>j</m:t>
                      </m:r>
                    </m:sub>
                  </m:sSub>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+W-1</m:t>
                  </m:r>
                </m:sub>
              </m:sSub>
            </m:e>
          </m:d>
          <m:r>
            <w:rPr>
              <w:rFonts w:ascii="Cambria Math" w:hAnsi="Cambria Math"/>
            </w:rPr>
            <m:t>,j=1,…,n-W+1</m:t>
          </m:r>
        </m:oMath>
      </m:oMathPara>
    </w:p>
    <w:p w14:paraId="117DF295"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r>
          <w:rPr>
            <w:rFonts w:ascii="Cambria Math" w:hAnsi="Cambria Math"/>
          </w:rPr>
          <m:t>W=5</m:t>
        </m:r>
      </m:oMath>
      <w:r>
        <w:rPr>
          <w:rFonts w:ascii="Times New Roman" w:eastAsiaTheme="minorEastAsia" w:hAnsi="Times New Roman" w:cs="Times New Roman"/>
          <w:sz w:val="20"/>
          <w:szCs w:val="20"/>
        </w:rPr>
        <w:t xml:space="preserve">, </w:t>
      </w:r>
      <m:oMath>
        <m:sSub>
          <m:sSubPr>
            <m:ctrlPr>
              <w:rPr>
                <w:rFonts w:ascii="Cambria Math" w:hAnsi="Cambria Math"/>
              </w:rPr>
            </m:ctrlPr>
          </m:sSubPr>
          <m:e>
            <m:r>
              <w:rPr>
                <w:rFonts w:ascii="Cambria Math" w:hAnsi="Cambria Math"/>
              </w:rPr>
              <m:t>y</m:t>
            </m:r>
          </m:e>
          <m:sub>
            <m:r>
              <w:rPr>
                <w:rFonts w:ascii="Cambria Math" w:hAnsi="Cambria Math"/>
              </w:rPr>
              <m:t>j</m:t>
            </m:r>
          </m:sub>
        </m:sSub>
      </m:oMath>
      <w:r>
        <w:rPr>
          <w:rFonts w:ascii="Times New Roman" w:eastAsiaTheme="minorEastAsia" w:hAnsi="Times New Roman" w:cs="Times New Roman"/>
          <w:sz w:val="20"/>
          <w:szCs w:val="20"/>
        </w:rPr>
        <w:t xml:space="preserve"> is the first year of candidate window </w:t>
      </w:r>
      <m:oMath>
        <m:r>
          <w:rPr>
            <w:rFonts w:ascii="Cambria Math" w:hAnsi="Cambria Math"/>
          </w:rPr>
          <m:t>j</m:t>
        </m:r>
      </m:oMath>
      <w:r>
        <w:rPr>
          <w:rFonts w:ascii="Times New Roman" w:eastAsiaTheme="minorEastAsia" w:hAnsi="Times New Roman" w:cs="Times New Roman"/>
          <w:sz w:val="20"/>
          <w:szCs w:val="20"/>
        </w:rPr>
        <w:t xml:space="preserve">, and </w:t>
      </w:r>
      <m:oMath>
        <m:r>
          <w:rPr>
            <w:rFonts w:ascii="Cambria Math" w:hAnsi="Cambria Math"/>
          </w:rPr>
          <m:t>n</m:t>
        </m:r>
      </m:oMath>
      <w:r>
        <w:rPr>
          <w:rFonts w:ascii="Times New Roman" w:eastAsiaTheme="minorEastAsia" w:hAnsi="Times New Roman" w:cs="Times New Roman"/>
          <w:sz w:val="20"/>
          <w:szCs w:val="20"/>
        </w:rPr>
        <w:t xml:space="preserve"> is the number of annual records of the candidate. A complete ten-year record produces six five-year windows. Candidate windows do not need to match the query's calendar years because the method seeks similar trajectories even when comparable changes occurred at different times.</w:t>
      </w:r>
    </w:p>
    <w:p w14:paraId="27D007C9" w14:textId="77777777" w:rsidR="00352D6A" w:rsidRDefault="00352D6A">
      <w:pPr>
        <w:spacing w:after="0" w:line="240" w:lineRule="auto"/>
        <w:jc w:val="both"/>
        <w:rPr>
          <w:rFonts w:ascii="Times New Roman" w:eastAsiaTheme="minorEastAsia" w:hAnsi="Times New Roman" w:cs="Times New Roman"/>
          <w:sz w:val="20"/>
          <w:szCs w:val="20"/>
        </w:rPr>
      </w:pPr>
    </w:p>
    <w:p w14:paraId="72C772B2"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Each candidate window is scored using the mean cosine similarity between embeddings at corresponding positions</w:t>
      </w:r>
    </w:p>
    <w:p w14:paraId="68881E35"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j</m:t>
                      </m:r>
                    </m:e>
                  </m:d>
                </m:sup>
              </m:s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ctrlPr>
                <w:rPr>
                  <w:rFonts w:ascii="Cambria Math" w:hAnsi="Cambria Math"/>
                </w:rPr>
              </m:ctrlPr>
            </m:naryPr>
            <m:sub>
              <m:r>
                <w:rPr>
                  <w:rFonts w:ascii="Cambria Math" w:hAnsi="Cambria Math"/>
                </w:rPr>
                <m:t>i=1</m:t>
              </m:r>
            </m:sub>
            <m:sup>
              <m:r>
                <w:rPr>
                  <w:rFonts w:ascii="Cambria Math" w:hAnsi="Cambria Math"/>
                </w:rPr>
                <m:t>W</m:t>
              </m:r>
            </m:sup>
            <m:e>
              <m:f>
                <m:fPr>
                  <m:ctrlPr>
                    <w:rPr>
                      <w:rFonts w:ascii="Cambria Math" w:hAnsi="Cambria Math"/>
                    </w:rPr>
                  </m:ctrlPr>
                </m:fPr>
                <m:num>
                  <m:sSubSup>
                    <m:sSubSupPr>
                      <m:ctrlPr>
                        <w:rPr>
                          <w:rFonts w:ascii="Cambria Math" w:hAnsi="Cambria Math"/>
                        </w:rPr>
                      </m:ctrlPr>
                    </m:sSubSupPr>
                    <m:e>
                      <m:r>
                        <w:rPr>
                          <w:rFonts w:ascii="Cambria Math" w:hAnsi="Cambria Math"/>
                        </w:rPr>
                        <m:t>q</m:t>
                      </m:r>
                    </m:e>
                    <m:sub>
                      <m:r>
                        <w:rPr>
                          <w:rFonts w:ascii="Cambria Math" w:hAnsi="Cambria Math"/>
                        </w:rPr>
                        <m:t>i</m:t>
                      </m:r>
                    </m:sub>
                    <m:sup>
                      <m:r>
                        <w:rPr>
                          <w:rFonts w:ascii="Cambria Math" w:hAnsi="Cambria Math"/>
                        </w:rPr>
                        <m:t>T</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j</m:t>
                          </m:r>
                        </m:e>
                      </m:d>
                    </m:sup>
                  </m:sSubSup>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j</m:t>
                                  </m:r>
                                </m:e>
                              </m:d>
                            </m:sup>
                          </m:sSubSup>
                        </m:e>
                      </m:d>
                    </m:e>
                    <m:sub>
                      <m:r>
                        <w:rPr>
                          <w:rFonts w:ascii="Cambria Math" w:hAnsi="Cambria Math"/>
                        </w:rPr>
                        <m:t>2</m:t>
                      </m:r>
                    </m:sub>
                  </m:sSub>
                </m:den>
              </m:f>
            </m:e>
          </m:nary>
        </m:oMath>
      </m:oMathPara>
    </w:p>
    <w:p w14:paraId="48FBC7B9"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ascii="Times New Roman" w:eastAsiaTheme="minorEastAsia" w:hAnsi="Times New Roman" w:cs="Times New Roman"/>
          <w:sz w:val="20"/>
          <w:szCs w:val="20"/>
        </w:rPr>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j</m:t>
                </m:r>
              </m:e>
            </m:d>
          </m:sup>
        </m:sSubSup>
      </m:oMath>
      <w:r>
        <w:rPr>
          <w:rFonts w:ascii="Times New Roman" w:eastAsiaTheme="minorEastAsia" w:hAnsi="Times New Roman" w:cs="Times New Roman"/>
          <w:sz w:val="20"/>
          <w:szCs w:val="20"/>
        </w:rPr>
        <w:t xml:space="preserve"> denote the query and candidate embeddings at relative position </w:t>
      </w:r>
      <m:oMath>
        <m:r>
          <w:rPr>
            <w:rFonts w:ascii="Cambria Math" w:hAnsi="Cambria Math"/>
          </w:rPr>
          <m:t>i</m:t>
        </m:r>
      </m:oMath>
      <w:r>
        <w:rPr>
          <w:rFonts w:ascii="Times New Roman" w:eastAsiaTheme="minorEastAsia" w:hAnsi="Times New Roman" w:cs="Times New Roman"/>
          <w:sz w:val="20"/>
          <w:szCs w:val="20"/>
        </w:rPr>
        <w:t>. Because the embeddings are L2-normalised, each cosine similarity reduces to the inner product of the corresponding vectors. Temporal order is preserved: the first query year is compared only with the first year of the candidate window, the second with the second, and so on.</w:t>
      </w:r>
    </w:p>
    <w:p w14:paraId="7E29D055" w14:textId="77777777" w:rsidR="00352D6A" w:rsidRDefault="00352D6A">
      <w:pPr>
        <w:spacing w:after="0" w:line="240" w:lineRule="auto"/>
        <w:jc w:val="both"/>
        <w:rPr>
          <w:rFonts w:ascii="Times New Roman" w:eastAsiaTheme="minorEastAsia" w:hAnsi="Times New Roman" w:cs="Times New Roman"/>
          <w:sz w:val="20"/>
          <w:szCs w:val="20"/>
        </w:rPr>
      </w:pPr>
    </w:p>
    <w:p w14:paraId="252A3BB3"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For each candidate lake </w:t>
      </w:r>
      <m:oMath>
        <m:r>
          <w:rPr>
            <w:rFonts w:ascii="Cambria Math" w:hAnsi="Cambria Math"/>
          </w:rPr>
          <m:t>L</m:t>
        </m:r>
      </m:oMath>
      <w:r>
        <w:rPr>
          <w:rFonts w:ascii="Times New Roman" w:eastAsiaTheme="minorEastAsia" w:hAnsi="Times New Roman" w:cs="Times New Roman"/>
          <w:sz w:val="20"/>
          <w:szCs w:val="20"/>
        </w:rPr>
        <w:t>, the highest-scoring window is selected</w:t>
      </w:r>
    </w:p>
    <w:p w14:paraId="60410E61" w14:textId="77777777" w:rsidR="00352D6A" w:rsidRDefault="00352D6A">
      <w:pPr>
        <w:spacing w:after="0" w:line="240" w:lineRule="auto"/>
        <w:jc w:val="both"/>
        <w:rPr>
          <w:rFonts w:ascii="Times New Roman" w:eastAsiaTheme="minorEastAsia" w:hAnsi="Times New Roman" w:cs="Times New Roman"/>
          <w:sz w:val="20"/>
          <w:szCs w:val="20"/>
        </w:rPr>
      </w:pPr>
    </w:p>
    <w:p w14:paraId="3AD17C99"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limLow>
            <m:limLowPr>
              <m:ctrlPr>
                <w:rPr>
                  <w:rFonts w:ascii="Cambria Math" w:hAnsi="Cambria Math"/>
                </w:rPr>
              </m:ctrlPr>
            </m:limLowPr>
            <m:e>
              <m:r>
                <w:rPr>
                  <w:rFonts w:ascii="Cambria Math" w:hAnsi="Cambria Math"/>
                </w:rPr>
                <m:t>max</m:t>
              </m:r>
            </m:e>
            <m:lim>
              <m:r>
                <w:rPr>
                  <w:rFonts w:ascii="Cambria Math" w:hAnsi="Cambria Math"/>
                </w:rPr>
                <m:t>j</m:t>
              </m:r>
            </m:lim>
          </m:limLow>
          <m:r>
            <w:rPr>
              <w:rFonts w:ascii="Cambria Math" w:hAnsi="Cambria Math"/>
            </w:rPr>
            <m:t>S</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j</m:t>
                      </m:r>
                    </m:e>
                  </m:d>
                </m:sup>
              </m:sSup>
            </m:e>
          </m:d>
          <m:r>
            <w:rPr>
              <w:rFonts w:ascii="Cambria Math" w:hAnsi="Cambria Math"/>
            </w:rPr>
            <m:t>,</m:t>
          </m:r>
          <m:sSup>
            <m:sSupPr>
              <m:ctrlPr>
                <w:rPr>
                  <w:rFonts w:ascii="Cambria Math" w:hAnsi="Cambria Math"/>
                </w:rPr>
              </m:ctrlPr>
            </m:sSupPr>
            <m:e>
              <m:r>
                <w:rPr>
                  <w:rFonts w:ascii="Cambria Math" w:hAnsi="Cambria Math"/>
                </w:rPr>
                <m:t>j</m:t>
              </m:r>
            </m:e>
            <m:sup/>
          </m:sSup>
          <m:r>
            <w:rPr>
              <w:rFonts w:ascii="Cambria Math" w:hAnsi="Cambria Math"/>
            </w:rPr>
            <m:t>=arg</m:t>
          </m:r>
          <m:limLow>
            <m:limLowPr>
              <m:ctrlPr>
                <w:rPr>
                  <w:rFonts w:ascii="Cambria Math" w:hAnsi="Cambria Math"/>
                </w:rPr>
              </m:ctrlPr>
            </m:limLowPr>
            <m:e>
              <m:r>
                <w:rPr>
                  <w:rFonts w:ascii="Cambria Math" w:hAnsi="Cambria Math"/>
                </w:rPr>
                <m:t>max</m:t>
              </m:r>
            </m:e>
            <m:lim>
              <m:r>
                <w:rPr>
                  <w:rFonts w:ascii="Cambria Math" w:hAnsi="Cambria Math"/>
                </w:rPr>
                <m:t>j</m:t>
              </m:r>
            </m:lim>
          </m:limLow>
          <m:r>
            <w:rPr>
              <w:rFonts w:ascii="Cambria Math" w:hAnsi="Cambria Math"/>
            </w:rPr>
            <m:t>S</m:t>
          </m:r>
          <m:d>
            <m:dPr>
              <m:ctrlPr>
                <w:rPr>
                  <w:rFonts w:ascii="Cambria Math" w:hAnsi="Cambria Math"/>
                </w:rPr>
              </m:ctrlPr>
            </m:dPr>
            <m:e>
              <m:r>
                <w:rPr>
                  <w:rFonts w:ascii="Cambria Math" w:hAnsi="Cambria Math"/>
                </w:rPr>
                <m:t>Q,</m:t>
              </m:r>
              <m:sSup>
                <m:sSupPr>
                  <m:ctrlPr>
                    <w:rPr>
                      <w:rFonts w:ascii="Cambria Math" w:hAnsi="Cambria Math"/>
                    </w:rPr>
                  </m:ctrlPr>
                </m:sSupPr>
                <m:e>
                  <m:r>
                    <w:rPr>
                      <w:rFonts w:ascii="Cambria Math" w:hAnsi="Cambria Math"/>
                    </w:rPr>
                    <m:t>C</m:t>
                  </m:r>
                </m:e>
                <m:sup>
                  <m:d>
                    <m:dPr>
                      <m:ctrlPr>
                        <w:rPr>
                          <w:rFonts w:ascii="Cambria Math" w:hAnsi="Cambria Math"/>
                        </w:rPr>
                      </m:ctrlPr>
                    </m:dPr>
                    <m:e>
                      <m:r>
                        <w:rPr>
                          <w:rFonts w:ascii="Cambria Math" w:hAnsi="Cambria Math"/>
                        </w:rPr>
                        <m:t>j</m:t>
                      </m:r>
                    </m:e>
                  </m:d>
                </m:sup>
              </m:sSup>
            </m:e>
          </m:d>
        </m:oMath>
      </m:oMathPara>
    </w:p>
    <w:p w14:paraId="11A5DFDD"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S</m:t>
            </m:r>
          </m:e>
          <m:sub>
            <m:r>
              <w:rPr>
                <w:rFonts w:ascii="Cambria Math" w:hAnsi="Cambria Math"/>
              </w:rPr>
              <m:t>L</m:t>
            </m:r>
          </m:sub>
        </m:sSub>
      </m:oMath>
      <w:r>
        <w:rPr>
          <w:rFonts w:ascii="Times New Roman" w:eastAsiaTheme="minorEastAsia" w:hAnsi="Times New Roman" w:cs="Times New Roman"/>
          <w:sz w:val="20"/>
          <w:szCs w:val="20"/>
        </w:rPr>
        <w:t xml:space="preserve"> is the candidate lake's best-window similarity and </w:t>
      </w:r>
      <m:oMath>
        <m:sSup>
          <m:sSupPr>
            <m:ctrlPr>
              <w:rPr>
                <w:rFonts w:ascii="Cambria Math" w:hAnsi="Cambria Math"/>
              </w:rPr>
            </m:ctrlPr>
          </m:sSupPr>
          <m:e>
            <m:r>
              <w:rPr>
                <w:rFonts w:ascii="Cambria Math" w:hAnsi="Cambria Math"/>
              </w:rPr>
              <m:t>j</m:t>
            </m:r>
          </m:e>
          <m:sup/>
        </m:sSup>
      </m:oMath>
      <w:r>
        <w:rPr>
          <w:rFonts w:ascii="Times New Roman" w:eastAsiaTheme="minorEastAsia" w:hAnsi="Times New Roman" w:cs="Times New Roman"/>
          <w:sz w:val="20"/>
          <w:szCs w:val="20"/>
        </w:rPr>
        <w:t xml:space="preserve"> identifies the selected window. The end year of this window, </w:t>
      </w:r>
      <m:oMath>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y</m:t>
            </m:r>
          </m:e>
          <m:sub>
            <m:sSup>
              <m:sSupPr>
                <m:ctrlPr>
                  <w:rPr>
                    <w:rFonts w:ascii="Cambria Math" w:hAnsi="Cambria Math"/>
                  </w:rPr>
                </m:ctrlPr>
              </m:sSupPr>
              <m:e>
                <m:r>
                  <w:rPr>
                    <w:rFonts w:ascii="Cambria Math" w:hAnsi="Cambria Math"/>
                  </w:rPr>
                  <m:t>j</m:t>
                </m:r>
              </m:e>
              <m:sup/>
            </m:sSup>
          </m:sub>
        </m:sSub>
        <m:r>
          <w:rPr>
            <w:rFonts w:ascii="Cambria Math" w:hAnsi="Cambria Math"/>
          </w:rPr>
          <m:t>+W-1</m:t>
        </m:r>
      </m:oMath>
      <w:r>
        <w:rPr>
          <w:rFonts w:ascii="Times New Roman" w:eastAsiaTheme="minorEastAsia" w:hAnsi="Times New Roman" w:cs="Times New Roman"/>
          <w:sz w:val="20"/>
          <w:szCs w:val="20"/>
        </w:rPr>
        <w:t>, defines the temporal pivot for transferring subsequent index changes from the candidate lake to the target.</w:t>
      </w:r>
    </w:p>
    <w:p w14:paraId="2389D271" w14:textId="77777777" w:rsidR="00352D6A" w:rsidRDefault="00352D6A">
      <w:pPr>
        <w:spacing w:after="0" w:line="240" w:lineRule="auto"/>
        <w:jc w:val="both"/>
        <w:rPr>
          <w:rFonts w:ascii="Times New Roman" w:eastAsiaTheme="minorEastAsia" w:hAnsi="Times New Roman" w:cs="Times New Roman"/>
          <w:sz w:val="20"/>
          <w:szCs w:val="20"/>
        </w:rPr>
      </w:pPr>
    </w:p>
    <w:p w14:paraId="795AF285"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In the Ramsar case studies, the raw cosine similarity scores of the five top-ranked candidates ranged from 0.983 to 0.999 (Table 5). To make these values easier to display, EcoTwin applies a linear transformation with a lower reference value of </w:t>
      </w:r>
      <m:oMath>
        <m:r>
          <w:rPr>
            <w:rFonts w:ascii="Cambria Math" w:hAnsi="Cambria Math"/>
          </w:rPr>
          <m:t>ϕ=0.5</m:t>
        </m:r>
      </m:oMath>
      <w:r>
        <w:rPr>
          <w:rFonts w:ascii="Times New Roman" w:eastAsiaTheme="minorEastAsia" w:hAnsi="Times New Roman" w:cs="Times New Roman"/>
          <w:sz w:val="20"/>
          <w:szCs w:val="20"/>
        </w:rPr>
        <w:t>:</w:t>
      </w:r>
    </w:p>
    <w:p w14:paraId="3116BE5F"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r>
                <w:rPr>
                  <w:rFonts w:ascii="Cambria Math" w:hAnsi="Cambria Math"/>
                </w:rPr>
                <m:t>display</m:t>
              </m:r>
            </m:sup>
          </m:sSubSup>
          <m:r>
            <w:rPr>
              <w:rFonts w:ascii="Cambria Math" w:hAnsi="Cambria Math"/>
            </w:rPr>
            <m:t>=</m:t>
          </m:r>
          <m:sSub>
            <m:sSubPr>
              <m:ctrlPr>
                <w:rPr>
                  <w:rFonts w:ascii="Cambria Math" w:hAnsi="Cambria Math"/>
                </w:rPr>
              </m:ctrlPr>
            </m:sSubPr>
            <m:e>
              <m:r>
                <w:rPr>
                  <w:rFonts w:ascii="Cambria Math" w:hAnsi="Cambria Math"/>
                </w:rPr>
                <m:t>clip</m:t>
              </m:r>
            </m:e>
            <m:sub>
              <m:d>
                <m:dPr>
                  <m:begChr m:val="["/>
                  <m:endChr m:val="]"/>
                  <m:ctrlPr>
                    <w:rPr>
                      <w:rFonts w:ascii="Cambria Math" w:hAnsi="Cambria Math"/>
                    </w:rPr>
                  </m:ctrlPr>
                </m:dPr>
                <m:e>
                  <m:r>
                    <w:rPr>
                      <w:rFonts w:ascii="Cambria Math" w:hAnsi="Cambria Math"/>
                    </w:rPr>
                    <m:t>0,1</m:t>
                  </m:r>
                </m:e>
              </m:d>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-ϕ</m:t>
                  </m:r>
                </m:num>
                <m:den>
                  <m:r>
                    <w:rPr>
                      <w:rFonts w:ascii="Cambria Math" w:hAnsi="Cambria Math"/>
                    </w:rPr>
                    <m:t>1-ϕ</m:t>
                  </m:r>
                </m:den>
              </m:f>
            </m:e>
          </m:d>
        </m:oMath>
      </m:oMathPara>
    </w:p>
    <w:p w14:paraId="5092054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w:rPr>
                <w:rFonts w:ascii="Cambria Math" w:hAnsi="Cambria Math"/>
              </w:rPr>
              <m:t>clip</m:t>
            </m:r>
          </m:e>
          <m:sub>
            <m:d>
              <m:dPr>
                <m:begChr m:val="["/>
                <m:endChr m:val="]"/>
                <m:ctrlPr>
                  <w:rPr>
                    <w:rFonts w:ascii="Cambria Math" w:hAnsi="Cambria Math"/>
                  </w:rPr>
                </m:ctrlPr>
              </m:dPr>
              <m:e>
                <m:r>
                  <w:rPr>
                    <w:rFonts w:ascii="Cambria Math" w:hAnsi="Cambria Math"/>
                  </w:rPr>
                  <m:t>0,1</m:t>
                </m:r>
              </m:e>
            </m:d>
          </m:sub>
        </m:sSub>
      </m:oMath>
      <w:r>
        <w:rPr>
          <w:rFonts w:ascii="Times New Roman" w:hAnsi="Times New Roman" w:cs="Times New Roman"/>
          <w:sz w:val="20"/>
          <w:szCs w:val="20"/>
        </w:rPr>
        <w:t xml:space="preserve"> restricts the transformed value to the interval from zero to one. This monotonic transformation preserves candidate ranking but does not produce a calibrated probability or a percentage measure of ecological similarity. Alternative measures include Euclidean distance transformed as </w:t>
      </w:r>
      <m:oMath>
        <m:f>
          <m:fPr>
            <m:type m:val="lin"/>
            <m:ctrlPr>
              <w:rPr>
                <w:rFonts w:ascii="Cambria Math" w:hAnsi="Cambria Math"/>
              </w:rPr>
            </m:ctrlPr>
          </m:fPr>
          <m:num>
            <m:r>
              <w:rPr>
                <w:rFonts w:ascii="Cambria Math" w:hAnsi="Cambria Math"/>
              </w:rPr>
              <m:t>1</m:t>
            </m:r>
          </m:num>
          <m:den>
            <m:d>
              <m:dPr>
                <m:ctrlPr>
                  <w:rPr>
                    <w:rFonts w:ascii="Cambria Math" w:hAnsi="Cambria Math"/>
                  </w:rPr>
                </m:ctrlPr>
              </m:dPr>
              <m:e>
                <m:r>
                  <w:rPr>
                    <w:rFonts w:ascii="Cambria Math" w:hAnsi="Cambria Math"/>
                  </w:rPr>
                  <m:t>1+d</m:t>
                </m:r>
              </m:e>
            </m:d>
          </m:den>
        </m:f>
      </m:oMath>
      <w:r>
        <w:rPr>
          <w:rFonts w:ascii="Times New Roman" w:hAnsi="Times New Roman" w:cs="Times New Roman"/>
          <w:sz w:val="20"/>
          <w:szCs w:val="20"/>
        </w:rPr>
        <w:t xml:space="preserve"> and inner product transformed as </w:t>
      </w:r>
      <m:oMath>
        <m:f>
          <m:fPr>
            <m:type m:val="lin"/>
            <m:ctrlPr>
              <w:rPr>
                <w:rFonts w:ascii="Cambria Math" w:hAnsi="Cambria Math"/>
              </w:rPr>
            </m:ctrlPr>
          </m:fPr>
          <m:num>
            <m:d>
              <m:dPr>
                <m:ctrlPr>
                  <w:rPr>
                    <w:rFonts w:ascii="Cambria Math" w:hAnsi="Cambria Math"/>
                  </w:rPr>
                </m:ctrlPr>
              </m:dPr>
              <m:e>
                <m:r>
                  <w:rPr>
                    <w:rFonts w:ascii="Cambria Math" w:hAnsi="Cambria Math"/>
                  </w:rPr>
                  <m:t>⟨a,b⟩+1</m:t>
                </m:r>
              </m:e>
            </m:d>
          </m:num>
          <m:den>
            <m:r>
              <w:rPr>
                <w:rFonts w:ascii="Cambria Math" w:hAnsi="Cambria Math"/>
              </w:rPr>
              <m:t>2</m:t>
            </m:r>
          </m:den>
        </m:f>
      </m:oMath>
      <w:r>
        <w:rPr>
          <w:rFonts w:ascii="Times New Roman" w:hAnsi="Times New Roman" w:cs="Times New Roman"/>
          <w:sz w:val="20"/>
          <w:szCs w:val="20"/>
        </w:rPr>
        <w:t>, but cosine similarity is the default.</w:t>
      </w:r>
    </w:p>
    <w:p w14:paraId="0CE12234" w14:textId="77777777" w:rsidR="00352D6A" w:rsidRDefault="00352D6A">
      <w:pPr>
        <w:spacing w:after="0" w:line="240" w:lineRule="auto"/>
        <w:jc w:val="both"/>
        <w:rPr>
          <w:rFonts w:ascii="Times New Roman" w:hAnsi="Times New Roman" w:cs="Times New Roman"/>
          <w:sz w:val="20"/>
          <w:szCs w:val="20"/>
        </w:rPr>
      </w:pPr>
    </w:p>
    <w:p w14:paraId="33E9DB3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current implementation evaluates candidate windows exhaustively in Python. For </w:t>
      </w:r>
      <m:oMath>
        <m:sSub>
          <m:sSubPr>
            <m:ctrlPr>
              <w:rPr>
                <w:rFonts w:ascii="Cambria Math" w:hAnsi="Cambria Math"/>
              </w:rPr>
            </m:ctrlPr>
          </m:sSubPr>
          <m:e>
            <m:r>
              <w:rPr>
                <w:rFonts w:ascii="Cambria Math" w:hAnsi="Cambria Math"/>
              </w:rPr>
              <m:t>N</m:t>
            </m:r>
          </m:e>
          <m:sub>
            <m:r>
              <w:rPr>
                <w:rFonts w:ascii="Cambria Math" w:hAnsi="Cambria Math"/>
              </w:rPr>
              <m:t>w</m:t>
            </m:r>
          </m:sub>
        </m:sSub>
      </m:oMath>
      <w:r>
        <w:rPr>
          <w:rFonts w:ascii="Times New Roman" w:hAnsi="Times New Roman" w:cs="Times New Roman"/>
          <w:sz w:val="20"/>
          <w:szCs w:val="20"/>
        </w:rPr>
        <w:t xml:space="preserve"> eligible candidate windows in total, window length </w:t>
      </w:r>
      <m:oMath>
        <m:r>
          <w:rPr>
            <w:rFonts w:ascii="Cambria Math" w:hAnsi="Cambria Math"/>
          </w:rPr>
          <m:t>W</m:t>
        </m:r>
      </m:oMath>
      <w:r>
        <w:rPr>
          <w:rFonts w:ascii="Times New Roman" w:hAnsi="Times New Roman" w:cs="Times New Roman"/>
          <w:sz w:val="20"/>
          <w:szCs w:val="20"/>
        </w:rPr>
        <w:t xml:space="preserve">, and embedding dimension </w:t>
      </w:r>
      <m:oMath>
        <m:r>
          <w:rPr>
            <w:rFonts w:ascii="Cambria Math" w:hAnsi="Cambria Math"/>
          </w:rPr>
          <m:t>d</m:t>
        </m:r>
      </m:oMath>
      <w:r>
        <w:rPr>
          <w:rFonts w:ascii="Times New Roman" w:hAnsi="Times New Roman" w:cs="Times New Roman"/>
          <w:sz w:val="20"/>
          <w:szCs w:val="20"/>
        </w:rPr>
        <w:t>, the approximate computational complexity of one query is</w:t>
      </w:r>
    </w:p>
    <w:p w14:paraId="2D8B9AE8"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w</m:t>
                  </m:r>
                </m:sub>
              </m:sSub>
              <m:r>
                <w:rPr>
                  <w:rFonts w:ascii="Cambria Math" w:hAnsi="Cambria Math"/>
                </w:rPr>
                <m:t>Wd</m:t>
              </m:r>
            </m:e>
          </m:d>
        </m:oMath>
      </m:oMathPara>
    </w:p>
    <w:p w14:paraId="5FC28C8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 xml:space="preserve">Expressing the cost through the total number of candidate windows remains valid when lakes have records of different lengths. In the deployed cohort, each query compares 4,946 candidate windows from the other 828 lakes, with </w:t>
      </w:r>
      <m:oMath>
        <m:r>
          <w:rPr>
            <w:rFonts w:ascii="Cambria Math" w:hAnsi="Cambria Math"/>
          </w:rPr>
          <m:t>W=5</m:t>
        </m:r>
      </m:oMath>
      <w:r>
        <w:rPr>
          <w:rFonts w:ascii="Times New Roman" w:hAnsi="Times New Roman" w:cs="Times New Roman"/>
          <w:sz w:val="20"/>
          <w:szCs w:val="20"/>
        </w:rPr>
        <w:t xml:space="preserve"> and </w:t>
      </w:r>
      <m:oMath>
        <m:r>
          <w:rPr>
            <w:rFonts w:ascii="Cambria Math" w:hAnsi="Cambria Math"/>
          </w:rPr>
          <m:t>d=768</m:t>
        </m:r>
      </m:oMath>
      <w:r>
        <w:rPr>
          <w:rFonts w:ascii="Times New Roman" w:hAnsi="Times New Roman" w:cs="Times New Roman"/>
          <w:sz w:val="20"/>
          <w:szCs w:val="20"/>
        </w:rPr>
        <w:t xml:space="preserve">, corresponding to approximately </w:t>
      </w:r>
      <m:oMath>
        <m:r>
          <w:rPr>
            <w:rFonts w:ascii="Cambria Math" w:hAnsi="Cambria Math"/>
          </w:rPr>
          <m:t>1.9×</m:t>
        </m:r>
        <m:sSup>
          <m:sSupPr>
            <m:ctrlPr>
              <w:rPr>
                <w:rFonts w:ascii="Cambria Math" w:hAnsi="Cambria Math"/>
              </w:rPr>
            </m:ctrlPr>
          </m:sSupPr>
          <m:e>
            <m:r>
              <w:rPr>
                <w:rFonts w:ascii="Cambria Math" w:hAnsi="Cambria Math"/>
              </w:rPr>
              <m:t>10</m:t>
            </m:r>
          </m:e>
          <m:sup>
            <m:r>
              <w:rPr>
                <w:rFonts w:ascii="Cambria Math" w:hAnsi="Cambria Math"/>
              </w:rPr>
              <m:t>7</m:t>
            </m:r>
          </m:sup>
        </m:sSup>
      </m:oMath>
      <w:r>
        <w:rPr>
          <w:rFonts w:ascii="Times New Roman" w:hAnsi="Times New Roman" w:cs="Times New Roman"/>
          <w:sz w:val="20"/>
          <w:szCs w:val="20"/>
        </w:rPr>
        <w:t xml:space="preserve"> multiply-accumulate operations. In an offline re-implementation of the scoring step on the final dataset, each case-study query took 102–110 ms on a desktop CPU, excluding database access. These timings indicate that retrieval is practical at the current cohort size, although computational demand will increase with the number of candidate lakes and the length of their histories.</w:t>
      </w:r>
    </w:p>
    <w:p w14:paraId="16319008" w14:textId="77777777" w:rsidR="001203CD" w:rsidRDefault="001203CD">
      <w:pPr>
        <w:spacing w:after="0" w:line="360" w:lineRule="auto"/>
        <w:jc w:val="both"/>
        <w:rPr>
          <w:rFonts w:ascii="Times New Roman" w:hAnsi="Times New Roman" w:cs="Times New Roman"/>
          <w:b/>
          <w:bCs/>
          <w:sz w:val="20"/>
          <w:szCs w:val="20"/>
        </w:rPr>
      </w:pPr>
    </w:p>
    <w:p w14:paraId="1EEBBD77" w14:textId="05B89B7C"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3.4 Temporal Profiles and Directional Forecasting</w:t>
      </w:r>
    </w:p>
    <w:p w14:paraId="54D03A79"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the target lake and its retrieved analogs, annual spectral-band statistics are assembled into time series from which the environmental indices defined in Table 2 are calculated. The forecasting procedure transfers observed index changes from analogous lakes rather than their absolute index values. The anchor year </w:t>
      </w:r>
      <m:oMath>
        <m:sSub>
          <m:sSubPr>
            <m:ctrlPr>
              <w:rPr>
                <w:rFonts w:ascii="Cambria Math" w:hAnsi="Cambria Math"/>
              </w:rPr>
            </m:ctrlPr>
          </m:sSubPr>
          <m:e>
            <m:r>
              <w:rPr>
                <w:rFonts w:ascii="Cambria Math" w:hAnsi="Cambria Math"/>
              </w:rPr>
              <m:t>t</m:t>
            </m:r>
          </m:e>
          <m:sub>
            <m:r>
              <w:rPr>
                <w:rFonts w:ascii="Cambria Math" w:hAnsi="Cambria Math"/>
              </w:rPr>
              <m:t>0</m:t>
            </m:r>
          </m:sub>
        </m:sSub>
      </m:oMath>
      <w:r>
        <w:rPr>
          <w:rFonts w:ascii="Times New Roman" w:hAnsi="Times New Roman" w:cs="Times New Roman"/>
          <w:sz w:val="20"/>
          <w:szCs w:val="20"/>
        </w:rPr>
        <w:t xml:space="preserve"> is the final year of the target's query trajectory (Section 3.3), and the anchor value </w:t>
      </w:r>
      <m:oMath>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oMath>
      <w:r>
        <w:rPr>
          <w:rFonts w:ascii="Times New Roman" w:hAnsi="Times New Roman" w:cs="Times New Roman"/>
          <w:sz w:val="20"/>
          <w:szCs w:val="20"/>
        </w:rPr>
        <w:t xml:space="preserve"> for each index </w:t>
      </w:r>
      <m:oMath>
        <m:r>
          <w:rPr>
            <w:rFonts w:ascii="Cambria Math" w:hAnsi="Cambria Math"/>
          </w:rPr>
          <m:t>k</m:t>
        </m:r>
      </m:oMath>
      <w:r>
        <w:rPr>
          <w:rFonts w:ascii="Times New Roman" w:hAnsi="Times New Roman" w:cs="Times New Roman"/>
          <w:sz w:val="20"/>
          <w:szCs w:val="20"/>
        </w:rPr>
        <w:t xml:space="preserve"> is taken from the target's completed feature record for that year, or from the most recent earlier record if that year has none. The procedure estimates changes for the next three annual horizons, </w:t>
      </w:r>
      <m:oMath>
        <m:r>
          <w:rPr>
            <w:rFonts w:ascii="Cambria Math" w:hAnsi="Cambria Math"/>
          </w:rPr>
          <m:t>h=1,2,3</m:t>
        </m:r>
      </m:oMath>
      <w:r>
        <w:rPr>
          <w:rFonts w:ascii="Times New Roman" w:hAnsi="Times New Roman" w:cs="Times New Roman"/>
          <w:sz w:val="20"/>
          <w:szCs w:val="20"/>
        </w:rPr>
        <w:t>.</w:t>
      </w:r>
    </w:p>
    <w:p w14:paraId="53600F4B" w14:textId="77777777" w:rsidR="00352D6A" w:rsidRDefault="00352D6A">
      <w:pPr>
        <w:spacing w:after="0" w:line="240" w:lineRule="auto"/>
        <w:jc w:val="both"/>
        <w:rPr>
          <w:rFonts w:ascii="Times New Roman" w:hAnsi="Times New Roman" w:cs="Times New Roman"/>
          <w:sz w:val="20"/>
          <w:szCs w:val="20"/>
        </w:rPr>
      </w:pPr>
    </w:p>
    <w:p w14:paraId="27379A3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similarity search returns the 20 highest-ranked candidate lakes, of which the first ten are examined in rank order. A candidate is retained only if it differs from the target lake, has a completed feature record at the end of its matched trajectory window, and has at least one usable index observation after that window; examination stops when five analogs have been retained. The selected analogs are therefore the highest-ranked candidates that satisfy these data-availability requirements, rather than necessarily the five highest-scoring candidates, and fewer than five are used if fewer qualify among the ten examined. For analog </w:t>
      </w:r>
      <m:oMath>
        <m:r>
          <w:rPr>
            <w:rFonts w:ascii="Cambria Math" w:hAnsi="Cambria Math"/>
          </w:rPr>
          <m:t>i</m:t>
        </m:r>
      </m:oMath>
      <w:r>
        <w:rPr>
          <w:rFonts w:ascii="Times New Roman" w:hAnsi="Times New Roman" w:cs="Times New Roman"/>
          <w:sz w:val="20"/>
          <w:szCs w:val="20"/>
        </w:rPr>
        <w:t xml:space="preserve">, whose matched trajectory ends in year </w:t>
      </w:r>
      <m:oMath>
        <m:sSub>
          <m:sSubPr>
            <m:ctrlPr>
              <w:rPr>
                <w:rFonts w:ascii="Cambria Math" w:hAnsi="Cambria Math"/>
              </w:rPr>
            </m:ctrlPr>
          </m:sSubPr>
          <m:e>
            <m:r>
              <w:rPr>
                <w:rFonts w:ascii="Cambria Math" w:hAnsi="Cambria Math"/>
              </w:rPr>
              <m:t>m</m:t>
            </m:r>
          </m:e>
          <m:sub>
            <m:r>
              <w:rPr>
                <w:rFonts w:ascii="Cambria Math" w:hAnsi="Cambria Math"/>
              </w:rPr>
              <m:t>i</m:t>
            </m:r>
          </m:sub>
        </m:sSub>
      </m:oMath>
      <w:r>
        <w:rPr>
          <w:rFonts w:ascii="Times New Roman" w:hAnsi="Times New Roman" w:cs="Times New Roman"/>
          <w:sz w:val="20"/>
          <w:szCs w:val="20"/>
        </w:rPr>
        <w:t xml:space="preserve">, the observed change in index </w:t>
      </w:r>
      <m:oMath>
        <m:r>
          <w:rPr>
            <w:rFonts w:ascii="Cambria Math" w:hAnsi="Cambria Math"/>
          </w:rPr>
          <m:t>k</m:t>
        </m:r>
      </m:oMath>
      <w:r>
        <w:rPr>
          <w:rFonts w:ascii="Times New Roman" w:hAnsi="Times New Roman" w:cs="Times New Roman"/>
          <w:sz w:val="20"/>
          <w:szCs w:val="20"/>
        </w:rPr>
        <w:t xml:space="preserve"> at horizon </w:t>
      </w:r>
      <m:oMath>
        <m:r>
          <w:rPr>
            <w:rFonts w:ascii="Cambria Math" w:hAnsi="Cambria Math"/>
          </w:rPr>
          <m:t>h</m:t>
        </m:r>
      </m:oMath>
      <w:r>
        <w:rPr>
          <w:rFonts w:ascii="Times New Roman" w:hAnsi="Times New Roman" w:cs="Times New Roman"/>
          <w:sz w:val="20"/>
          <w:szCs w:val="20"/>
        </w:rPr>
        <w:t xml:space="preserve"> is</w:t>
      </w:r>
    </w:p>
    <w:p w14:paraId="1B2343DD" w14:textId="77777777" w:rsidR="00352D6A" w:rsidRDefault="00000000">
      <w:pPr>
        <w:spacing w:after="0" w:line="24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i,k,h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i,k</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oMath>
      </m:oMathPara>
    </w:p>
    <w:p w14:paraId="32EF24A4" w14:textId="77777777" w:rsidR="00352D6A" w:rsidRDefault="00352D6A">
      <w:pPr>
        <w:spacing w:after="0" w:line="240" w:lineRule="auto"/>
        <w:jc w:val="both"/>
        <w:rPr>
          <w:rFonts w:ascii="Times New Roman" w:hAnsi="Times New Roman" w:cs="Times New Roman"/>
          <w:sz w:val="20"/>
          <w:szCs w:val="20"/>
        </w:rPr>
      </w:pPr>
    </w:p>
    <w:p w14:paraId="1B5D79A1"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r>
              <w:rPr>
                <w:rFonts w:ascii="Cambria Math" w:hAnsi="Cambria Math"/>
              </w:rPr>
              <m:t>v</m:t>
            </m:r>
          </m:e>
          <m:sub>
            <m:r>
              <w:rPr>
                <w:rFonts w:ascii="Cambria Math" w:hAnsi="Cambria Math"/>
              </w:rPr>
              <m:t>i,k</m:t>
            </m:r>
          </m:sub>
        </m:sSub>
        <m:d>
          <m:dPr>
            <m:ctrlPr>
              <w:rPr>
                <w:rFonts w:ascii="Cambria Math" w:hAnsi="Cambria Math"/>
              </w:rPr>
            </m:ctrlPr>
          </m:dPr>
          <m:e>
            <m:r>
              <w:rPr>
                <w:rFonts w:ascii="Cambria Math" w:hAnsi="Cambria Math"/>
              </w:rPr>
              <m:t>t</m:t>
            </m:r>
          </m:e>
        </m:d>
      </m:oMath>
      <w:r>
        <w:rPr>
          <w:rFonts w:ascii="Times New Roman" w:hAnsi="Times New Roman" w:cs="Times New Roman"/>
          <w:sz w:val="20"/>
          <w:szCs w:val="20"/>
        </w:rPr>
        <w:t xml:space="preserve"> is the observed value of index </w:t>
      </w:r>
      <m:oMath>
        <m:r>
          <w:rPr>
            <w:rFonts w:ascii="Cambria Math" w:hAnsi="Cambria Math"/>
          </w:rPr>
          <m:t>k</m:t>
        </m:r>
      </m:oMath>
      <w:r>
        <w:rPr>
          <w:rFonts w:ascii="Times New Roman" w:hAnsi="Times New Roman" w:cs="Times New Roman"/>
          <w:sz w:val="20"/>
          <w:szCs w:val="20"/>
        </w:rPr>
        <w:t xml:space="preserve"> for analog </w:t>
      </w:r>
      <m:oMath>
        <m:r>
          <w:rPr>
            <w:rFonts w:ascii="Cambria Math" w:hAnsi="Cambria Math"/>
          </w:rPr>
          <m:t>i</m:t>
        </m:r>
      </m:oMath>
      <w:r>
        <w:rPr>
          <w:rFonts w:ascii="Times New Roman" w:hAnsi="Times New Roman" w:cs="Times New Roman"/>
          <w:sz w:val="20"/>
          <w:szCs w:val="20"/>
        </w:rPr>
        <w:t xml:space="preserve"> in year </w:t>
      </w:r>
      <m:oMath>
        <m:r>
          <w:rPr>
            <w:rFonts w:ascii="Cambria Math" w:hAnsi="Cambria Math"/>
          </w:rPr>
          <m:t>t</m:t>
        </m:r>
      </m:oMath>
      <w:r>
        <w:rPr>
          <w:rFonts w:ascii="Times New Roman" w:hAnsi="Times New Roman" w:cs="Times New Roman"/>
          <w:sz w:val="20"/>
          <w:szCs w:val="20"/>
        </w:rPr>
        <w:t>. Using changes rather than absolute values reduces the direct influence of differences in baseline index levels between lakes.</w:t>
      </w:r>
    </w:p>
    <w:p w14:paraId="6C0FC4F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five analogs receive fixed rank-based weights:</w:t>
      </w:r>
    </w:p>
    <w:p w14:paraId="34052442"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5</m:t>
                  </m:r>
                </m:sub>
              </m:sSub>
            </m:e>
          </m:d>
          <m:r>
            <w:rPr>
              <w:rFonts w:ascii="Cambria Math" w:hAnsi="Cambria Math"/>
            </w:rPr>
            <m:t>=</m:t>
          </m:r>
          <m:d>
            <m:dPr>
              <m:ctrlPr>
                <w:rPr>
                  <w:rFonts w:ascii="Cambria Math" w:hAnsi="Cambria Math"/>
                </w:rPr>
              </m:ctrlPr>
            </m:dPr>
            <m:e>
              <m:r>
                <w:rPr>
                  <w:rFonts w:ascii="Cambria Math" w:hAnsi="Cambria Math"/>
                </w:rPr>
                <m:t>0.28,0.24,0.20,0.16,0.12</m:t>
              </m:r>
            </m:e>
          </m:d>
        </m:oMath>
      </m:oMathPara>
    </w:p>
    <w:p w14:paraId="444CC5AD"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These weights sum to one and assign greater influence to higher-ranked analogs. They depend on retrieval rank rather than the raw similarity scores, which fall within a narrow range close to one. The weights are a fixed heuristic design choice and have not been calibrated or validated.</w:t>
      </w:r>
    </w:p>
    <w:p w14:paraId="5048658C"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Some analogs may lack usable observations at particular forecast horizons. Let </w:t>
      </w:r>
      <m:oMath>
        <m:sSub>
          <m:sSubPr>
            <m:ctrlPr>
              <w:rPr>
                <w:rFonts w:ascii="Cambria Math" w:hAnsi="Cambria Math"/>
              </w:rPr>
            </m:ctrlPr>
          </m:sSubPr>
          <m:e>
            <m:r>
              <w:rPr>
                <w:rFonts w:ascii="Cambria Math" w:hAnsi="Cambria Math"/>
              </w:rPr>
              <m:t>A</m:t>
            </m:r>
          </m:e>
          <m:sub>
            <m:r>
              <w:rPr>
                <w:rFonts w:ascii="Cambria Math" w:hAnsi="Cambria Math"/>
              </w:rPr>
              <m:t>k,h</m:t>
            </m:r>
          </m:sub>
        </m:sSub>
      </m:oMath>
      <w:r>
        <w:rPr>
          <w:rFonts w:ascii="Times New Roman" w:eastAsiaTheme="minorEastAsia" w:hAnsi="Times New Roman" w:cs="Times New Roman"/>
          <w:sz w:val="20"/>
          <w:szCs w:val="20"/>
        </w:rPr>
        <w:t xml:space="preserve"> denote the set of analogs with valid changes for index </w:t>
      </w:r>
      <m:oMath>
        <m:r>
          <w:rPr>
            <w:rFonts w:ascii="Cambria Math" w:hAnsi="Cambria Math"/>
          </w:rPr>
          <m:t>k</m:t>
        </m:r>
      </m:oMath>
      <w:r>
        <w:rPr>
          <w:rFonts w:ascii="Times New Roman" w:eastAsiaTheme="minorEastAsia" w:hAnsi="Times New Roman" w:cs="Times New Roman"/>
          <w:sz w:val="20"/>
          <w:szCs w:val="20"/>
        </w:rPr>
        <w:t xml:space="preserve"> at horizon </w:t>
      </w:r>
      <m:oMath>
        <m:r>
          <w:rPr>
            <w:rFonts w:ascii="Cambria Math" w:hAnsi="Cambria Math"/>
          </w:rPr>
          <m:t>h</m:t>
        </m:r>
      </m:oMath>
      <w:r>
        <w:rPr>
          <w:rFonts w:ascii="Times New Roman" w:eastAsiaTheme="minorEastAsia" w:hAnsi="Times New Roman" w:cs="Times New Roman"/>
          <w:sz w:val="20"/>
          <w:szCs w:val="20"/>
        </w:rPr>
        <w:t>. Their weights are renormalised as follows:</w:t>
      </w:r>
    </w:p>
    <w:p w14:paraId="046C94B0"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i,k,h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i</m:t>
                  </m:r>
                </m:sub>
              </m:sSub>
            </m:num>
            <m:den>
              <m:nary>
                <m:naryPr>
                  <m:chr m:val="∑"/>
                  <m:supHide m:val="1"/>
                  <m:ctrlPr>
                    <w:rPr>
                      <w:rFonts w:ascii="Cambria Math" w:hAnsi="Cambria Math"/>
                    </w:rPr>
                  </m:ctrlPr>
                </m:naryPr>
                <m:sub>
                  <m:r>
                    <w:rPr>
                      <w:rFonts w:ascii="Cambria Math" w:hAnsi="Cambria Math"/>
                    </w:rPr>
                    <m:t>j∈</m:t>
                  </m:r>
                  <m:sSub>
                    <m:sSubPr>
                      <m:ctrlPr>
                        <w:rPr>
                          <w:rFonts w:ascii="Cambria Math" w:hAnsi="Cambria Math"/>
                        </w:rPr>
                      </m:ctrlPr>
                    </m:sSubPr>
                    <m:e>
                      <m:r>
                        <w:rPr>
                          <w:rFonts w:ascii="Cambria Math" w:hAnsi="Cambria Math"/>
                        </w:rPr>
                        <m:t>A</m:t>
                      </m:r>
                    </m:e>
                    <m:sub>
                      <m:r>
                        <w:rPr>
                          <w:rFonts w:ascii="Cambria Math" w:hAnsi="Cambria Math"/>
                        </w:rPr>
                        <m:t>k,h</m:t>
                      </m:r>
                    </m:sub>
                  </m:sSub>
                </m:sub>
                <m:sup/>
                <m:e>
                  <m:sSub>
                    <m:sSubPr>
                      <m:ctrlPr>
                        <w:rPr>
                          <w:rFonts w:ascii="Cambria Math" w:hAnsi="Cambria Math"/>
                        </w:rPr>
                      </m:ctrlPr>
                    </m:sSubPr>
                    <m:e>
                      <m:r>
                        <w:rPr>
                          <w:rFonts w:ascii="Cambria Math" w:hAnsi="Cambria Math"/>
                        </w:rPr>
                        <m:t>ω</m:t>
                      </m:r>
                    </m:e>
                    <m:sub>
                      <m:r>
                        <w:rPr>
                          <w:rFonts w:ascii="Cambria Math" w:hAnsi="Cambria Math"/>
                        </w:rPr>
                        <m:t>j</m:t>
                      </m:r>
                    </m:sub>
                  </m:sSub>
                </m:e>
              </m:nary>
            </m:den>
          </m:f>
          <m: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k,h</m:t>
              </m:r>
            </m:sub>
          </m:sSub>
        </m:oMath>
      </m:oMathPara>
    </w:p>
    <w:p w14:paraId="5490DBD5"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weighted change for each index and forecast horizon is then calculated as</w:t>
      </w:r>
    </w:p>
    <w:p w14:paraId="544E678C"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k,h</m:t>
              </m:r>
            </m:sub>
          </m:sSub>
          <m:r>
            <w:rPr>
              <w:rFonts w:ascii="Cambria Math" w:hAnsi="Cambria Math"/>
            </w:rPr>
            <m:t>=</m:t>
          </m:r>
          <m:nary>
            <m:naryPr>
              <m:chr m:val="∑"/>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A</m:t>
                  </m:r>
                </m:e>
                <m:sub>
                  <m:r>
                    <w:rPr>
                      <w:rFonts w:ascii="Cambria Math" w:hAnsi="Cambria Math"/>
                    </w:rPr>
                    <m:t>k,h</m:t>
                  </m:r>
                </m:sub>
              </m:sSub>
            </m:sub>
            <m:sup/>
            <m:e>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i,k,h</m:t>
                  </m:r>
                </m:sub>
              </m:sSub>
            </m:e>
          </m:nary>
          <m:sSub>
            <m:sSubPr>
              <m:ctrlPr>
                <w:rPr>
                  <w:rFonts w:ascii="Cambria Math" w:hAnsi="Cambria Math"/>
                </w:rPr>
              </m:ctrlPr>
            </m:sSubPr>
            <m:e>
              <m:r>
                <w:rPr>
                  <w:rFonts w:ascii="Cambria Math" w:hAnsi="Cambria Math"/>
                </w:rPr>
                <m:t>δ</m:t>
              </m:r>
            </m:e>
            <m:sub>
              <m:r>
                <w:rPr>
                  <w:rFonts w:ascii="Cambria Math" w:hAnsi="Cambria Math"/>
                </w:rPr>
                <m:t>i,k,h</m:t>
              </m:r>
            </m:sub>
          </m:sSub>
        </m:oMath>
      </m:oMathPara>
    </w:p>
    <w:p w14:paraId="5EE758A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Weight renormalisation prevents missing observations from reducing the estimated change merely because some analogs are unavailable. The number of analogs contributing to each estimate is recorded alongside the result to indicate the amount of supporting evidence. Directional classification compares each weighted change with a threshold </w:t>
      </w:r>
      <m:oMath>
        <m:sSub>
          <m:sSubPr>
            <m:ctrlPr>
              <w:rPr>
                <w:rFonts w:ascii="Cambria Math" w:hAnsi="Cambria Math"/>
              </w:rPr>
            </m:ctrlPr>
          </m:sSubPr>
          <m:e>
            <m:r>
              <w:rPr>
                <w:rFonts w:ascii="Cambria Math" w:hAnsi="Cambria Math"/>
              </w:rPr>
              <m:t>τ</m:t>
            </m:r>
          </m:e>
          <m:sub>
            <m:r>
              <w:rPr>
                <w:rFonts w:ascii="Cambria Math" w:hAnsi="Cambria Math"/>
              </w:rPr>
              <m:t>k,h</m:t>
            </m:r>
          </m:sub>
        </m:sSub>
      </m:oMath>
      <w:r>
        <w:rPr>
          <w:rFonts w:ascii="Times New Roman" w:hAnsi="Times New Roman" w:cs="Times New Roman"/>
          <w:sz w:val="20"/>
          <w:szCs w:val="20"/>
        </w:rPr>
        <w:t xml:space="preserve"> specific to index </w:t>
      </w:r>
      <m:oMath>
        <m:r>
          <w:rPr>
            <w:rFonts w:ascii="Cambria Math" w:hAnsi="Cambria Math"/>
          </w:rPr>
          <m:t>k</m:t>
        </m:r>
      </m:oMath>
      <w:r>
        <w:rPr>
          <w:rFonts w:ascii="Times New Roman" w:hAnsi="Times New Roman" w:cs="Times New Roman"/>
          <w:sz w:val="20"/>
          <w:szCs w:val="20"/>
        </w:rPr>
        <w:t xml:space="preserve"> and horizon </w:t>
      </w:r>
      <m:oMath>
        <m:r>
          <w:rPr>
            <w:rFonts w:ascii="Cambria Math" w:hAnsi="Cambria Math"/>
          </w:rPr>
          <m:t>h</m:t>
        </m:r>
      </m:oMath>
      <w:r>
        <w:rPr>
          <w:rFonts w:ascii="Times New Roman" w:hAnsi="Times New Roman" w:cs="Times New Roman"/>
          <w:sz w:val="20"/>
          <w:szCs w:val="20"/>
        </w:rPr>
        <w:t xml:space="preserve">, set to half the median absolute change of that index over </w:t>
      </w:r>
      <m:oMath>
        <m:r>
          <w:rPr>
            <w:rFonts w:ascii="Cambria Math" w:hAnsi="Cambria Math"/>
          </w:rPr>
          <m:t>h</m:t>
        </m:r>
      </m:oMath>
      <w:r>
        <w:rPr>
          <w:rFonts w:ascii="Times New Roman" w:hAnsi="Times New Roman" w:cs="Times New Roman"/>
          <w:sz w:val="20"/>
          <w:szCs w:val="20"/>
        </w:rPr>
        <w:t xml:space="preserve"> years across the cohort:</w:t>
      </w:r>
    </w:p>
    <w:p w14:paraId="6C40BCA2" w14:textId="77777777" w:rsidR="00352D6A" w:rsidRDefault="00000000">
      <w:pPr>
        <w:spacing w:after="0" w:line="360" w:lineRule="auto"/>
        <w:jc w:val="center"/>
        <w:rPr>
          <w:rFonts w:ascii="Times New Roman"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k,h</m:t>
              </m:r>
            </m:sub>
          </m:sSub>
          <m:r>
            <w:rPr>
              <w:rFonts w:ascii="Cambria Math" w:hAnsi="Cambria Math"/>
            </w:rPr>
            <m:t>=0.5⋅</m:t>
          </m:r>
          <m:sSub>
            <m:sSubPr>
              <m:ctrlPr>
                <w:rPr>
                  <w:rFonts w:ascii="Cambria Math" w:hAnsi="Cambria Math"/>
                </w:rPr>
              </m:ctrlPr>
            </m:sSubPr>
            <m:e>
              <m:r>
                <w:rPr>
                  <w:rFonts w:ascii="Cambria Math" w:hAnsi="Cambria Math"/>
                </w:rPr>
                <m:t>median</m:t>
              </m:r>
            </m:e>
            <m:sub>
              <m:r>
                <w:rPr>
                  <w:rFonts w:ascii="Cambria Math" w:hAnsi="Cambria Math"/>
                </w:rPr>
                <m:t>L,y</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L,k</m:t>
                  </m:r>
                </m:sub>
              </m:sSub>
              <m:d>
                <m:dPr>
                  <m:ctrlPr>
                    <w:rPr>
                      <w:rFonts w:ascii="Cambria Math" w:hAnsi="Cambria Math"/>
                    </w:rPr>
                  </m:ctrlPr>
                </m:dPr>
                <m:e>
                  <m:r>
                    <w:rPr>
                      <w:rFonts w:ascii="Cambria Math" w:hAnsi="Cambria Math"/>
                    </w:rPr>
                    <m:t>y+h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L,k</m:t>
                  </m:r>
                </m:sub>
              </m:sSub>
              <m:d>
                <m:dPr>
                  <m:ctrlPr>
                    <w:rPr>
                      <w:rFonts w:ascii="Cambria Math" w:hAnsi="Cambria Math"/>
                    </w:rPr>
                  </m:ctrlPr>
                </m:dPr>
                <m:e>
                  <m:r>
                    <w:rPr>
                      <w:rFonts w:ascii="Cambria Math" w:hAnsi="Cambria Math"/>
                    </w:rPr>
                    <m:t>y</m:t>
                  </m:r>
                </m:e>
              </m:d>
            </m:e>
          </m:d>
        </m:oMath>
      </m:oMathPara>
    </w:p>
    <w:p w14:paraId="0A91750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r>
          <w:rPr>
            <w:rFonts w:ascii="Cambria Math" w:hAnsi="Cambria Math"/>
          </w:rPr>
          <m:t>L</m:t>
        </m:r>
      </m:oMath>
      <w:r>
        <w:rPr>
          <w:rFonts w:ascii="Times New Roman" w:hAnsi="Times New Roman" w:cs="Times New Roman"/>
          <w:sz w:val="20"/>
          <w:szCs w:val="20"/>
        </w:rPr>
        <w:t xml:space="preserve"> ranges over the cohort lakes and </w:t>
      </w:r>
      <m:oMath>
        <m:r>
          <w:rPr>
            <w:rFonts w:ascii="Cambria Math" w:hAnsi="Cambria Math"/>
          </w:rPr>
          <m:t>y</m:t>
        </m:r>
      </m:oMath>
      <w:r>
        <w:rPr>
          <w:rFonts w:ascii="Times New Roman" w:hAnsi="Times New Roman" w:cs="Times New Roman"/>
          <w:sz w:val="20"/>
          <w:szCs w:val="20"/>
        </w:rPr>
        <w:t xml:space="preserve"> over the years in which index </w:t>
      </w:r>
      <m:oMath>
        <m:r>
          <w:rPr>
            <w:rFonts w:ascii="Cambria Math" w:hAnsi="Cambria Math"/>
          </w:rPr>
          <m:t>k</m:t>
        </m:r>
      </m:oMath>
      <w:r>
        <w:rPr>
          <w:rFonts w:ascii="Times New Roman" w:hAnsi="Times New Roman" w:cs="Times New Roman"/>
          <w:sz w:val="20"/>
          <w:szCs w:val="20"/>
        </w:rPr>
        <w:t xml:space="preserve"> is observed in both </w:t>
      </w:r>
      <m:oMath>
        <m:r>
          <w:rPr>
            <w:rFonts w:ascii="Cambria Math" w:hAnsi="Cambria Math"/>
          </w:rPr>
          <m:t>y</m:t>
        </m:r>
      </m:oMath>
      <w:r>
        <w:rPr>
          <w:rFonts w:ascii="Times New Roman" w:hAnsi="Times New Roman" w:cs="Times New Roman"/>
          <w:sz w:val="20"/>
          <w:szCs w:val="20"/>
        </w:rPr>
        <w:t xml:space="preserve"> and </w:t>
      </w:r>
      <m:oMath>
        <m:r>
          <w:rPr>
            <w:rFonts w:ascii="Cambria Math" w:hAnsi="Cambria Math"/>
          </w:rPr>
          <m:t>y+h</m:t>
        </m:r>
      </m:oMath>
      <w:r>
        <w:rPr>
          <w:rFonts w:ascii="Times New Roman" w:hAnsi="Times New Roman" w:cs="Times New Roman"/>
          <w:sz w:val="20"/>
          <w:szCs w:val="20"/>
        </w:rPr>
        <w:t>. Only feature records of the current processing version are used; with fewer than 30 such pairs, a fixed fallback threshold of 0.005 applies to each index. Each direction is then assigned as</w:t>
      </w:r>
    </w:p>
    <w:p w14:paraId="0942A5C5" w14:textId="77777777" w:rsidR="00352D6A" w:rsidRDefault="00000000">
      <w:pPr>
        <w:spacing w:after="0" w:line="360" w:lineRule="auto"/>
        <w:jc w:val="center"/>
        <w:rPr>
          <w:rFonts w:ascii="Times New Roman"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k,h</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lit/>
                        <m:nor/>
                      </m:rPr>
                      <w:rPr>
                        <w:rFonts w:ascii="Cambria Math" w:hAnsi="Cambria Math"/>
                      </w:rPr>
                      <m:t>uncertain</m:t>
                    </m:r>
                    <m:r>
                      <w:rPr>
                        <w:rFonts w:ascii="Cambria Math" w:hAnsi="Cambria Math"/>
                      </w:rPr>
                      <m:t>,</m:t>
                    </m:r>
                  </m:e>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k,h</m:t>
                            </m:r>
                          </m:sub>
                        </m:sSub>
                      </m:e>
                    </m:d>
                    <m:r>
                      <w:rPr>
                        <w:rFonts w:ascii="Cambria Math" w:hAnsi="Cambria Math"/>
                      </w:rPr>
                      <m:t>&lt;2,</m:t>
                    </m:r>
                  </m:e>
                </m:mr>
                <m:mr>
                  <m:e>
                    <m:r>
                      <m:rPr>
                        <m:lit/>
                        <m:nor/>
                      </m:rPr>
                      <w:rPr>
                        <w:rFonts w:ascii="Cambria Math" w:hAnsi="Cambria Math"/>
                      </w:rPr>
                      <m:t>up</m:t>
                    </m:r>
                    <m: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k,h</m:t>
                        </m:r>
                      </m:sub>
                    </m:sSub>
                    <m:r>
                      <w:rPr>
                        <w:rFonts w:ascii="Cambria Math" w:hAnsi="Cambria Math"/>
                      </w:rPr>
                      <m:t>&gt;</m:t>
                    </m:r>
                    <m:sSub>
                      <m:sSubPr>
                        <m:ctrlPr>
                          <w:rPr>
                            <w:rFonts w:ascii="Cambria Math" w:hAnsi="Cambria Math"/>
                          </w:rPr>
                        </m:ctrlPr>
                      </m:sSubPr>
                      <m:e>
                        <m:r>
                          <w:rPr>
                            <w:rFonts w:ascii="Cambria Math" w:hAnsi="Cambria Math"/>
                          </w:rPr>
                          <m:t>τ</m:t>
                        </m:r>
                      </m:e>
                      <m:sub>
                        <m:r>
                          <w:rPr>
                            <w:rFonts w:ascii="Cambria Math" w:hAnsi="Cambria Math"/>
                          </w:rPr>
                          <m:t>k,h</m:t>
                        </m:r>
                      </m:sub>
                    </m:sSub>
                    <m:r>
                      <w:rPr>
                        <w:rFonts w:ascii="Cambria Math" w:hAnsi="Cambria Math"/>
                      </w:rPr>
                      <m:t>,</m:t>
                    </m:r>
                  </m:e>
                </m:mr>
                <m:mr>
                  <m:e>
                    <m:r>
                      <m:rPr>
                        <m:lit/>
                        <m:nor/>
                      </m:rPr>
                      <w:rPr>
                        <w:rFonts w:ascii="Cambria Math" w:hAnsi="Cambria Math"/>
                      </w:rPr>
                      <m:t>down</m:t>
                    </m:r>
                    <m:r>
                      <w:rPr>
                        <w:rFonts w:ascii="Cambria Math" w:hAnsi="Cambria Math"/>
                      </w:rPr>
                      <m:t>,</m:t>
                    </m:r>
                  </m:e>
                  <m:e>
                    <m:sSub>
                      <m:sSubPr>
                        <m:ctrlPr>
                          <w:rPr>
                            <w:rFonts w:ascii="Cambria Math" w:hAnsi="Cambria Math"/>
                          </w:rPr>
                        </m:ctrlPr>
                      </m:sSubPr>
                      <m:e>
                        <m:r>
                          <w:rPr>
                            <w:rFonts w:ascii="Cambria Math" w:hAnsi="Cambria Math"/>
                          </w:rPr>
                          <m:t>Σ</m:t>
                        </m:r>
                      </m:e>
                      <m:sub>
                        <m:r>
                          <w:rPr>
                            <w:rFonts w:ascii="Cambria Math" w:hAnsi="Cambria Math"/>
                          </w:rPr>
                          <m:t>k,h</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k,h</m:t>
                        </m:r>
                      </m:sub>
                    </m:sSub>
                    <m:r>
                      <w:rPr>
                        <w:rFonts w:ascii="Cambria Math" w:hAnsi="Cambria Math"/>
                      </w:rPr>
                      <m:t>,</m:t>
                    </m:r>
                  </m:e>
                </m:mr>
                <m:mr>
                  <m:e>
                    <m:r>
                      <m:rPr>
                        <m:lit/>
                        <m:nor/>
                      </m:rPr>
                      <w:rPr>
                        <w:rFonts w:ascii="Cambria Math" w:hAnsi="Cambria Math"/>
                      </w:rPr>
                      <m:t>stable</m:t>
                    </m:r>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k,h</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k,h</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k,h</m:t>
                        </m:r>
                      </m:sub>
                    </m:sSub>
                    <m:r>
                      <w:rPr>
                        <w:rFonts w:ascii="Cambria Math" w:hAnsi="Cambria Math"/>
                      </w:rPr>
                      <m:t>.</m:t>
                    </m:r>
                  </m:e>
                </m:mr>
              </m:m>
            </m:e>
          </m:d>
        </m:oMath>
      </m:oMathPara>
    </w:p>
    <w:p w14:paraId="30BF4491" w14:textId="101C280E" w:rsidR="00352D6A" w:rsidRDefault="00000000" w:rsidP="00E63FD2">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availability condition is evaluated first. Fewer than two analogs with usable changes results in an uncertain classification. Otherwise, the estimated direction depends on whether the weighted change exceeds the positive or negative threshold. A stable classification indicates that the net weighted change falls within the threshold interval. It does not establish that the analogs agree, because positive and negative changes can cancel each other. Because each threshold is expressed in the units of its own index and widens with the forecast horizon, classifications are comparable across indices with different numerical scales; the factor of 0.5 is, however, a heuristic choice that has not been calibrated. Directional classes describe the weighted change in an index and do not by themselves imply overall ecological improvement or deterioration. An indicative future index value is obtained by adding the weighted change to the target's anchor value</w:t>
      </w:r>
    </w:p>
    <w:p w14:paraId="34B64239"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k,h</m:t>
              </m:r>
            </m:sub>
          </m:sSub>
        </m:oMath>
      </m:oMathPara>
    </w:p>
    <w:p w14:paraId="4F174C7D"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+h</m:t>
            </m:r>
          </m:e>
        </m:d>
      </m:oMath>
      <w:r>
        <w:rPr>
          <w:rFonts w:ascii="Times New Roman" w:hAnsi="Times New Roman" w:cs="Times New Roman"/>
          <w:sz w:val="20"/>
          <w:szCs w:val="20"/>
        </w:rPr>
        <w:t xml:space="preserve"> is the estimated index value at horizon </w:t>
      </w:r>
      <m:oMath>
        <m:r>
          <w:rPr>
            <w:rFonts w:ascii="Cambria Math" w:hAnsi="Cambria Math"/>
          </w:rPr>
          <m:t>h</m:t>
        </m:r>
      </m:oMath>
      <w:r>
        <w:rPr>
          <w:rFonts w:ascii="Times New Roman" w:hAnsi="Times New Roman" w:cs="Times New Roman"/>
          <w:sz w:val="20"/>
          <w:szCs w:val="20"/>
        </w:rPr>
        <w:t>. This value is an analog-based estimate rather than a calibrated point prediction. Each forecast retains an audit trail containing the target's anchor values, selected analogs, matched trajectory windows, rank weights, directional classification, and weighted contributions.</w:t>
      </w:r>
    </w:p>
    <w:p w14:paraId="4BDE31B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Unlike a parametric time-series model, EcoTwin estimates no lake-specific forecasting parameters; its outputs can be traced through the retrieved analogs, their similarity scores and historical trajectories, and the transferred index changes.</w:t>
      </w:r>
    </w:p>
    <w:p w14:paraId="26257526" w14:textId="77777777" w:rsidR="00352D6A" w:rsidRDefault="00352D6A">
      <w:pPr>
        <w:spacing w:after="0" w:line="240" w:lineRule="auto"/>
        <w:jc w:val="both"/>
        <w:rPr>
          <w:rFonts w:ascii="Times New Roman" w:hAnsi="Times New Roman" w:cs="Times New Roman"/>
          <w:sz w:val="20"/>
          <w:szCs w:val="20"/>
        </w:rPr>
      </w:pPr>
    </w:p>
    <w:p w14:paraId="060BF379"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 dispersion-based uncertainty measure across analog forecasts was considered but not adopted because a small, unevenly weighted analog set may provide an unstable estimate of spread. The number of usable analogs is therefore reported as an indicator of evidence availability, not as a calibrated measure of confidence.</w:t>
      </w:r>
    </w:p>
    <w:p w14:paraId="32201EB2" w14:textId="77777777" w:rsidR="00352D6A" w:rsidRDefault="00352D6A">
      <w:pPr>
        <w:spacing w:after="0" w:line="240" w:lineRule="auto"/>
        <w:jc w:val="both"/>
        <w:rPr>
          <w:rFonts w:ascii="Times New Roman" w:hAnsi="Times New Roman" w:cs="Times New Roman"/>
          <w:sz w:val="20"/>
          <w:szCs w:val="20"/>
        </w:rPr>
      </w:pPr>
    </w:p>
    <w:p w14:paraId="1546586D"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3.5 Hindcasting and Evaluation Protocol</w:t>
      </w:r>
    </w:p>
    <w:p w14:paraId="46BB053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Forecast performance must be assessed through hindcasting, in which future observations are withheld and predictions are generated using only information available at a specified cutoff year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At each cutoff, the target </w:t>
      </w:r>
      <w:r>
        <w:rPr>
          <w:rFonts w:ascii="Times New Roman" w:hAnsi="Times New Roman" w:cs="Times New Roman"/>
          <w:sz w:val="20"/>
          <w:szCs w:val="20"/>
        </w:rPr>
        <w:lastRenderedPageBreak/>
        <w:t xml:space="preserve">trajectory and every candidate history are restricted to years up to and including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To prevent information leakage, an analog's change at horizon </w:t>
      </w:r>
      <m:oMath>
        <m:r>
          <w:rPr>
            <w:rFonts w:ascii="Cambria Math" w:hAnsi="Cambria Math"/>
          </w:rPr>
          <m:t>h</m:t>
        </m:r>
      </m:oMath>
      <w:r>
        <w:rPr>
          <w:rFonts w:ascii="Times New Roman" w:hAnsi="Times New Roman" w:cs="Times New Roman"/>
          <w:sz w:val="20"/>
          <w:szCs w:val="20"/>
        </w:rPr>
        <w:t xml:space="preserve"> may be used only if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so that the change was observable by the cutoff; this restriction is applied separately for each horizon. Forecasts are then compared with the held-out observations at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+h</m:t>
        </m:r>
      </m:oMath>
      <w:r>
        <w:rPr>
          <w:rFonts w:ascii="Times New Roman" w:hAnsi="Times New Roman" w:cs="Times New Roman"/>
          <w:sz w:val="20"/>
          <w:szCs w:val="20"/>
        </w:rPr>
        <w:t>.</w:t>
      </w:r>
    </w:p>
    <w:p w14:paraId="0FC3207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These constraints define which evaluations the current record allows. The earliest candidate window ends in 2020, so a change at horizon </w:t>
      </w:r>
      <m:oMath>
        <m:r>
          <w:rPr>
            <w:rFonts w:ascii="Cambria Math" w:hAnsi="Cambria Math"/>
          </w:rPr>
          <m:t>h</m:t>
        </m:r>
      </m:oMath>
      <w:r>
        <w:rPr>
          <w:rFonts w:ascii="Times New Roman" w:hAnsi="Times New Roman" w:cs="Times New Roman"/>
          <w:sz w:val="20"/>
          <w:szCs w:val="20"/>
        </w:rPr>
        <w:t xml:space="preserve"> is available only when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≥2020+</m:t>
        </m:r>
        <m:r>
          <w:rPr>
            <w:rFonts w:ascii="Cambria Math" w:hAnsi="Cambria Math"/>
          </w:rPr>
          <m:t>h</m:t>
        </m:r>
      </m:oMath>
      <w:r>
        <w:rPr>
          <w:rFonts w:ascii="Times New Roman" w:hAnsi="Times New Roman" w:cs="Times New Roman"/>
          <w:sz w:val="20"/>
          <w:szCs w:val="20"/>
        </w:rPr>
        <w:t xml:space="preserve">, and the held-out observation requires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+h≤</m:t>
        </m:r>
        <m:r>
          <w:rPr>
            <w:rFonts w:ascii="Cambria Math" w:hAnsi="Cambria Math"/>
          </w:rPr>
          <m:t>2025</m:t>
        </m:r>
      </m:oMath>
      <w:r>
        <w:rPr>
          <w:rFonts w:ascii="Times New Roman" w:hAnsi="Times New Roman" w:cs="Times New Roman"/>
          <w:sz w:val="20"/>
          <w:szCs w:val="20"/>
        </w:rPr>
        <w:t>. With the 2016–2025 record, one-year hindcasts are therefore possible for cutoffs 2021–2024 and two-year hindcasts for 2022–2023, whereas no leakage-free three-year hindcast is possible until the record extends to at least 2026.</w:t>
      </w:r>
    </w:p>
    <w:p w14:paraId="4BC12BC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lake </w:t>
      </w:r>
      <m:oMath>
        <m:r>
          <w:rPr>
            <w:rFonts w:ascii="Cambria Math" w:hAnsi="Cambria Math"/>
          </w:rPr>
          <m:t>i</m:t>
        </m:r>
      </m:oMath>
      <w:r>
        <w:rPr>
          <w:rFonts w:ascii="Times New Roman" w:hAnsi="Times New Roman" w:cs="Times New Roman"/>
          <w:sz w:val="20"/>
          <w:szCs w:val="20"/>
        </w:rPr>
        <w:t xml:space="preserve">, index </w:t>
      </w:r>
      <m:oMath>
        <m:r>
          <w:rPr>
            <w:rFonts w:ascii="Cambria Math" w:hAnsi="Cambria Math"/>
          </w:rPr>
          <m:t>k</m:t>
        </m:r>
      </m:oMath>
      <w:r>
        <w:rPr>
          <w:rFonts w:ascii="Times New Roman" w:hAnsi="Times New Roman" w:cs="Times New Roman"/>
          <w:sz w:val="20"/>
          <w:szCs w:val="20"/>
        </w:rPr>
        <w:t xml:space="preserve">, cutoff </w:t>
      </w:r>
      <m:oMath>
        <m:sSub>
          <m:sSubPr>
            <m:ctrlPr>
              <w:rPr>
                <w:rFonts w:ascii="Cambria Math" w:hAnsi="Cambria Math"/>
              </w:rPr>
            </m:ctrlPr>
          </m:sSubPr>
          <m:e>
            <m:r>
              <w:rPr>
                <w:rFonts w:ascii="Cambria Math" w:hAnsi="Cambria Math"/>
              </w:rPr>
              <m:t>t</m:t>
            </m:r>
          </m:e>
          <m:sub>
            <m:r>
              <w:rPr>
                <w:rFonts w:ascii="Cambria Math" w:hAnsi="Cambria Math"/>
              </w:rPr>
              <m:t>c</m:t>
            </m:r>
          </m:sub>
        </m:sSub>
      </m:oMath>
      <w:r>
        <w:rPr>
          <w:rFonts w:ascii="Times New Roman" w:hAnsi="Times New Roman" w:cs="Times New Roman"/>
          <w:sz w:val="20"/>
          <w:szCs w:val="20"/>
        </w:rPr>
        <w:t xml:space="preserve">, and horizon </w:t>
      </w:r>
      <m:oMath>
        <m:r>
          <w:rPr>
            <w:rFonts w:ascii="Cambria Math" w:hAnsi="Cambria Math"/>
          </w:rPr>
          <m:t>h</m:t>
        </m:r>
      </m:oMath>
      <w:r>
        <w:rPr>
          <w:rFonts w:ascii="Times New Roman" w:hAnsi="Times New Roman" w:cs="Times New Roman"/>
          <w:sz w:val="20"/>
          <w:szCs w:val="20"/>
        </w:rPr>
        <w:t>, the observed change is</w:t>
      </w:r>
    </w:p>
    <w:p w14:paraId="7CDD1980" w14:textId="44C1D179" w:rsidR="00352D6A" w:rsidRDefault="00000000" w:rsidP="00E63FD2">
      <w:pPr>
        <w:spacing w:after="0" w:line="360" w:lineRule="auto"/>
        <w:jc w:val="center"/>
        <w:rPr>
          <w:rFonts w:ascii="Times New Roman" w:eastAsiaTheme="minorEastAsia" w:hAnsi="Times New Roman" w:cs="Times New Roman"/>
          <w:sz w:val="20"/>
          <w:szCs w:val="20"/>
        </w:rPr>
      </w:pPr>
      <m:oMathPara>
        <m:oMath>
          <m:sSub>
            <m:sSubPr>
              <m:ctrlPr>
                <w:rPr>
                  <w:rFonts w:ascii="Cambria Math" w:hAnsi="Cambria Math"/>
                </w:rPr>
              </m:ctrlPr>
            </m:sSubPr>
            <m:e>
              <m:r>
                <w:rPr>
                  <w:rFonts w:ascii="Cambria Math" w:hAnsi="Cambria Math"/>
                </w:rPr>
                <m:t>Δ</m:t>
              </m:r>
            </m:e>
            <m:sub>
              <m:r>
                <w:rPr>
                  <w:rFonts w:ascii="Cambria Math" w:hAnsi="Cambria Math"/>
                </w:rPr>
                <m:t>k,i,h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k,i</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oMath>
      </m:oMathPara>
    </w:p>
    <w:p w14:paraId="49284773"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v</m:t>
            </m:r>
          </m:e>
          <m:sub>
            <m:r>
              <w:rPr>
                <w:rFonts w:ascii="Cambria Math" w:hAnsi="Cambria Math"/>
              </w:rPr>
              <m:t>k,i</m:t>
            </m:r>
          </m:sub>
        </m:sSub>
        <m:d>
          <m:dPr>
            <m:ctrlPr>
              <w:rPr>
                <w:rFonts w:ascii="Cambria Math" w:hAnsi="Cambria Math"/>
              </w:rPr>
            </m:ctrlPr>
          </m:dPr>
          <m:e>
            <m:r>
              <w:rPr>
                <w:rFonts w:ascii="Cambria Math" w:hAnsi="Cambria Math"/>
              </w:rPr>
              <m:t>t</m:t>
            </m:r>
          </m:e>
        </m:d>
      </m:oMath>
      <w:r>
        <w:rPr>
          <w:rFonts w:ascii="Times New Roman" w:eastAsiaTheme="minorEastAsia" w:hAnsi="Times New Roman" w:cs="Times New Roman"/>
          <w:sz w:val="20"/>
          <w:szCs w:val="20"/>
        </w:rPr>
        <w:t xml:space="preserve"> is the observed value of index </w:t>
      </w:r>
      <m:oMath>
        <m:r>
          <w:rPr>
            <w:rFonts w:ascii="Cambria Math" w:hAnsi="Cambria Math"/>
          </w:rPr>
          <m:t>k</m:t>
        </m:r>
      </m:oMath>
      <w:r>
        <w:rPr>
          <w:rFonts w:ascii="Times New Roman" w:eastAsiaTheme="minorEastAsia" w:hAnsi="Times New Roman" w:cs="Times New Roman"/>
          <w:sz w:val="20"/>
          <w:szCs w:val="20"/>
        </w:rPr>
        <w:t xml:space="preserve"> for lake </w:t>
      </w:r>
      <m:oMath>
        <m:r>
          <w:rPr>
            <w:rFonts w:ascii="Cambria Math" w:hAnsi="Cambria Math"/>
          </w:rPr>
          <m:t>i</m:t>
        </m:r>
      </m:oMath>
      <w:r>
        <w:rPr>
          <w:rFonts w:ascii="Times New Roman" w:eastAsiaTheme="minorEastAsia" w:hAnsi="Times New Roman" w:cs="Times New Roman"/>
          <w:sz w:val="20"/>
          <w:szCs w:val="20"/>
        </w:rPr>
        <w:t xml:space="preserve"> in year </w:t>
      </w:r>
      <m:oMath>
        <m:r>
          <w:rPr>
            <w:rFonts w:ascii="Cambria Math" w:hAnsi="Cambria Math"/>
          </w:rPr>
          <m:t>t</m:t>
        </m:r>
      </m:oMath>
      <w:r>
        <w:rPr>
          <w:rFonts w:ascii="Times New Roman" w:eastAsiaTheme="minorEastAsia" w:hAnsi="Times New Roman" w:cs="Times New Roman"/>
          <w:sz w:val="20"/>
          <w:szCs w:val="20"/>
        </w:rPr>
        <w:t>.</w:t>
      </w:r>
    </w:p>
    <w:p w14:paraId="117D279C" w14:textId="3040E5EF" w:rsidR="00352D6A" w:rsidRDefault="00000000" w:rsidP="00E63FD2">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Forecast accuracy can be evaluated using the mean absolute error (MAE) of the estimated index values</w:t>
      </w:r>
    </w:p>
    <w:p w14:paraId="09654226" w14:textId="77777777" w:rsidR="00352D6A" w:rsidRDefault="00000000">
      <w:pPr>
        <w:spacing w:after="0" w:line="360" w:lineRule="auto"/>
        <w:jc w:val="center"/>
        <w:rPr>
          <w:rFonts w:ascii="Times New Roman" w:eastAsiaTheme="minorEastAsia" w:hAnsi="Times New Roman" w:cs="Times New Roman"/>
          <w:sz w:val="20"/>
          <w:szCs w:val="20"/>
        </w:rPr>
      </w:pPr>
      <m:oMathPara>
        <m:oMathParaPr>
          <m:jc m:val="center"/>
        </m:oMathParaPr>
        <m:oMath>
          <m:sSub>
            <m:sSubPr>
              <m:ctrlPr>
                <w:rPr>
                  <w:rFonts w:ascii="Cambria Math" w:hAnsi="Cambria Math"/>
                </w:rPr>
              </m:ctrlPr>
            </m:sSubPr>
            <m:e>
              <m:r>
                <w:rPr>
                  <w:rFonts w:ascii="Cambria Math" w:hAnsi="Cambria Math"/>
                </w:rPr>
                <m:t>MAE</m:t>
              </m:r>
            </m:e>
            <m:sub>
              <m:r>
                <w:rPr>
                  <w:rFonts w:ascii="Cambria Math" w:hAnsi="Cambria Math"/>
                </w:rPr>
                <m:t>k</m:t>
              </m:r>
            </m:sub>
          </m:sSub>
          <m:d>
            <m:dPr>
              <m:ctrlPr>
                <w:rPr>
                  <w:rFonts w:ascii="Cambria Math" w:hAnsi="Cambria Math"/>
                </w:rPr>
              </m:ctrlPr>
            </m:dPr>
            <m:e>
              <m:r>
                <w:rPr>
                  <w:rFonts w:ascii="Cambria Math" w:hAnsi="Cambria Math"/>
                </w:rPr>
                <m:t>h</m:t>
              </m:r>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k,h</m:t>
                  </m:r>
                </m:sub>
              </m:sSub>
            </m:den>
          </m:f>
          <m:nary>
            <m:naryPr>
              <m:chr m:val="∑"/>
              <m:ctrlPr>
                <w:rPr>
                  <w:rFonts w:ascii="Cambria Math" w:hAnsi="Cambria Math"/>
                </w:rPr>
              </m:ctrlPr>
            </m:naryPr>
            <m:sub>
              <m:r>
                <w:rPr>
                  <w:rFonts w:ascii="Cambria Math" w:hAnsi="Cambria Math"/>
                </w:rPr>
                <m:t>r=1</m:t>
              </m:r>
            </m:sub>
            <m:sup>
              <m:sSub>
                <m:sSubPr>
                  <m:ctrlPr>
                    <w:rPr>
                      <w:rFonts w:ascii="Cambria Math" w:hAnsi="Cambria Math"/>
                    </w:rPr>
                  </m:ctrlPr>
                </m:sSubPr>
                <m:e>
                  <m:r>
                    <w:rPr>
                      <w:rFonts w:ascii="Cambria Math" w:hAnsi="Cambria Math"/>
                    </w:rPr>
                    <m:t>n</m:t>
                  </m:r>
                </m:e>
                <m:sub>
                  <m:r>
                    <w:rPr>
                      <w:rFonts w:ascii="Cambria Math" w:hAnsi="Cambria Math"/>
                    </w:rPr>
                    <m:t>k,h</m:t>
                  </m:r>
                </m:sub>
              </m:sSub>
            </m:sup>
            <m:e>
              <m:d>
                <m:dPr>
                  <m:begChr m:val="|"/>
                  <m:endChr m:val="|"/>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k,r</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c,r</m:t>
                          </m:r>
                        </m:sub>
                      </m:sSub>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k,r</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c,r</m:t>
                          </m:r>
                        </m:sub>
                      </m:sSub>
                      <m:r>
                        <w:rPr>
                          <w:rFonts w:ascii="Cambria Math" w:hAnsi="Cambria Math"/>
                        </w:rPr>
                        <m:t>+h</m:t>
                      </m:r>
                    </m:e>
                  </m:d>
                </m:e>
              </m:d>
            </m:e>
          </m:nary>
        </m:oMath>
      </m:oMathPara>
    </w:p>
    <w:p w14:paraId="0CA7614F"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r>
              <w:rPr>
                <w:rFonts w:ascii="Cambria Math" w:hAnsi="Cambria Math"/>
              </w:rPr>
              <m:t>n</m:t>
            </m:r>
          </m:e>
          <m:sub>
            <m:r>
              <w:rPr>
                <w:rFonts w:ascii="Cambria Math" w:hAnsi="Cambria Math"/>
              </w:rPr>
              <m:t>k,h</m:t>
            </m:r>
          </m:sub>
        </m:sSub>
      </m:oMath>
      <w:r>
        <w:rPr>
          <w:rFonts w:ascii="Times New Roman" w:eastAsiaTheme="minorEastAsia" w:hAnsi="Times New Roman" w:cs="Times New Roman"/>
          <w:sz w:val="20"/>
          <w:szCs w:val="20"/>
        </w:rPr>
        <w:t xml:space="preserve"> is the number of valid lake-cutoff cases for index </w:t>
      </w:r>
      <m:oMath>
        <m:r>
          <w:rPr>
            <w:rFonts w:ascii="Cambria Math" w:hAnsi="Cambria Math"/>
          </w:rPr>
          <m:t>k</m:t>
        </m:r>
      </m:oMath>
      <w:r>
        <w:rPr>
          <w:rFonts w:ascii="Times New Roman" w:eastAsiaTheme="minorEastAsia" w:hAnsi="Times New Roman" w:cs="Times New Roman"/>
          <w:sz w:val="20"/>
          <w:szCs w:val="20"/>
        </w:rPr>
        <w:t xml:space="preserve"> and horizon </w:t>
      </w:r>
      <m:oMath>
        <m:r>
          <w:rPr>
            <w:rFonts w:ascii="Cambria Math" w:hAnsi="Cambria Math"/>
          </w:rPr>
          <m:t>h</m:t>
        </m:r>
      </m:oMath>
      <w:r>
        <w:rPr>
          <w:rFonts w:ascii="Times New Roman" w:eastAsiaTheme="minorEastAsia" w:hAnsi="Times New Roman" w:cs="Times New Roman"/>
          <w:sz w:val="20"/>
          <w:szCs w:val="20"/>
        </w:rPr>
        <w:t xml:space="preserve">, and </w:t>
      </w:r>
      <m:oMath>
        <m:r>
          <w:rPr>
            <w:rFonts w:ascii="Cambria Math" w:hAnsi="Cambria Math"/>
          </w:rPr>
          <m:t>r</m:t>
        </m:r>
      </m:oMath>
      <w:r>
        <w:rPr>
          <w:rFonts w:ascii="Times New Roman" w:eastAsiaTheme="minorEastAsia" w:hAnsi="Times New Roman" w:cs="Times New Roman"/>
          <w:sz w:val="20"/>
          <w:szCs w:val="20"/>
        </w:rPr>
        <w:t xml:space="preserve"> indexes those cases. Because each estimate equals the anchor value plus the weighted change, this error is identical to the absolute difference between the estimated change </w:t>
      </w:r>
      <m:oMath>
        <m:sSub>
          <m:sSubPr>
            <m:ctrlPr>
              <w:rPr>
                <w:rFonts w:ascii="Cambria Math" w:hAnsi="Cambria Math"/>
              </w:rPr>
            </m:ctrlPr>
          </m:sSubPr>
          <m:e>
            <m:r>
              <w:rPr>
                <w:rFonts w:ascii="Cambria Math" w:hAnsi="Cambria Math"/>
              </w:rPr>
              <m:t>Σ</m:t>
            </m:r>
          </m:e>
          <m:sub>
            <m:r>
              <w:rPr>
                <w:rFonts w:ascii="Cambria Math" w:hAnsi="Cambria Math"/>
              </w:rPr>
              <m:t>k,h</m:t>
            </m:r>
          </m:sub>
        </m:sSub>
      </m:oMath>
      <w:r>
        <w:rPr>
          <w:rFonts w:ascii="Times New Roman" w:eastAsiaTheme="minorEastAsia" w:hAnsi="Times New Roman" w:cs="Times New Roman"/>
          <w:sz w:val="20"/>
          <w:szCs w:val="20"/>
        </w:rPr>
        <w:t xml:space="preserve"> and the observed change </w:t>
      </w:r>
      <m:oMath>
        <m:sSub>
          <m:sSubPr>
            <m:ctrlPr>
              <w:rPr>
                <w:rFonts w:ascii="Cambria Math" w:hAnsi="Cambria Math"/>
              </w:rPr>
            </m:ctrlPr>
          </m:sSubPr>
          <m:e>
            <m:r>
              <w:rPr>
                <w:rFonts w:ascii="Cambria Math" w:hAnsi="Cambria Math"/>
              </w:rPr>
              <m:t>Δ</m:t>
            </m:r>
          </m:e>
          <m:sub>
            <m:r>
              <w:rPr>
                <w:rFonts w:ascii="Cambria Math" w:hAnsi="Cambria Math"/>
              </w:rPr>
              <m:t>k,r,h</m:t>
            </m:r>
          </m:sub>
        </m:sSub>
      </m:oMath>
      <w:r>
        <w:rPr>
          <w:rFonts w:ascii="Times New Roman" w:eastAsiaTheme="minorEastAsia" w:hAnsi="Times New Roman" w:cs="Times New Roman"/>
          <w:sz w:val="20"/>
          <w:szCs w:val="20"/>
        </w:rPr>
        <w:t>; the evaluation therefore compares predicted and observed changes.</w:t>
      </w:r>
    </w:p>
    <w:p w14:paraId="76BBAF73" w14:textId="23396BDE" w:rsidR="00352D6A" w:rsidRPr="00E63FD2"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Directional performance can be assessed using the directional hit rate:</w:t>
      </w:r>
    </w:p>
    <w:p w14:paraId="4C45C784" w14:textId="6CEBE1C3" w:rsidR="00352D6A" w:rsidRDefault="00000000" w:rsidP="00E63FD2">
      <w:pPr>
        <w:spacing w:after="0" w:line="360" w:lineRule="auto"/>
        <w:jc w:val="center"/>
        <w:rPr>
          <w:rFonts w:ascii="Times New Roman" w:eastAsiaTheme="minorEastAsia" w:hAnsi="Times New Roman" w:cs="Times New Roman"/>
          <w:sz w:val="20"/>
          <w:szCs w:val="20"/>
        </w:rPr>
      </w:pPr>
      <m:oMathPara>
        <m:oMath>
          <m:sSub>
            <m:sSubPr>
              <m:ctrlPr>
                <w:rPr>
                  <w:rFonts w:ascii="Cambria Math" w:hAnsi="Cambria Math"/>
                </w:rPr>
              </m:ctrlPr>
            </m:sSubPr>
            <m:e>
              <m:r>
                <w:rPr>
                  <w:rFonts w:ascii="Cambria Math" w:hAnsi="Cambria Math"/>
                </w:rPr>
                <m:t>HitRate</m:t>
              </m:r>
            </m:e>
            <m:sub>
              <m:r>
                <w:rPr>
                  <w:rFonts w:ascii="Cambria Math" w:hAnsi="Cambria Math"/>
                </w:rPr>
                <m:t>k</m:t>
              </m:r>
            </m:sub>
          </m:sSub>
          <m:d>
            <m:dPr>
              <m:ctrlPr>
                <w:rPr>
                  <w:rFonts w:ascii="Cambria Math" w:hAnsi="Cambria Math"/>
                </w:rPr>
              </m:ctrlPr>
            </m:dPr>
            <m:e>
              <m:r>
                <w:rPr>
                  <w:rFonts w:ascii="Cambria Math" w:hAnsi="Cambria Math"/>
                </w:rPr>
                <m:t>h</m:t>
              </m:r>
            </m:e>
          </m: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k,h</m:t>
                  </m:r>
                </m:sub>
              </m:sSub>
            </m:den>
          </m:f>
          <m:nary>
            <m:naryPr>
              <m:chr m:val="∑"/>
              <m:ctrlPr>
                <w:rPr>
                  <w:rFonts w:ascii="Cambria Math" w:hAnsi="Cambria Math"/>
                </w:rPr>
              </m:ctrlPr>
            </m:naryPr>
            <m:sub>
              <m:r>
                <w:rPr>
                  <w:rFonts w:ascii="Cambria Math" w:hAnsi="Cambria Math"/>
                </w:rPr>
                <m:t>r=1</m:t>
              </m:r>
            </m:sub>
            <m:sup>
              <m:sSub>
                <m:sSubPr>
                  <m:ctrlPr>
                    <w:rPr>
                      <w:rFonts w:ascii="Cambria Math" w:hAnsi="Cambria Math"/>
                    </w:rPr>
                  </m:ctrlPr>
                </m:sSubPr>
                <m:e>
                  <m:r>
                    <w:rPr>
                      <w:rFonts w:ascii="Cambria Math" w:hAnsi="Cambria Math"/>
                    </w:rPr>
                    <m:t>n</m:t>
                  </m:r>
                </m:e>
                <m:sub>
                  <m:r>
                    <w:rPr>
                      <w:rFonts w:ascii="Cambria Math" w:hAnsi="Cambria Math"/>
                    </w:rPr>
                    <m:t>k,h</m:t>
                  </m:r>
                </m:sub>
              </m:sSub>
            </m:sup>
            <m:e>
              <m:r>
                <w:rPr>
                  <w:rFonts w:ascii="Cambria Math" w:hAnsi="Cambria Math"/>
                </w:rPr>
                <m:t>1</m:t>
              </m:r>
            </m:e>
          </m:nary>
          <m:d>
            <m:dPr>
              <m:begChr m:val="["/>
              <m:endChr m:val="]"/>
              <m:ctrlPr>
                <w:rPr>
                  <w:rFonts w:ascii="Cambria Math" w:hAnsi="Cambria Math"/>
                </w:rPr>
              </m:ctrlPr>
            </m:dPr>
            <m:e>
              <m:r>
                <w:rPr>
                  <w:rFonts w:ascii="Cambria Math" w:hAnsi="Cambria Math"/>
                </w:rPr>
                <m:t>sign</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k,r,h</m:t>
                      </m:r>
                    </m:sub>
                  </m:sSub>
                </m:e>
              </m:d>
              <m:r>
                <w:rPr>
                  <w:rFonts w:ascii="Cambria Math" w:hAnsi="Cambria Math"/>
                </w:rPr>
                <m:t>=sign</m:t>
              </m:r>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k,r,h</m:t>
                      </m:r>
                    </m:sub>
                  </m:sSub>
                </m:e>
              </m:d>
            </m:e>
          </m:d>
        </m:oMath>
      </m:oMathPara>
    </w:p>
    <w:p w14:paraId="2C03F902"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k,r,h</m:t>
            </m:r>
          </m:sub>
        </m:sSub>
      </m:oMath>
      <w:r>
        <w:rPr>
          <w:rFonts w:ascii="Times New Roman" w:eastAsiaTheme="minorEastAsia" w:hAnsi="Times New Roman" w:cs="Times New Roman"/>
          <w:sz w:val="20"/>
          <w:szCs w:val="20"/>
        </w:rPr>
        <w:t xml:space="preserve"> is the estimated change, </w:t>
      </w:r>
      <m:oMath>
        <m:sSub>
          <m:sSubPr>
            <m:ctrlPr>
              <w:rPr>
                <w:rFonts w:ascii="Cambria Math" w:hAnsi="Cambria Math"/>
              </w:rPr>
            </m:ctrlPr>
          </m:sSubPr>
          <m:e>
            <m:r>
              <w:rPr>
                <w:rFonts w:ascii="Cambria Math" w:hAnsi="Cambria Math"/>
              </w:rPr>
              <m:t>Δ</m:t>
            </m:r>
          </m:e>
          <m:sub>
            <m:r>
              <w:rPr>
                <w:rFonts w:ascii="Cambria Math" w:hAnsi="Cambria Math"/>
              </w:rPr>
              <m:t>k,r,h</m:t>
            </m:r>
          </m:sub>
        </m:sSub>
      </m:oMath>
      <w:r>
        <w:rPr>
          <w:rFonts w:ascii="Times New Roman" w:eastAsiaTheme="minorEastAsia" w:hAnsi="Times New Roman" w:cs="Times New Roman"/>
          <w:sz w:val="20"/>
          <w:szCs w:val="20"/>
        </w:rPr>
        <w:t xml:space="preserve"> is the observed change defined above, and </w:t>
      </w:r>
      <m:oMath>
        <m: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Times New Roman" w:eastAsiaTheme="minorEastAsia" w:hAnsi="Times New Roman" w:cs="Times New Roman"/>
          <w:sz w:val="20"/>
          <w:szCs w:val="20"/>
        </w:rPr>
        <w:t xml:space="preserve"> equals one when the condition is satisfied and zero otherwise. The directional hit rate measures the proportion of cases in which the forecast and observed changes have the same sign. Cases with an observed change of exactly zero and cases classified as uncertain are excluded from the hit rate, and stable classifications are evaluated separately by checking whether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k,r,h</m:t>
                </m:r>
              </m:sub>
            </m:sSub>
          </m:e>
        </m:d>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k,h</m:t>
            </m:r>
          </m:sub>
        </m:sSub>
      </m:oMath>
      <w:r>
        <w:rPr>
          <w:rFonts w:ascii="Times New Roman" w:eastAsiaTheme="minorEastAsia" w:hAnsi="Times New Roman" w:cs="Times New Roman"/>
          <w:sz w:val="20"/>
          <w:szCs w:val="20"/>
        </w:rPr>
        <w:t>. The number of evaluable cases should be reported for each index and horizon. The ten-year observation period limits the scope of independent evaluation, and performance estimates may be sensitive to the cutoff year and the lakes included in each evaluation. The hindcasting procedure is specified as a validation protocol rather than a completed evaluation. Forecast accuracy should not be claimed until the hindcasts have been run and the results assessed.</w:t>
      </w:r>
    </w:p>
    <w:p w14:paraId="2F748457" w14:textId="77777777" w:rsidR="00352D6A" w:rsidRDefault="00352D6A">
      <w:pPr>
        <w:spacing w:after="0" w:line="240" w:lineRule="auto"/>
        <w:jc w:val="both"/>
        <w:rPr>
          <w:rFonts w:ascii="Times New Roman" w:eastAsiaTheme="minorEastAsia" w:hAnsi="Times New Roman" w:cs="Times New Roman"/>
          <w:sz w:val="20"/>
          <w:szCs w:val="20"/>
        </w:rPr>
      </w:pPr>
    </w:p>
    <w:p w14:paraId="2405C371" w14:textId="77777777" w:rsidR="00352D6A" w:rsidRDefault="00000000">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 System Architecture and Implementation</w:t>
      </w:r>
    </w:p>
    <w:p w14:paraId="0C27849F" w14:textId="77777777" w:rsidR="00352D6A" w:rsidRDefault="00000000">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4.1 System Architecture and Data Management</w:t>
      </w:r>
    </w:p>
    <w:p w14:paraId="63176E93"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EcoTwin separates offline data processing from online retrieval and visualisation. The offline pipeline acquires satellite imagery, processes raster data, generates embeddings, and populates the database. The online application </w:t>
      </w:r>
      <w:r>
        <w:rPr>
          <w:rFonts w:ascii="Times New Roman" w:eastAsiaTheme="minorEastAsia" w:hAnsi="Times New Roman" w:cs="Times New Roman"/>
          <w:sz w:val="20"/>
          <w:szCs w:val="20"/>
        </w:rPr>
        <w:lastRenderedPageBreak/>
        <w:t>uses these stored outputs for similarity search, temporal profiling, and directional forecasting. Figure 2 presents the five principal system components and their interactions. All communication between components passes through the FastAPI backend, and analysis requests, such as similarity searches, forecasts, and reports, do not trigger Earth Engine processing or foundation-model inference.</w:t>
      </w:r>
    </w:p>
    <w:p w14:paraId="14F9DAB1" w14:textId="77777777" w:rsidR="00352D6A" w:rsidRDefault="00352D6A">
      <w:pPr>
        <w:spacing w:after="0" w:line="240" w:lineRule="auto"/>
        <w:jc w:val="both"/>
        <w:rPr>
          <w:rFonts w:ascii="Times New Roman" w:eastAsiaTheme="minorEastAsia" w:hAnsi="Times New Roman" w:cs="Times New Roman"/>
          <w:sz w:val="20"/>
          <w:szCs w:val="20"/>
        </w:rPr>
      </w:pPr>
    </w:p>
    <w:p w14:paraId="5047713F"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PostgreSQL provides persistent storage for the system. PostGIS manages lake geometries and supports spatial operations, including intersection, containment, area calculation, and map queries. The pgvector extension stores the 768-dimensional Prithvi embeddings and supports vector similarity operations. Together, these components link each representation to its lake, observation year, and spatial context.</w:t>
      </w:r>
    </w:p>
    <w:p w14:paraId="5FD05986" w14:textId="77777777" w:rsidR="00352D6A" w:rsidRDefault="00352D6A">
      <w:pPr>
        <w:spacing w:after="0" w:line="240" w:lineRule="auto"/>
        <w:jc w:val="both"/>
        <w:rPr>
          <w:rFonts w:ascii="Times New Roman" w:eastAsiaTheme="minorEastAsia" w:hAnsi="Times New Roman" w:cs="Times New Roman"/>
          <w:sz w:val="20"/>
          <w:szCs w:val="20"/>
        </w:rPr>
      </w:pPr>
    </w:p>
    <w:p w14:paraId="57074923"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database schema separates lake-level embeddings from measured spectral features. The regions table stores one record per lake-year, enforced by a uniqueness constraint on (lake_id, year); each record holds the combined embedding together with the lake and shoreline vectors, their token weights, the lake weight used, and an embedding-version marker. The lake_features table stores, for pixels inside the lake polygon, the mean, standard deviation, minimum, maximum, and median of all 11 spectral bands, statistics of the number of cloud-free observations, pixel and coverage counts, cloud percentage, grey-level co-occurrence matrix (GLCM) texture features computed on B8, per-pixel statistics of additional spectral indices (including NDVI, NDWI, MNDWI, EVI, SAVI, and NBR), and counts of water, vegetation, and soil pixels. These stored index statistics are not used for forecasting; the forecast indicators are calculated on demand (Section 2.2). This structure keeps the representations used for analog retrieval separate from the measured features used to construct environmental-index time series and directional forecasts.</w:t>
      </w:r>
    </w:p>
    <w:p w14:paraId="4D8DAD4A" w14:textId="77777777" w:rsidR="00352D6A" w:rsidRDefault="00352D6A">
      <w:pPr>
        <w:spacing w:after="0" w:line="240" w:lineRule="auto"/>
        <w:jc w:val="both"/>
        <w:rPr>
          <w:rFonts w:ascii="Times New Roman" w:eastAsiaTheme="minorEastAsia" w:hAnsi="Times New Roman" w:cs="Times New Roman"/>
          <w:sz w:val="20"/>
          <w:szCs w:val="20"/>
        </w:rPr>
      </w:pPr>
    </w:p>
    <w:p w14:paraId="4F3DC719" w14:textId="77777777" w:rsidR="00352D6A" w:rsidRDefault="00000000">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4.2 Processing Orchestration and Data Services</w:t>
      </w:r>
    </w:p>
    <w:p w14:paraId="100BF469"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 FastAPI backend provides services for lake metadata, analog retrieval, temporal feature access, forecast generation, report production, and processing-status monitoring. Long-running operations, including imagery acquisition, raster merging, and embedding inference, run asynchronously through FastAPI background tasks within the single backend deployment used in this study; this does not provide the scaling or recovery characteristics of a dedicated distributed task queue. Progress information, including completed items, elapsed time, throughput, and estimated completion time, is held in memory and retrieved periodically by the frontend, so it is lost if the backend restarts. A cancellation request stops the imagery stage once the tile requests already in progress have finished.</w:t>
      </w:r>
    </w:p>
    <w:p w14:paraId="35AC09F5" w14:textId="77777777" w:rsidR="00352D6A" w:rsidRDefault="00352D6A">
      <w:pPr>
        <w:spacing w:after="0" w:line="240" w:lineRule="auto"/>
        <w:jc w:val="both"/>
        <w:rPr>
          <w:rFonts w:ascii="Times New Roman" w:eastAsiaTheme="minorEastAsia" w:hAnsi="Times New Roman" w:cs="Times New Roman"/>
          <w:sz w:val="20"/>
          <w:szCs w:val="20"/>
        </w:rPr>
      </w:pPr>
    </w:p>
    <w:p w14:paraId="259D2C46" w14:textId="77777777" w:rsidR="00352D6A" w:rsidRDefault="00000000">
      <w:pPr>
        <w:spacing w:after="0" w:line="360" w:lineRule="auto"/>
        <w:jc w:val="both"/>
        <w:rPr>
          <w:rFonts w:ascii="Times New Roman" w:eastAsiaTheme="minorEastAsia" w:hAnsi="Times New Roman" w:cs="Times New Roman"/>
          <w:b/>
          <w:bCs/>
          <w:sz w:val="20"/>
          <w:szCs w:val="20"/>
        </w:rPr>
      </w:pPr>
      <w:r>
        <w:rPr>
          <w:rFonts w:ascii="Times New Roman" w:eastAsiaTheme="minorEastAsia" w:hAnsi="Times New Roman" w:cs="Times New Roman"/>
          <w:b/>
          <w:bCs/>
          <w:sz w:val="20"/>
          <w:szCs w:val="20"/>
        </w:rPr>
        <w:t>4.3 Application Interface and Reporting</w:t>
      </w:r>
    </w:p>
    <w:p w14:paraId="19B84EDA" w14:textId="77777777" w:rsidR="00352D6A" w:rsidRDefault="00000000">
      <w:pPr>
        <w:spacing w:after="0" w:line="360" w:lineRule="auto"/>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frontend uses React, Vite, TypeScript, and Leaflet. Users can select a lake, inspect its boundary, retrieve analogous lakes, view their locations and similarity scores, and compare historical environmental-index trajectories with directional forecasts. The application obtains lake geometries from the same PostGIS database used in the spatial analysis, ensuring that the displayed boundaries correspond to the stored spatial records. </w:t>
      </w:r>
      <w:r>
        <w:rPr>
          <w:rFonts w:ascii="Times New Roman" w:eastAsiaTheme="minorEastAsia" w:hAnsi="Times New Roman" w:cs="Times New Roman"/>
          <w:sz w:val="20"/>
          <w:szCs w:val="20"/>
        </w:rPr>
        <w:lastRenderedPageBreak/>
        <w:t>EcoTwin generates lake-specific PDF reports using Jinja2 templates rendered through WeasyPrint. Each report contains lake metadata, a map of the target lake and its analogs, historical index profiles, a ranked analog table, and the directional forecast with its supporting audit information. The resulting document provides a record of the retrieved analogs, the historical evidence used for the forecast, and the reported outputs for subsequent review.</w:t>
      </w:r>
    </w:p>
    <w:p w14:paraId="4EB5CE5F" w14:textId="77777777" w:rsidR="00352D6A" w:rsidRDefault="00352D6A">
      <w:pPr>
        <w:spacing w:after="0" w:line="240" w:lineRule="auto"/>
        <w:jc w:val="both"/>
        <w:rPr>
          <w:rFonts w:ascii="Times New Roman" w:eastAsiaTheme="minorEastAsia" w:hAnsi="Times New Roman" w:cs="Times New Roman"/>
          <w:sz w:val="20"/>
          <w:szCs w:val="20"/>
        </w:rPr>
      </w:pPr>
    </w:p>
    <w:p w14:paraId="2FBAEFCC"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 Experimental Results and Engineering Evaluation</w:t>
      </w:r>
    </w:p>
    <w:p w14:paraId="318E446B"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5.1 Deployed Cohort and Processing Configuration</w:t>
      </w:r>
    </w:p>
    <w:p w14:paraId="39E3988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HydroLAKES-derived inventory contains 11,130 lakes in India. Of these, 829 were designated as active and included in the EcoTwin processing cohort. The remaining lakes were retained for inventory and map visualisation but were excluded from the computationally intensive imagery-processing and embedding-generation stages. The cohort criteria are described in Section 2.1.</w:t>
      </w:r>
    </w:p>
    <w:p w14:paraId="6B5E92AF" w14:textId="77777777" w:rsidR="00352D6A" w:rsidRDefault="00352D6A">
      <w:pPr>
        <w:spacing w:after="0" w:line="240" w:lineRule="auto"/>
        <w:jc w:val="both"/>
        <w:rPr>
          <w:rFonts w:ascii="Times New Roman" w:hAnsi="Times New Roman" w:cs="Times New Roman"/>
          <w:sz w:val="20"/>
          <w:szCs w:val="20"/>
        </w:rPr>
      </w:pPr>
    </w:p>
    <w:p w14:paraId="262E2D2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retrieval and forecasting workflow was evaluated using five Ramsar-designated sites: Chilika Lagoon, Maharana Pratap Sagar (Beas), Tawa Reservoir, Tso Morari, and Sasthamcotta Lake. These sites represent contrasting environmental settings, including a tropical brackish lagoon, a high-altitude Trans-Himalayan lake, natural lakes, and dam-regulated reservoirs. Their reported elevations range from sea level to 4,522 m, and their areas vary substantially. This diversity provides a test of retrieval performance across water bodies with different geographic and environmental characteristics. However, the five-site evaluation is illustrative and does not establish generalisable performance across all Indian lakes.</w:t>
      </w:r>
    </w:p>
    <w:p w14:paraId="5486E218" w14:textId="77777777" w:rsidR="00352D6A" w:rsidRDefault="00352D6A">
      <w:pPr>
        <w:spacing w:after="0" w:line="240" w:lineRule="auto"/>
        <w:jc w:val="both"/>
        <w:rPr>
          <w:rFonts w:ascii="Times New Roman" w:hAnsi="Times New Roman" w:cs="Times New Roman"/>
          <w:sz w:val="20"/>
          <w:szCs w:val="20"/>
        </w:rPr>
      </w:pPr>
    </w:p>
    <w:p w14:paraId="559CA40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All five sites were processed with the procedure of Sections 3.3 and 3.4. Each query trajectory comprised the five annual embeddings from 2021 to 2025, the forecast anchor year was 2025, and the forecast horizons were 2026, 2027, and 2028.</w:t>
      </w:r>
    </w:p>
    <w:p w14:paraId="754CD324" w14:textId="77777777" w:rsidR="00352D6A" w:rsidRDefault="00352D6A">
      <w:pPr>
        <w:spacing w:after="0" w:line="240" w:lineRule="auto"/>
        <w:jc w:val="both"/>
        <w:rPr>
          <w:rFonts w:ascii="Times New Roman" w:hAnsi="Times New Roman" w:cs="Times New Roman"/>
          <w:sz w:val="20"/>
          <w:szCs w:val="20"/>
        </w:rPr>
      </w:pPr>
    </w:p>
    <w:p w14:paraId="286E5D24" w14:textId="5A8DEC04" w:rsidR="00352D6A" w:rsidRPr="00E63FD2"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Earth Engine memory and quota limits were handled by splitting oversized tile requests, retrying transient errors, and rotating service accounts, and the memory-intensive merging, embedding, and feature-generation steps were run in separate short-lived processes. Under this arrangement, all ten years were processed in about 12 hours of elapsed time.</w:t>
      </w:r>
    </w:p>
    <w:p w14:paraId="1C3DAE32" w14:textId="77777777" w:rsidR="00352D6A" w:rsidRDefault="00352D6A">
      <w:pPr>
        <w:spacing w:after="0" w:line="240" w:lineRule="auto"/>
        <w:jc w:val="both"/>
        <w:rPr>
          <w:rFonts w:ascii="Times New Roman" w:hAnsi="Times New Roman" w:cs="Times New Roman"/>
          <w:sz w:val="20"/>
          <w:szCs w:val="20"/>
        </w:rPr>
      </w:pPr>
    </w:p>
    <w:p w14:paraId="1F4CF3E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5.2 Retrieval Scores</w:t>
      </w:r>
    </w:p>
    <w:p w14:paraId="6636C202"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Table 3 summarises the retrieval results for the five Ramsar-site queries. Because each query compared every candidate window exhaustively, with the target lake excluded, the returned ranking is exact for the implemented similarity metric.</w:t>
      </w:r>
    </w:p>
    <w:p w14:paraId="5DBDAAAE" w14:textId="77777777" w:rsidR="00352D6A" w:rsidRDefault="00352D6A">
      <w:pPr>
        <w:spacing w:after="0" w:line="240" w:lineRule="auto"/>
        <w:jc w:val="both"/>
        <w:rPr>
          <w:rFonts w:ascii="Times New Roman" w:hAnsi="Times New Roman" w:cs="Times New Roman"/>
          <w:sz w:val="20"/>
          <w:szCs w:val="20"/>
        </w:rPr>
      </w:pPr>
    </w:p>
    <w:p w14:paraId="5049BAE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Across the five queries, the raw cosine similarity of the top-ranked analog ranged from 0.9944 to 0.9986. For four sites, the tenth-ranked analog was within 0.0013–0.0027 of the highest-ranked result; Tso Morari was the exception, with a gap of 0.0168. One possible explanation for this clustering is that embeddings generated by the same encoder from comparable inputs share substantial feature structure even when the lakes differ.</w:t>
      </w:r>
    </w:p>
    <w:p w14:paraId="379382F6" w14:textId="77777777" w:rsidR="00352D6A" w:rsidRDefault="00352D6A">
      <w:pPr>
        <w:spacing w:after="0" w:line="240" w:lineRule="auto"/>
        <w:jc w:val="both"/>
        <w:rPr>
          <w:rFonts w:ascii="Times New Roman" w:hAnsi="Times New Roman" w:cs="Times New Roman"/>
          <w:sz w:val="20"/>
          <w:szCs w:val="20"/>
        </w:rPr>
      </w:pPr>
    </w:p>
    <w:p w14:paraId="3113F1C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scores should therefore be treated as relative retrieval measures for identifying candidate analogs, not as probabilities or calibrated measures of ecological equivalence. Interpretation should also draw on the matched windows, lake metadata, and observed index histories, and an interpretable absolute scale would require calibration against labelled lake pairs.</w:t>
      </w:r>
    </w:p>
    <w:p w14:paraId="65304EE4" w14:textId="77777777" w:rsidR="00352D6A" w:rsidRDefault="00352D6A">
      <w:pPr>
        <w:spacing w:after="0" w:line="240" w:lineRule="auto"/>
        <w:jc w:val="both"/>
        <w:rPr>
          <w:rFonts w:ascii="Times New Roman" w:hAnsi="Times New Roman" w:cs="Times New Roman"/>
          <w:sz w:val="20"/>
          <w:szCs w:val="20"/>
        </w:rPr>
      </w:pPr>
    </w:p>
    <w:p w14:paraId="2CF7F76F" w14:textId="77777777" w:rsidR="00352D6A" w:rsidRDefault="00000000">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5.3 Application to Five Ramsar Sites</w:t>
      </w:r>
    </w:p>
    <w:p w14:paraId="6AA93D5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For each site, Table 4 gives the measured index history, Table 5 the retrieved analogs, and Table 6 the directional forecast. The forecasts describe expected changes in spectral indices rather than confirmed ecological change, their accuracy has not yet been evaluated (Section 3.5), and published site documentation is used as context rather than as validation.</w:t>
      </w:r>
    </w:p>
    <w:p w14:paraId="3FDC307F" w14:textId="77777777" w:rsidR="00352D6A" w:rsidRDefault="00352D6A">
      <w:pPr>
        <w:spacing w:after="0" w:line="240" w:lineRule="auto"/>
        <w:jc w:val="both"/>
        <w:rPr>
          <w:rFonts w:ascii="Times New Roman" w:hAnsi="Times New Roman" w:cs="Times New Roman"/>
          <w:b/>
          <w:bCs/>
          <w:sz w:val="20"/>
          <w:szCs w:val="20"/>
        </w:rPr>
      </w:pPr>
    </w:p>
    <w:p w14:paraId="7D3D4370" w14:textId="77777777" w:rsidR="00352D6A" w:rsidRDefault="00000000">
      <w:pPr>
        <w:spacing w:after="0" w:line="240" w:lineRule="auto"/>
        <w:jc w:val="both"/>
        <w:rPr>
          <w:rFonts w:ascii="Times New Roman" w:hAnsi="Times New Roman" w:cs="Times New Roman"/>
          <w:b/>
          <w:bCs/>
          <w:sz w:val="20"/>
          <w:szCs w:val="20"/>
        </w:rPr>
      </w:pPr>
      <w:r>
        <w:rPr>
          <w:rFonts w:ascii="Times New Roman" w:hAnsi="Times New Roman" w:cs="Times New Roman"/>
          <w:b/>
          <w:bCs/>
          <w:sz w:val="20"/>
          <w:szCs w:val="20"/>
        </w:rPr>
        <w:t>5.3.1 Chilika Lagoon, Odisha</w:t>
      </w:r>
    </w:p>
    <w:p w14:paraId="32510E95" w14:textId="77777777" w:rsidR="00352D6A" w:rsidRDefault="00352D6A">
      <w:pPr>
        <w:spacing w:after="0" w:line="240" w:lineRule="auto"/>
        <w:jc w:val="both"/>
        <w:rPr>
          <w:rFonts w:ascii="Times New Roman" w:hAnsi="Times New Roman" w:cs="Times New Roman"/>
          <w:b/>
          <w:bCs/>
          <w:sz w:val="20"/>
          <w:szCs w:val="20"/>
        </w:rPr>
      </w:pPr>
    </w:p>
    <w:p w14:paraId="4C136CBD"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Chilika is a large brackish-water lagoon on the Odisha coast, separated from the Bay of Bengal by a barrier spit. With an area of approximately 843 km², it is the largest lake in the deployed cohort. Figure 3 shows its boundary in the EcoTwin application.</w:t>
      </w:r>
    </w:p>
    <w:p w14:paraId="79A45E25" w14:textId="77777777" w:rsidR="00352D6A" w:rsidRDefault="00352D6A">
      <w:pPr>
        <w:spacing w:after="0" w:line="240" w:lineRule="auto"/>
        <w:jc w:val="both"/>
        <w:rPr>
          <w:rFonts w:ascii="Times New Roman" w:hAnsi="Times New Roman" w:cs="Times New Roman"/>
          <w:sz w:val="20"/>
          <w:szCs w:val="20"/>
        </w:rPr>
      </w:pPr>
    </w:p>
    <w:p w14:paraId="31BC9C3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Chilika's NDVI is negative (−0.22 to −0.08) and its NDWI positive (0.13 to 0.36) in every year of our record. This combination is typical of open water, which absorbs strongly in the near-infrared and reflects relatively more green light (McFeeters, 1996). We therefore read Chilika's signature as dominated by open water, although neither index directly measures vegetation cover or water extent.</w:t>
      </w:r>
    </w:p>
    <w:p w14:paraId="60E1514D" w14:textId="77777777" w:rsidR="00352D6A" w:rsidRDefault="00352D6A">
      <w:pPr>
        <w:spacing w:after="0" w:line="240" w:lineRule="auto"/>
        <w:jc w:val="both"/>
        <w:rPr>
          <w:rFonts w:ascii="Times New Roman" w:hAnsi="Times New Roman" w:cs="Times New Roman"/>
          <w:sz w:val="20"/>
          <w:szCs w:val="20"/>
        </w:rPr>
      </w:pPr>
    </w:p>
    <w:p w14:paraId="27A5B99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Chilika's five highest-ranked analogs are large inland reservoirs rather than coastal lagoons, led by Govind Ballabh Pant Sagar in Uttar Pradesh (raw cosine 0.99590). Four of the nine candidates examined (ranks 1, 4, 6, and 8) have matched windows ending in 2025 and cannot contribute, so our forecast uses the analogs at ranks 2, 3, 5, 7, and 9.</w:t>
      </w:r>
    </w:p>
    <w:p w14:paraId="2D4BC119" w14:textId="77777777" w:rsidR="00352D6A" w:rsidRDefault="00352D6A">
      <w:pPr>
        <w:spacing w:after="0" w:line="240" w:lineRule="auto"/>
        <w:jc w:val="both"/>
        <w:rPr>
          <w:rFonts w:ascii="Times New Roman" w:hAnsi="Times New Roman" w:cs="Times New Roman"/>
          <w:sz w:val="20"/>
          <w:szCs w:val="20"/>
        </w:rPr>
      </w:pPr>
    </w:p>
    <w:p w14:paraId="1913B38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For 2026, with all five contributing, the forecast indicates increasing NDVI, with NDCI, NDWI, and NDTI stable; the NDWI change (−0.033) falls just inside its threshold (±0.035). Only two analogs provide observations for 2027 and 2028, and every index is classified as stable in both years, although the 2028 NDVI and NDWI changes have the same signs as in 2026. Put simply, lakes whose recent history resembles Chilika's subsequently appeared slightly “greener”, and slightly less like open water, to the satellite. Expanding floating or emergent vegetation would produce this signal, but so could higher turbidity, algal growth, shallower water, or more shoreline pixels, and the 2027 and 2028 estimates rest on only two analogs.</w:t>
      </w:r>
    </w:p>
    <w:p w14:paraId="43ED6ADC" w14:textId="77777777" w:rsidR="00352D6A" w:rsidRDefault="00352D6A">
      <w:pPr>
        <w:spacing w:after="0" w:line="240" w:lineRule="auto"/>
        <w:jc w:val="both"/>
        <w:rPr>
          <w:rFonts w:ascii="Times New Roman" w:hAnsi="Times New Roman" w:cs="Times New Roman"/>
          <w:sz w:val="20"/>
          <w:szCs w:val="20"/>
        </w:rPr>
      </w:pPr>
    </w:p>
    <w:p w14:paraId="2BC1BDAD"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Chilika has a documented history of large vegetation change. The Chilika Development Authority (n.d.) reports that the weed-infested area grew from about 20 km² in 1972 to 684.7 km² in 2000, which it attributes to siltation and declining salinity. After a new sea mouth was opened in 2000, the area infested by freshwater invasive species, particularly water hyacinth, declined (Chilika Development Authority, n.d.; Kumar et al., 2011). Kumar et al. (2011) subsequently reported an expansion of </w:t>
      </w:r>
      <w:r>
        <w:rPr>
          <w:rFonts w:ascii="Times New Roman" w:hAnsi="Times New Roman" w:cs="Times New Roman"/>
          <w:i/>
          <w:iCs/>
          <w:sz w:val="20"/>
          <w:szCs w:val="20"/>
        </w:rPr>
        <w:t>Phragmites karka</w:t>
      </w:r>
      <w:r>
        <w:rPr>
          <w:rFonts w:ascii="Times New Roman" w:hAnsi="Times New Roman" w:cs="Times New Roman"/>
          <w:sz w:val="20"/>
          <w:szCs w:val="20"/>
        </w:rPr>
        <w:t xml:space="preserve"> in the northern lagoon from 76.4 to 105.1 km² between 2000 and 2010 and discussed its implications for fisheries. This history makes the vegetation-associated shift in our estimates plausible but does not confirm its direction, magnitude, or timing.</w:t>
      </w:r>
    </w:p>
    <w:p w14:paraId="42966B91" w14:textId="77777777" w:rsidR="00352D6A" w:rsidRDefault="00352D6A">
      <w:pPr>
        <w:spacing w:after="0" w:line="240" w:lineRule="auto"/>
        <w:jc w:val="both"/>
        <w:rPr>
          <w:rFonts w:ascii="Times New Roman" w:hAnsi="Times New Roman" w:cs="Times New Roman"/>
          <w:sz w:val="20"/>
          <w:szCs w:val="20"/>
        </w:rPr>
      </w:pPr>
    </w:p>
    <w:p w14:paraId="1FA96BB9"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5.3.2 Maharana Pratap Sagar (Beas), Himachal Pradesh</w:t>
      </w:r>
    </w:p>
    <w:p w14:paraId="41966E1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Maharana Pratap Sagar, also known as Pong Dam Lake, is a reservoir on the Beas River that supports hydroelectric generation and fisheries. It has been a Ramsar site since 2002 and is important habitat for migratory waterbirds (Ramsar Convention Secretariat, 2002a). In the deployed dataset, the site is recorded under the source-river name </w:t>
      </w:r>
      <w:r>
        <w:rPr>
          <w:rFonts w:ascii="Times New Roman" w:hAnsi="Times New Roman" w:cs="Times New Roman"/>
          <w:sz w:val="20"/>
          <w:szCs w:val="20"/>
        </w:rPr>
        <w:lastRenderedPageBreak/>
        <w:t>Beas (lake_id 1423). As a regulated reservoir, its water extent and shoreline conditions may reflect reservoir operations, seasonal hydrological variation, and ecological processes.</w:t>
      </w:r>
    </w:p>
    <w:p w14:paraId="4309AEE3" w14:textId="77777777" w:rsidR="00352D6A" w:rsidRDefault="00352D6A">
      <w:pPr>
        <w:spacing w:after="0" w:line="240" w:lineRule="auto"/>
        <w:jc w:val="both"/>
        <w:rPr>
          <w:rFonts w:ascii="Times New Roman" w:hAnsi="Times New Roman" w:cs="Times New Roman"/>
          <w:sz w:val="20"/>
          <w:szCs w:val="20"/>
        </w:rPr>
      </w:pPr>
    </w:p>
    <w:p w14:paraId="3C3DA7F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historical index profiles show NDVI values fluctuating between approximately −0.24 and +0.07 and NDWI values ranging from 0.14 to 0.42, without a sustained monotonic trend. These fluctuations may reflect changes in water extent, exposed shoreline, vegetation, or the composition of mixed pixels. The available analysis does not independently isolate the effects of reservoir operations from other hydrological and ecological influences.</w:t>
      </w:r>
    </w:p>
    <w:p w14:paraId="24608013" w14:textId="77777777" w:rsidR="00352D6A" w:rsidRDefault="00352D6A">
      <w:pPr>
        <w:spacing w:after="0" w:line="240" w:lineRule="auto"/>
        <w:jc w:val="both"/>
        <w:rPr>
          <w:rFonts w:ascii="Times New Roman" w:hAnsi="Times New Roman" w:cs="Times New Roman"/>
          <w:sz w:val="20"/>
          <w:szCs w:val="20"/>
        </w:rPr>
      </w:pPr>
    </w:p>
    <w:p w14:paraId="6587081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highest-ranked analog retrieved for Beas is Gandhisagar Reservoir in Madhya Pradesh, another large, dam-regulated water body (raw cosine 0.99822). However, three of the ten highest-ranked candidates, including Gandhisagar, have matched windows ending in 2025 and cannot contribute, so the analogs at ranks 2, 3, 5, 7, and 8 are used instead; they include Bansagar Lake, Hirakud Reservoir, and Chilika. A highly ranked analog is therefore not necessarily eligible for forecasting.</w:t>
      </w:r>
    </w:p>
    <w:p w14:paraId="084E3B17" w14:textId="77777777" w:rsidR="00352D6A" w:rsidRDefault="00352D6A">
      <w:pPr>
        <w:spacing w:after="0" w:line="240" w:lineRule="auto"/>
        <w:jc w:val="both"/>
        <w:rPr>
          <w:rFonts w:ascii="Times New Roman" w:hAnsi="Times New Roman" w:cs="Times New Roman"/>
          <w:sz w:val="20"/>
          <w:szCs w:val="20"/>
        </w:rPr>
      </w:pPr>
    </w:p>
    <w:p w14:paraId="251E233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estimate and four to each of the 2027 and 2028 estimates, so no Beas forecast cell is classified as uncertain. All four indices are classified as stable in 2026 and 2028. For 2027, NDCI and NDTI increase and NDWI decreases, while NDVI is stable. The 2027 changes are not sustained: in 2028 the NDCI and NDWI changes reverse sign while remaining within their thresholds. This reflects the variability of the analogs' subsequent changes rather than a sustained trend.</w:t>
      </w:r>
    </w:p>
    <w:p w14:paraId="103A6F78" w14:textId="77777777" w:rsidR="00352D6A" w:rsidRDefault="00352D6A">
      <w:pPr>
        <w:spacing w:after="0" w:line="240" w:lineRule="auto"/>
        <w:jc w:val="both"/>
        <w:rPr>
          <w:rFonts w:ascii="Times New Roman" w:hAnsi="Times New Roman" w:cs="Times New Roman"/>
          <w:sz w:val="20"/>
          <w:szCs w:val="20"/>
        </w:rPr>
      </w:pPr>
    </w:p>
    <w:p w14:paraId="3F18086F"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5.3.3 Tawa Reservoir, Madhya Pradesh</w:t>
      </w:r>
    </w:p>
    <w:p w14:paraId="18085D4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Tawa Reservoir is an irrigation and flood-control reservoir on the Tawa River, a tributary of the Narmada, in Madhya Pradesh's Narmadapuram district. Located within the Satpura Tiger Reserve, it was designated a Ramsar site on 8 January 2024 (Ministry of Environment, Forest and Climate Change, 2024; Ramsar Sites Information Service, 2024) and supports reported fish, mammal, and migratory bird species.</w:t>
      </w:r>
    </w:p>
    <w:p w14:paraId="13EEFCD5" w14:textId="77777777" w:rsidR="00352D6A" w:rsidRDefault="00352D6A">
      <w:pPr>
        <w:spacing w:after="0" w:line="240" w:lineRule="auto"/>
        <w:jc w:val="both"/>
        <w:rPr>
          <w:rFonts w:ascii="Times New Roman" w:hAnsi="Times New Roman" w:cs="Times New Roman"/>
          <w:sz w:val="20"/>
          <w:szCs w:val="20"/>
        </w:rPr>
      </w:pPr>
    </w:p>
    <w:p w14:paraId="47ED950A"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Tawa's environmental indices fluctuate over the ten-year study period rather than showing a consistent directional trend. The year 2019 is an extremum in all four indices: NDCI (+0.106), NDVI (+0.231), and NDTI (+0.029) reach their maxima, and NDWI reaches its minimum (−0.258), with 2018 showing the same pattern less strongly. Negative NDWI and positive NDVI are unusual for a reservoir and are consistent with a reduced open-water fraction within the HydroLAKES polygon in the annual composite. Our pixel classification supports this reading: in the 2019 composite only 29.7% of the reservoir polygon is classified as water, against 45.8% vegetation and 24.5% soil, compared with 75.7% water in 2018 and 89.9–98.6% in the remaining years. The composite is well observed (about 119 cloud-free observations per pixel), so cloud contamination is an unlikely explanation. The Central Water Commission recorded heavy inflows and surplus releases at Tawa in September 2019 (Central Water Commission, 2019a, 2019b), but these monsoon-period conditions are largely absent from an annual composite built from cloud-free scenes. Without reservoir-level records for the rest of the year, we do not attribute the 2019 pattern to drawdown, drought, or flooding.</w:t>
      </w:r>
    </w:p>
    <w:p w14:paraId="007B7C80" w14:textId="77777777" w:rsidR="00352D6A" w:rsidRDefault="00352D6A">
      <w:pPr>
        <w:spacing w:after="0" w:line="240" w:lineRule="auto"/>
        <w:jc w:val="both"/>
        <w:rPr>
          <w:rFonts w:ascii="Times New Roman" w:hAnsi="Times New Roman" w:cs="Times New Roman"/>
          <w:sz w:val="20"/>
          <w:szCs w:val="20"/>
        </w:rPr>
      </w:pPr>
    </w:p>
    <w:p w14:paraId="526625E9"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lastRenderedPageBreak/>
        <w:t>All ten highest-ranked analogs for Tawa are reservoirs and lakes in central, eastern, and southern India, between 156 and 810 km away. The top-ranked candidate is an unnamed lake in Maharashtra (HydroLAKES 15616; raw cosine 0.99856, matched window 2017–2021), followed by Ravishankar Sagar in Chhattisgarh and Erai Reservoir in Maharashtra. The forecast uses the analogs at ranks 1, 2, 4, 6, and 9, because the windows of the candidates at ranks 3, 5, 7, and 8 end in 2025.</w:t>
      </w:r>
    </w:p>
    <w:p w14:paraId="33C92DC4" w14:textId="77777777" w:rsidR="00352D6A" w:rsidRDefault="00352D6A">
      <w:pPr>
        <w:spacing w:after="0" w:line="240" w:lineRule="auto"/>
        <w:jc w:val="both"/>
        <w:rPr>
          <w:rFonts w:ascii="Times New Roman" w:hAnsi="Times New Roman" w:cs="Times New Roman"/>
          <w:sz w:val="20"/>
          <w:szCs w:val="20"/>
        </w:rPr>
      </w:pPr>
    </w:p>
    <w:p w14:paraId="1C63E224"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and 2027 estimates and three to the 2028 estimate. All four indices are classified as stable in 2026 and 2027, although the NDVI changes are positive and the NDWI changes negative in both years. In 2028, NDCI, NDVI, and NDTI increase and NDWI decreases. The 2028 changes are much larger than those in earlier years (for example, an NDVI change of +0.097 and an NDWI change of −0.126), because they come from three analogs whose matched windows end in 2021.</w:t>
      </w:r>
    </w:p>
    <w:p w14:paraId="72BC7F8D" w14:textId="77777777" w:rsidR="00352D6A" w:rsidRDefault="00352D6A">
      <w:pPr>
        <w:spacing w:after="0" w:line="360" w:lineRule="auto"/>
        <w:jc w:val="both"/>
        <w:rPr>
          <w:rFonts w:ascii="Times New Roman" w:hAnsi="Times New Roman" w:cs="Times New Roman"/>
          <w:b/>
          <w:bCs/>
          <w:sz w:val="20"/>
          <w:szCs w:val="20"/>
        </w:rPr>
      </w:pPr>
    </w:p>
    <w:p w14:paraId="4BB9EDA2"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5.3.4 Tso Morari, Ladakh</w:t>
      </w:r>
    </w:p>
    <w:p w14:paraId="36DE2FA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Tso Morari is a high-altitude evaporative lake in the Trans-Himalayan cold desert, at 4,522 m according to HydroLAKES. It is supplied by snowmelt and summer-monsoon precipitation, and its water level is governed by the balance between inflow and evaporation (Mishra et al., 2014). Its elevation and limited surrounding vegetation distinguish it from the other sites in this evaluation.</w:t>
      </w:r>
    </w:p>
    <w:p w14:paraId="04D6DE4E" w14:textId="77777777" w:rsidR="00352D6A" w:rsidRDefault="00352D6A">
      <w:pPr>
        <w:spacing w:after="0" w:line="240" w:lineRule="auto"/>
        <w:jc w:val="both"/>
        <w:rPr>
          <w:rFonts w:ascii="Times New Roman" w:hAnsi="Times New Roman" w:cs="Times New Roman"/>
          <w:sz w:val="20"/>
          <w:szCs w:val="20"/>
        </w:rPr>
      </w:pPr>
    </w:p>
    <w:p w14:paraId="0366E3C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Among the five study sites, Tso Morari has the highest NDWI value (0.570, in 2017) and the most negative NDTI value (−0.451, in 2017). Its NDWI fluctuates between 0.29 and 0.57 without a monotonic trend, and the classified water area inside the polygon declines from 139.5 km² (2016) to 136.4 km² (2025); because our water area is bounded by the HydroLAKES polygon, this change is indicative only.</w:t>
      </w:r>
    </w:p>
    <w:p w14:paraId="1D3C5468" w14:textId="77777777" w:rsidR="00352D6A" w:rsidRDefault="00352D6A">
      <w:pPr>
        <w:spacing w:after="0" w:line="240" w:lineRule="auto"/>
        <w:jc w:val="both"/>
        <w:rPr>
          <w:rFonts w:ascii="Times New Roman" w:hAnsi="Times New Roman" w:cs="Times New Roman"/>
          <w:sz w:val="20"/>
          <w:szCs w:val="20"/>
        </w:rPr>
      </w:pPr>
    </w:p>
    <w:p w14:paraId="421B187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strongest retrieval match in this study is between Tso Morari and Pangong Tso, another high-altitude lake in eastern Ladakh about 105 km away (distance between polygon centroids). Pangong Tso ranks first among the 828 candidate lakes, with a raw cosine similarity score of 0.99721, compared with 0.98351 for the second-ranked analog, a small unnamed lake also in Ladakh. The gap between the first and second ranks (0.0137) is more than four times the spread between ranks 2 and 10 (0.0031). Because retrieval uses neither geographic proximity nor lake-type metadata, the match suggests that the embeddings capture similar spectral-temporal patterns.</w:t>
      </w:r>
    </w:p>
    <w:p w14:paraId="2487A8E3" w14:textId="77777777" w:rsidR="00352D6A" w:rsidRDefault="00352D6A">
      <w:pPr>
        <w:spacing w:after="0" w:line="240" w:lineRule="auto"/>
        <w:jc w:val="both"/>
        <w:rPr>
          <w:rFonts w:ascii="Times New Roman" w:hAnsi="Times New Roman" w:cs="Times New Roman"/>
          <w:sz w:val="20"/>
          <w:szCs w:val="20"/>
        </w:rPr>
      </w:pPr>
    </w:p>
    <w:p w14:paraId="2E7EE5D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Pangong Tso does not contribute to the forecast: its matched window, like those of the candidates at ranks 2 and 5, ends in 2025. The forecast therefore uses the analogs at ranks 3, 4, 6, 7, and 8, all of which are reservoirs or lakes outside Ladakh, including the Rana Pratap, Matatila, and Nagarjuna reservoirs and Beas. Five analogs contribute in 2026, three in 2027, and two in 2028. The 2026 estimates indicate increasing NDCI, with NDVI, NDWI, and NDTI stable; all indices are classified as stable in 2027 and 2028. Because the contributing analogs differ from the retrieval match that motivates the case, the Tso Morari forecast illustrates that strong retrieval and forecast evidence are separate.</w:t>
      </w:r>
    </w:p>
    <w:p w14:paraId="5544043B" w14:textId="77777777" w:rsidR="00352D6A" w:rsidRDefault="00352D6A">
      <w:pPr>
        <w:spacing w:after="0" w:line="240" w:lineRule="auto"/>
        <w:jc w:val="both"/>
        <w:rPr>
          <w:rFonts w:ascii="Times New Roman" w:hAnsi="Times New Roman" w:cs="Times New Roman"/>
          <w:sz w:val="20"/>
          <w:szCs w:val="20"/>
        </w:rPr>
      </w:pPr>
    </w:p>
    <w:p w14:paraId="2D631BD5"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Global assessments have documented accelerated glacier mass loss (Hugonnet et al., 2021), providing broader context for the potential long-term hydrological sensitivity of mountain environments. Our observed spectral pattern does not establish long-term hydrological stability or quantify the effects of glacier retreat on the lake.</w:t>
      </w:r>
    </w:p>
    <w:p w14:paraId="4E2F9065" w14:textId="77777777" w:rsidR="00352D6A" w:rsidRDefault="00352D6A">
      <w:pPr>
        <w:spacing w:after="0" w:line="240" w:lineRule="auto"/>
        <w:jc w:val="both"/>
        <w:rPr>
          <w:rFonts w:ascii="Times New Roman" w:hAnsi="Times New Roman" w:cs="Times New Roman"/>
          <w:sz w:val="20"/>
          <w:szCs w:val="20"/>
        </w:rPr>
      </w:pPr>
    </w:p>
    <w:p w14:paraId="11C3609D"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5.3.5 Sasthamcotta Lake, Kerala</w:t>
      </w:r>
    </w:p>
    <w:p w14:paraId="0F5E2C6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Sasthamcotta is Kerala's largest freshwater lake and an important drinking-water source for Kollam district. It has been designated a Ramsar site since 2002. In the active dataset, the lake is recorded as Unnamed Lake #179921 (Kerala; lake_id 179921). This HydroLAKES identifier is retained because the polygon has no name in the source database; its location corresponds to Sasthamcotta Lake.</w:t>
      </w:r>
    </w:p>
    <w:p w14:paraId="2ADAE65B" w14:textId="77777777" w:rsidR="00352D6A" w:rsidRDefault="00352D6A">
      <w:pPr>
        <w:spacing w:after="0" w:line="240" w:lineRule="auto"/>
        <w:jc w:val="both"/>
        <w:rPr>
          <w:rFonts w:ascii="Times New Roman" w:hAnsi="Times New Roman" w:cs="Times New Roman"/>
          <w:sz w:val="20"/>
          <w:szCs w:val="20"/>
        </w:rPr>
      </w:pPr>
    </w:p>
    <w:p w14:paraId="12DBB9D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Sasthamcotta exhibits substantial spectral changes over the 2016–2025 period. NDVI decreases from 0.448 to 0.185, while NDWI changes from −0.278 to +0.070. These trajectories indicate a declining vegetation-associated spectral response and a shift towards a more positive water-associated spectral response. The largest changes occur between 2016 and 2019, followed by smaller fluctuations. The 2016 and 2017 composites are, however, based on few cloud-free observations (on average 3.6 and 5.7 per pixel, compared with 15–32 from 2018 onwards), so the earliest values are the least reliable. The indices alone cannot establish whether these patterns reflect changes in in-lake vegetation, water conditions, or other changes in the pixels sampled within the lake boundary.</w:t>
      </w:r>
    </w:p>
    <w:p w14:paraId="12752AED" w14:textId="77777777" w:rsidR="00352D6A" w:rsidRDefault="00352D6A">
      <w:pPr>
        <w:spacing w:after="0" w:line="240" w:lineRule="auto"/>
        <w:jc w:val="both"/>
        <w:rPr>
          <w:rFonts w:ascii="Times New Roman" w:hAnsi="Times New Roman" w:cs="Times New Roman"/>
          <w:sz w:val="20"/>
          <w:szCs w:val="20"/>
        </w:rPr>
      </w:pPr>
    </w:p>
    <w:p w14:paraId="2AC3F099" w14:textId="198786FE"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Four of Sasthamcotta's five highest-ranked analogs are small water bodies in Kerala, the nearest about 29 km away, giving it the strongest geographic clustering of retrieved analogs among the five case studies. The candidates at ranks 4 (in Punjab), 5, and 7 (both in Kerala) have matched windows ending in 2025 and cannot contribute, so the forecast uses the analogs at ranks 1, 2, 3, 6, and 8. The clustering suggests that geographically proximate lakes can rank highly under the trajectory-based retrieval method</w:t>
      </w:r>
      <w:r w:rsidR="00E63FD2">
        <w:rPr>
          <w:rFonts w:ascii="Times New Roman" w:hAnsi="Times New Roman" w:cs="Times New Roman"/>
          <w:sz w:val="20"/>
          <w:szCs w:val="20"/>
        </w:rPr>
        <w:t>.</w:t>
      </w:r>
    </w:p>
    <w:p w14:paraId="39F1F89F" w14:textId="77777777" w:rsidR="00352D6A" w:rsidRDefault="00352D6A">
      <w:pPr>
        <w:spacing w:after="0" w:line="240" w:lineRule="auto"/>
        <w:jc w:val="both"/>
        <w:rPr>
          <w:rFonts w:ascii="Times New Roman" w:hAnsi="Times New Roman" w:cs="Times New Roman"/>
          <w:sz w:val="20"/>
          <w:szCs w:val="20"/>
        </w:rPr>
      </w:pPr>
    </w:p>
    <w:p w14:paraId="33FC73F4"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Five analogs contribute to the 2026 estimate, three to 2027, and only one to 2028, so all four 2028 cells are classified as uncertain. For 2026, the forecast indicates increasing NDCI, NDVI, and NDTI and decreasing NDWI. In 2027, with three analogs, all four indices are classified as stable, although each change keeps its 2026 sign. The 2026 estimates therefore suggest a partial reversal of the observed decline in the vegetation-associated indices rather than its continuation.</w:t>
      </w:r>
    </w:p>
    <w:p w14:paraId="76F937C5" w14:textId="77777777" w:rsidR="00352D6A" w:rsidRDefault="00352D6A">
      <w:pPr>
        <w:spacing w:after="0" w:line="240" w:lineRule="auto"/>
        <w:jc w:val="both"/>
        <w:rPr>
          <w:rFonts w:ascii="Times New Roman" w:hAnsi="Times New Roman" w:cs="Times New Roman"/>
          <w:sz w:val="20"/>
          <w:szCs w:val="20"/>
        </w:rPr>
      </w:pPr>
    </w:p>
    <w:p w14:paraId="51DD827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Ramsar Information Sheet identifies agricultural reclamation, sewage, and agrochemical pollution among the pressures affecting Sasthamcotta (Ramsar Convention Secretariat, 2002b). Divya Raj and Mophin Kani (2018) analysed 16 water-quality parameters in samples collected between November 2017 and February 2018 and reported deteriorating water quality in November–December 2017.</w:t>
      </w:r>
    </w:p>
    <w:p w14:paraId="39E3F46A" w14:textId="77777777" w:rsidR="00352D6A" w:rsidRDefault="00352D6A">
      <w:pPr>
        <w:spacing w:after="0" w:line="240" w:lineRule="auto"/>
        <w:jc w:val="both"/>
        <w:rPr>
          <w:rFonts w:ascii="Times New Roman" w:hAnsi="Times New Roman" w:cs="Times New Roman"/>
          <w:sz w:val="20"/>
          <w:szCs w:val="20"/>
        </w:rPr>
      </w:pPr>
    </w:p>
    <w:p w14:paraId="79245BC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The Ramsar Information Sheet also states that no water plant grows in the lake. Because the index statistics use only pixels inside the lake polygon, cultivated land outside it does not enter these values directly; the relatively high NDVI of the earlier years may instead reflect mixed 30 m pixels along the shoreline, vegetated areas inside the HydroLAKES boundary, or the low number of cloud-free observations in 2016–2017. These are hypotheses rather than established causes. Testing them would require mapping the spatial distribution of NDVI within the polygon, separating open-water and edge pixels, or independent field observations.</w:t>
      </w:r>
    </w:p>
    <w:p w14:paraId="02E1AFE6" w14:textId="77777777" w:rsidR="00352D6A" w:rsidRDefault="00352D6A">
      <w:pPr>
        <w:spacing w:after="0" w:line="240" w:lineRule="auto"/>
        <w:jc w:val="both"/>
        <w:rPr>
          <w:rFonts w:ascii="Times New Roman" w:hAnsi="Times New Roman" w:cs="Times New Roman"/>
          <w:b/>
          <w:bCs/>
          <w:sz w:val="20"/>
          <w:szCs w:val="20"/>
        </w:rPr>
      </w:pPr>
    </w:p>
    <w:p w14:paraId="76C7A04D" w14:textId="77777777" w:rsidR="00E63FD2"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5.4 Cross-Site Synthesis</w:t>
      </w:r>
    </w:p>
    <w:p w14:paraId="135DF5BF" w14:textId="6626BA58" w:rsidR="00352D6A" w:rsidRPr="00E63FD2" w:rsidRDefault="00000000">
      <w:pPr>
        <w:spacing w:after="0" w:line="360" w:lineRule="auto"/>
        <w:jc w:val="both"/>
        <w:rPr>
          <w:rFonts w:ascii="Times New Roman" w:hAnsi="Times New Roman" w:cs="Times New Roman"/>
          <w:b/>
          <w:bCs/>
          <w:sz w:val="20"/>
          <w:szCs w:val="20"/>
        </w:rPr>
      </w:pPr>
      <w:r>
        <w:rPr>
          <w:rFonts w:ascii="Times New Roman" w:hAnsi="Times New Roman" w:cs="Times New Roman"/>
          <w:sz w:val="20"/>
          <w:szCs w:val="20"/>
        </w:rPr>
        <w:t>First, the Tso Morari–Pangong Tso pairing is the clearest retrieval result: Pangong Tso ranks well above the second-ranked candidate even though location is not an input to retrieval. The two lakes lie in the same region, however, and the scores alone do not show which environmental characteristics account for the match.</w:t>
      </w:r>
    </w:p>
    <w:p w14:paraId="16A95AC2" w14:textId="77777777" w:rsidR="00352D6A" w:rsidRDefault="00352D6A">
      <w:pPr>
        <w:spacing w:after="0" w:line="240" w:lineRule="auto"/>
        <w:jc w:val="both"/>
        <w:rPr>
          <w:rFonts w:ascii="Times New Roman" w:hAnsi="Times New Roman" w:cs="Times New Roman"/>
          <w:sz w:val="20"/>
          <w:szCs w:val="20"/>
        </w:rPr>
      </w:pPr>
    </w:p>
    <w:p w14:paraId="7A0B8B0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Second, geographic proximity alone does not determine the ranking. Beas retrieves another large, regulated reservoir, Chilika retrieves inland reservoirs rather than coastal lagoons, and Sasthamcotta retrieves mostly small water bodies in Kerala, so retrieval outcomes depend on the embedding trajectories and on the composition of the candidate collection.</w:t>
      </w:r>
    </w:p>
    <w:p w14:paraId="27E29C56" w14:textId="77777777" w:rsidR="00352D6A" w:rsidRDefault="00352D6A">
      <w:pPr>
        <w:spacing w:after="0" w:line="240" w:lineRule="auto"/>
        <w:jc w:val="both"/>
        <w:rPr>
          <w:rFonts w:ascii="Times New Roman" w:hAnsi="Times New Roman" w:cs="Times New Roman"/>
          <w:sz w:val="20"/>
          <w:szCs w:val="20"/>
        </w:rPr>
      </w:pPr>
    </w:p>
    <w:p w14:paraId="3B9459A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Third, the index histories distinguish the sites: Tso Morari has the highest NDWI and the lowest NDTI values, whereas Sasthamcotta shows the strongest vegetation-associated signal in the early record.</w:t>
      </w:r>
    </w:p>
    <w:p w14:paraId="453FF6F1" w14:textId="77777777" w:rsidR="00352D6A" w:rsidRDefault="00352D6A">
      <w:pPr>
        <w:spacing w:after="0" w:line="240" w:lineRule="auto"/>
        <w:jc w:val="both"/>
        <w:rPr>
          <w:rFonts w:ascii="Times New Roman" w:hAnsi="Times New Roman" w:cs="Times New Roman"/>
          <w:sz w:val="20"/>
          <w:szCs w:val="20"/>
        </w:rPr>
      </w:pPr>
    </w:p>
    <w:p w14:paraId="41F159E3"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Fourth, forecast evidence thins where matched windows end late. At every site, three to five of the ten highest-ranked candidates have windows ending in the 2025 anchor year and cannot contribute, including Pangong Tso for Tso Morari, and the number of contributing analogs falls from five in 2026 to between one (Sasthamcotta) and four (Beas) in 2028.</w:t>
      </w:r>
    </w:p>
    <w:p w14:paraId="6312273D" w14:textId="77777777" w:rsidR="00352D6A" w:rsidRDefault="00352D6A">
      <w:pPr>
        <w:spacing w:after="0" w:line="240" w:lineRule="auto"/>
        <w:jc w:val="both"/>
        <w:rPr>
          <w:rFonts w:ascii="Times New Roman" w:hAnsi="Times New Roman" w:cs="Times New Roman"/>
          <w:sz w:val="20"/>
          <w:szCs w:val="20"/>
        </w:rPr>
      </w:pPr>
    </w:p>
    <w:p w14:paraId="4A783DD4"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Fifth, Table 6 lists the 60 forecast cells (five sites, four indices, three horizons). Four (6.7%) are classified as uncertain, all of them Sasthamcotta's 2028 estimates, which rest on a single analog. Of the remaining cells, 10 are classified as increasing, 3 as decreasing, and 43 as stable; most estimated changes fall within their index- and horizon-specific thresholds, and the 13 directional cells are concentrated in 2026 (6), the Beas 2027 estimates (3), and the Tawa 2028 estimates (4).</w:t>
      </w:r>
    </w:p>
    <w:p w14:paraId="01E8D2B9" w14:textId="77777777" w:rsidR="00352D6A" w:rsidRDefault="00352D6A">
      <w:pPr>
        <w:spacing w:after="0" w:line="240" w:lineRule="auto"/>
        <w:jc w:val="both"/>
        <w:rPr>
          <w:rFonts w:ascii="Times New Roman" w:hAnsi="Times New Roman" w:cs="Times New Roman"/>
          <w:sz w:val="20"/>
          <w:szCs w:val="20"/>
        </w:rPr>
      </w:pPr>
    </w:p>
    <w:p w14:paraId="5BE8BB7A"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 Discussion</w:t>
      </w:r>
    </w:p>
    <w:p w14:paraId="0A6D20FA"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6.1 Strengths and Limitations</w:t>
      </w:r>
    </w:p>
    <w:p w14:paraId="1796BF49"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EcoTwin's main methodological feature is the comparison of multi-year embedding sequences, which retrieved closely matching lakes without location information (Section 5.4). Its forecasts transfer observed index changes from eligible analogs rather than decoding future embeddings; every estimate can be traced to its contributing lakes, matched windows, and weights; and the system abstains, returning an uncertain classification, when fewer than two analogs provide usable changes.</w:t>
      </w:r>
    </w:p>
    <w:p w14:paraId="0D350A4C" w14:textId="77777777" w:rsidR="00352D6A" w:rsidRDefault="00352D6A">
      <w:pPr>
        <w:spacing w:after="0" w:line="240" w:lineRule="auto"/>
        <w:jc w:val="both"/>
        <w:rPr>
          <w:rFonts w:ascii="Times New Roman" w:hAnsi="Times New Roman" w:cs="Times New Roman"/>
          <w:sz w:val="20"/>
          <w:szCs w:val="20"/>
        </w:rPr>
      </w:pPr>
    </w:p>
    <w:p w14:paraId="46D8B09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For retrieval, high embedding similarity does not establish ecological equivalence: raw cosine scores are compressed near one (Section 5.2), so rankings rest on very small differences and depend on configuration choices that remain to be tested (Section 6.3).</w:t>
      </w:r>
    </w:p>
    <w:p w14:paraId="01FC8148" w14:textId="77777777" w:rsidR="00352D6A" w:rsidRDefault="00352D6A">
      <w:pPr>
        <w:spacing w:after="0" w:line="240" w:lineRule="auto"/>
        <w:jc w:val="both"/>
        <w:rPr>
          <w:rFonts w:ascii="Times New Roman" w:hAnsi="Times New Roman" w:cs="Times New Roman"/>
          <w:sz w:val="20"/>
          <w:szCs w:val="20"/>
        </w:rPr>
      </w:pPr>
    </w:p>
    <w:p w14:paraId="4EF85F80"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analog approach is promising, but the scale of the current dataset limits its ability to predict. With only ten annual observations per lake, fewer in the cloud-affected early years, a five-year window leaves at most six candidate windows per lake, and only windows that end early enough to be followed by later observations can contribute. This is why many top-ranked candidates were unusable and why evidence thins at later horizons (Section 5.4). The abstention rule exposes this limitation but does not measure accuracy, and more contributing analogs need not mean a better forecast, since analogs may differ in relevance.</w:t>
      </w:r>
    </w:p>
    <w:p w14:paraId="2974A21F" w14:textId="77777777" w:rsidR="00352D6A" w:rsidRDefault="00352D6A">
      <w:pPr>
        <w:spacing w:after="0" w:line="240" w:lineRule="auto"/>
        <w:jc w:val="both"/>
        <w:rPr>
          <w:rFonts w:ascii="Times New Roman" w:hAnsi="Times New Roman" w:cs="Times New Roman"/>
          <w:sz w:val="20"/>
          <w:szCs w:val="20"/>
        </w:rPr>
      </w:pPr>
    </w:p>
    <w:p w14:paraId="7A7C49F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Documentary comparisons provide context rather than validation. Published accounts of weed expansion at Chilika and of environmental pressures at Sasthamcotta help interpret the spectral changes but do not confirm their magnitude, timing, or causes. Published spectral-index records are scarce and use different sensors, seasons, and spatial definitions: the one reported trend we found, increasing NDTI in Chilika between 2019 and 2021 (Das </w:t>
      </w:r>
      <w:r>
        <w:rPr>
          <w:rFonts w:ascii="Times New Roman" w:hAnsi="Times New Roman" w:cs="Times New Roman"/>
          <w:sz w:val="20"/>
          <w:szCs w:val="20"/>
        </w:rPr>
        <w:lastRenderedPageBreak/>
        <w:t>et al., 2024), appears only weakly in our series (−0.110 to −0.105), and we found no comparable series for Beas, Tawa, or Sasthamcotta.</w:t>
      </w:r>
    </w:p>
    <w:p w14:paraId="0D2E663F" w14:textId="77777777" w:rsidR="00352D6A" w:rsidRDefault="00352D6A">
      <w:pPr>
        <w:spacing w:after="0" w:line="240" w:lineRule="auto"/>
        <w:jc w:val="both"/>
        <w:rPr>
          <w:rFonts w:ascii="Times New Roman" w:hAnsi="Times New Roman" w:cs="Times New Roman"/>
          <w:sz w:val="20"/>
          <w:szCs w:val="20"/>
        </w:rPr>
      </w:pPr>
    </w:p>
    <w:p w14:paraId="48152660" w14:textId="77777777" w:rsidR="00352D6A" w:rsidRPr="001203CD"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6.2 Assumptions and Scope of Applicability</w:t>
      </w:r>
    </w:p>
    <w:p w14:paraId="6E6E0026"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relies on several assumptions that define the scope of its outputs. First, the 829 lakes and their HydroLAKES-derived boundaries form a cohort for evaluating the workflow, not a statistically representative sample of Indian lakes, and five consecutive annual Prithvi-EO embeddings are assumed to capture the spectral-temporal characteristics relevant for comparing lakes; whether they do remains an empirical question.</w:t>
      </w:r>
    </w:p>
    <w:p w14:paraId="0D089264" w14:textId="77777777" w:rsidR="00352D6A" w:rsidRDefault="00352D6A">
      <w:pPr>
        <w:spacing w:after="0" w:line="240" w:lineRule="auto"/>
        <w:jc w:val="both"/>
        <w:rPr>
          <w:rFonts w:ascii="Times New Roman" w:hAnsi="Times New Roman" w:cs="Times New Roman"/>
          <w:sz w:val="20"/>
          <w:szCs w:val="20"/>
        </w:rPr>
      </w:pPr>
    </w:p>
    <w:p w14:paraId="1CE4BF0D"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Second, the forecasting method assumes that lakes with similar historical embedding trajectories can provide useful evidence about subsequent changes in a target lake. It transfers observed index changes across lakes despite differences in climate, catchment characteristics, water management, and other local conditions. These differences may limit how well an analog's subsequent trajectory applies to the target. The assumption is therefore a basis for testing analog forecasting, not a guarantee that similar historical representations will lead to similar future changes.</w:t>
      </w:r>
    </w:p>
    <w:p w14:paraId="0E821C75" w14:textId="77777777" w:rsidR="00352D6A" w:rsidRDefault="00352D6A">
      <w:pPr>
        <w:spacing w:after="0" w:line="240" w:lineRule="auto"/>
        <w:jc w:val="both"/>
        <w:rPr>
          <w:rFonts w:ascii="Times New Roman" w:hAnsi="Times New Roman" w:cs="Times New Roman"/>
          <w:sz w:val="20"/>
          <w:szCs w:val="20"/>
        </w:rPr>
      </w:pPr>
    </w:p>
    <w:p w14:paraId="308A79F7"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Third, NDVI, NDWI, NDCI, and NDTI are treated as spectral indicators rather than direct measurements (Section 2.2), and their values depend on the composition of the observed pixels, including mixed land-water pixels along the shoreline.</w:t>
      </w:r>
    </w:p>
    <w:p w14:paraId="4B75BAD1" w14:textId="77777777" w:rsidR="00352D6A" w:rsidRDefault="00352D6A">
      <w:pPr>
        <w:spacing w:after="0" w:line="240" w:lineRule="auto"/>
        <w:jc w:val="both"/>
        <w:rPr>
          <w:rFonts w:ascii="Times New Roman" w:hAnsi="Times New Roman" w:cs="Times New Roman"/>
          <w:sz w:val="20"/>
          <w:szCs w:val="20"/>
        </w:rPr>
      </w:pPr>
    </w:p>
    <w:p w14:paraId="2CD3182D" w14:textId="77777777" w:rsidR="00352D6A" w:rsidRPr="001203CD"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6.3 Future Work</w:t>
      </w:r>
    </w:p>
    <w:p w14:paraId="395345F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The immediate priority, and the only way to establish forecast performance, is to run the hindcasting protocol of Section 3.5. Evaluation should report errors in estimated changes, directional hit rates, the number of evaluable cases, and performance by forecast horizon and index. Comparisons with simple baselines would help establish whether trajectory-based analog retrieval provides useful predictive information beyond straightforward alternatives. The hindcasts can also be used to calibrate the lake weight, the number of analogs, and the rank weights. Extending the record beyond 2025 and the cohort beyond 829 lakes would add evaluation cutoffs and eligible analogs, but any gain in accuracy must be demonstrated rather than assumed.</w:t>
      </w:r>
    </w:p>
    <w:p w14:paraId="4AB124B3" w14:textId="77777777" w:rsidR="00352D6A" w:rsidRDefault="00352D6A">
      <w:pPr>
        <w:spacing w:after="0" w:line="240" w:lineRule="auto"/>
        <w:jc w:val="both"/>
        <w:rPr>
          <w:rFonts w:ascii="Times New Roman" w:hAnsi="Times New Roman" w:cs="Times New Roman"/>
          <w:sz w:val="20"/>
          <w:szCs w:val="20"/>
        </w:rPr>
      </w:pPr>
    </w:p>
    <w:p w14:paraId="08D9B16F"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Independent field measurements, water-quality observations, and documented ecological changes are also needed to assess how well the spectral indicators correspond to environmental conditions. Where possible, validation should distinguish open-water pixels from shoreline and mixed pixels, particularly for lakes where boundary-cell composition may affect the indices. Such analysis would help determine whether observed spectral changes reflect in-lake conditions, shoreline variation, or a combination of factors.</w:t>
      </w:r>
    </w:p>
    <w:p w14:paraId="2278B0F7" w14:textId="77777777" w:rsidR="00352D6A" w:rsidRDefault="00352D6A">
      <w:pPr>
        <w:spacing w:after="0" w:line="240" w:lineRule="auto"/>
        <w:jc w:val="both"/>
        <w:rPr>
          <w:rFonts w:ascii="Times New Roman" w:hAnsi="Times New Roman" w:cs="Times New Roman"/>
          <w:sz w:val="20"/>
          <w:szCs w:val="20"/>
        </w:rPr>
      </w:pPr>
    </w:p>
    <w:p w14:paraId="0B29ABB5"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Several computational and methodological extensions could improve scalability and retrieval quality. The current exhaustive search provides an exact baseline against which approximate nearest-neighbour (ANN) retrieval can be assessed. Evaluating pgvector's native ANN operators could reduce search time as the cohort expands, provided that retrieval agreement and downstream forecast effects are measured against the exhaustive results. The displayed similarity scale could also be calibrated using labelled pairs of lakes with independently assessed environmental similarity, and subtracting the cohort mean embedding before computing cosine similarity may spread the compressed scores. Further experiments could compare the lake-and-shoreline token pooling with </w:t>
      </w:r>
      <w:r>
        <w:rPr>
          <w:rFonts w:ascii="Times New Roman" w:hAnsi="Times New Roman" w:cs="Times New Roman"/>
          <w:sz w:val="20"/>
          <w:szCs w:val="20"/>
        </w:rPr>
        <w:lastRenderedPageBreak/>
        <w:t>alternative pooling strategies, including learned weighting, and assess the effects of different shoreline widths, lake weights, trajectory lengths, input bands, and similarity measures. These extensions should be evaluated against the current configuration to distinguish genuine improvements from changes caused by different processing choices. More robust shared production infrastructure could also improve job recovery, maintenance, and access as the system grows.</w:t>
      </w:r>
    </w:p>
    <w:p w14:paraId="58ACE62A" w14:textId="77777777" w:rsidR="00352D6A" w:rsidRDefault="00352D6A">
      <w:pPr>
        <w:spacing w:after="0" w:line="240" w:lineRule="auto"/>
        <w:jc w:val="both"/>
        <w:rPr>
          <w:rFonts w:ascii="Times New Roman" w:hAnsi="Times New Roman" w:cs="Times New Roman"/>
          <w:sz w:val="20"/>
          <w:szCs w:val="20"/>
        </w:rPr>
      </w:pPr>
    </w:p>
    <w:p w14:paraId="7C06C7EC" w14:textId="77777777" w:rsidR="00352D6A" w:rsidRDefault="00000000">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7. Conclusion</w:t>
      </w:r>
    </w:p>
    <w:p w14:paraId="2B30B3CE"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EcoTwin treats historically observed lakes as retrievable analogs rather than forecasting each lake in isolation. It integrates HydroLAKES and Sentinel-2 processing, Prithvi-EO embeddings of each lake and its shoreline, five-year trajectory retrieval, and the transfer of observed index changes within an auditable workflow, implemented for 829 Indian lakes over 2016–2025.</w:t>
      </w:r>
    </w:p>
    <w:p w14:paraId="066E9E1C"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Applied to five Ramsar sites, retrieval paired Tso Morari with Pangong Tso without using location, Chilika's projected vegetation-associated changes were set against its documented history of aquatic weed expansion as context rather than validation, and 4 of 60 forecast cells (6.7%) were classified as uncertain because too few analogs had usable observations.</w:t>
      </w:r>
    </w:p>
    <w:p w14:paraId="5CB45B75" w14:textId="77777777" w:rsidR="00352D6A" w:rsidRDefault="00352D6A">
      <w:pPr>
        <w:spacing w:after="0" w:line="240" w:lineRule="auto"/>
        <w:jc w:val="both"/>
        <w:rPr>
          <w:rFonts w:ascii="Times New Roman" w:hAnsi="Times New Roman" w:cs="Times New Roman"/>
          <w:sz w:val="20"/>
          <w:szCs w:val="20"/>
        </w:rPr>
      </w:pPr>
    </w:p>
    <w:p w14:paraId="0E2575B1" w14:textId="77777777" w:rsidR="00352D6A" w:rsidRDefault="00000000">
      <w:pPr>
        <w:spacing w:after="0" w:line="360" w:lineRule="auto"/>
        <w:jc w:val="both"/>
        <w:rPr>
          <w:rFonts w:ascii="Times New Roman" w:hAnsi="Times New Roman" w:cs="Times New Roman"/>
          <w:sz w:val="20"/>
          <w:szCs w:val="20"/>
        </w:rPr>
      </w:pPr>
      <w:r>
        <w:rPr>
          <w:rFonts w:ascii="Times New Roman" w:hAnsi="Times New Roman" w:cs="Times New Roman"/>
          <w:sz w:val="20"/>
          <w:szCs w:val="20"/>
        </w:rPr>
        <w:t xml:space="preserve">For the first research question, retrieval identified spectrally comparable lakes without using location, most clearly for Tso Morari; the second, whether analog changes support a reliable directional outlook, remains open until the hindcasting protocol of Section 3.5 is run. These results therefore demonstrate the feasibility of the workflow, not its predictive accuracy, and independent ecological validation is also needed to establish the conditions under which analog-based transfer is reliable.</w:t>
      </w:r>
    </w:p>
    <w:p w14:paraId="4E20C724" w14:textId="77777777" w:rsidR="00352D6A" w:rsidRDefault="00352D6A">
      <w:pPr>
        <w:spacing w:after="0" w:line="360" w:lineRule="auto"/>
        <w:jc w:val="both"/>
        <w:rPr>
          <w:rFonts w:ascii="Times New Roman" w:hAnsi="Times New Roman" w:cs="Times New Roman"/>
          <w:sz w:val="20"/>
          <w:szCs w:val="20"/>
        </w:rPr>
      </w:pPr>
    </w:p>
    <w:p w14:paraId="5A8480A0" w14:textId="65288CF0" w:rsidR="00352D6A" w:rsidRDefault="001203CD">
      <w:pPr>
        <w:spacing w:after="0" w:line="360" w:lineRule="auto"/>
        <w:jc w:val="both"/>
        <w:rPr>
          <w:rFonts w:ascii="Times New Roman" w:hAnsi="Times New Roman" w:cs="Times New Roman"/>
          <w:b/>
          <w:bCs/>
          <w:sz w:val="20"/>
          <w:szCs w:val="20"/>
        </w:rPr>
      </w:pPr>
      <w:r>
        <w:rPr>
          <w:rFonts w:ascii="Times New Roman" w:hAnsi="Times New Roman" w:cs="Times New Roman"/>
          <w:b/>
          <w:bCs/>
          <w:sz w:val="20"/>
          <w:szCs w:val="20"/>
        </w:rPr>
        <w:t>8. Acknowledgements</w:t>
      </w:r>
    </w:p>
    <w:p w14:paraId="28475E15" w14:textId="77777777" w:rsidR="00352D6A" w:rsidRDefault="00000000">
      <w:pPr>
        <w:pStyle w:val="BodyText"/>
        <w:spacing w:after="0" w:line="360" w:lineRule="auto"/>
        <w:jc w:val="both"/>
        <w:rPr>
          <w:rFonts w:ascii="Times New Roman" w:hAnsi="Times New Roman" w:cs="Times New Roman"/>
          <w:sz w:val="20"/>
          <w:szCs w:val="20"/>
        </w:rPr>
      </w:pPr>
      <w:r>
        <w:rPr>
          <w:rFonts w:ascii="Times New Roman" w:hAnsi="Times New Roman" w:cs="Times New Roman"/>
          <w:sz w:val="20"/>
          <w:szCs w:val="20"/>
        </w:rPr>
        <w:t>We thank the European Space Agency and the Copernicus Programme of the European Union for Sentinel-2 imagery (this work contains modified Copernicus Sentinel data, 2016–2025), and Google for access to the Google Earth Engine platform, through which the imagery was filtered, composited, and exported. Lake boundaries and attributes were taken from the HydroLAKES v1.0 polygon dataset of the HydroSHEDS project (Messager et al., 2016), which provided the inventory of 11,130 Indian lakes from which the 829-lake cohort was drawn. State and union-territory boundaries, used to assign each lake to an Indian state, were taken from the geoBoundaries ADM1 dataset for India (Runfola et al., 2020). Shoreline dynamics were assessed with the Global Surface Water dataset of the European Commission Joint Research Centre. We thank NASA and IBM for openly releasing the Prithvi-EO foundation model, and the Ramsar Convention Secretariat, the Central Water Commission, and the Chilika Development Authority for publicly available site documentation. Data processing and model inference were carried out on computing facilities of the Lab of Spatial Informatics, International Institute of Information Technology Hyderabad.</w:t>
      </w:r>
    </w:p>
    <w:p w14:paraId="54F10AF1" w14:textId="77777777" w:rsidR="00352D6A" w:rsidRDefault="00352D6A">
      <w:pPr>
        <w:spacing w:after="0" w:line="360" w:lineRule="auto"/>
        <w:jc w:val="both"/>
        <w:rPr>
          <w:rFonts w:ascii="Times New Roman" w:hAnsi="Times New Roman" w:cs="Times New Roman"/>
          <w:sz w:val="20"/>
          <w:szCs w:val="20"/>
        </w:rPr>
      </w:pPr>
    </w:p>
    <w:p w14:paraId="3E3DAC0C" w14:textId="77777777" w:rsidR="00352D6A" w:rsidRDefault="00000000">
      <w:pPr>
        <w:pStyle w:val="APAH1"/>
        <w:spacing w:line="360" w:lineRule="auto"/>
        <w:jc w:val="left"/>
        <w:rPr>
          <w:rFonts w:cs="Times New Roman"/>
          <w:sz w:val="20"/>
          <w:szCs w:val="20"/>
        </w:rPr>
      </w:pPr>
      <w:r>
        <w:rPr>
          <w:rFonts w:cs="Times New Roman"/>
          <w:bCs/>
          <w:sz w:val="20"/>
          <w:szCs w:val="20"/>
        </w:rPr>
        <w:t>References</w:t>
      </w:r>
    </w:p>
    <w:p w14:paraId="5EFE22CC"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Central Water Commission. (2019a, September 9). </w:t>
      </w:r>
      <w:r>
        <w:rPr>
          <w:rFonts w:cs="Times New Roman"/>
          <w:i/>
          <w:iCs/>
          <w:sz w:val="20"/>
          <w:szCs w:val="20"/>
        </w:rPr>
        <w:t>Daily flood situation report cum advisories</w:t>
      </w:r>
      <w:r>
        <w:rPr>
          <w:rFonts w:cs="Times New Roman"/>
          <w:sz w:val="20"/>
          <w:szCs w:val="20"/>
        </w:rPr>
        <w:t>. Government of India. https://cwc.gov.in/sites/default/files/dfsrca09092019.pdf</w:t>
      </w:r>
    </w:p>
    <w:p w14:paraId="5689CF2A"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Central Water Commission. (2019b, September 11). </w:t>
      </w:r>
      <w:r>
        <w:rPr>
          <w:rFonts w:cs="Times New Roman"/>
          <w:i/>
          <w:iCs/>
          <w:sz w:val="20"/>
          <w:szCs w:val="20"/>
        </w:rPr>
        <w:t>Daily flood situation report cum advisories</w:t>
      </w:r>
      <w:r>
        <w:rPr>
          <w:rFonts w:cs="Times New Roman"/>
          <w:sz w:val="20"/>
          <w:szCs w:val="20"/>
        </w:rPr>
        <w:t>. Government of India. https://cwc.gov.in/sites/default/files/dfsrca11092019.pdf</w:t>
      </w:r>
    </w:p>
    <w:p w14:paraId="7FDD5D0A"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Chilika Development Authority. (n.d.). </w:t>
      </w:r>
      <w:r>
        <w:rPr>
          <w:rFonts w:cs="Times New Roman"/>
          <w:i/>
          <w:iCs/>
          <w:sz w:val="20"/>
          <w:szCs w:val="20"/>
        </w:rPr>
        <w:t>Visit Chilika</w:t>
      </w:r>
      <w:r>
        <w:rPr>
          <w:rFonts w:cs="Times New Roman"/>
          <w:sz w:val="20"/>
          <w:szCs w:val="20"/>
        </w:rPr>
        <w:t xml:space="preserve">. Government of Odisha. </w:t>
      </w:r>
      <w:hyperlink r:id="rId4">
        <w:r w:rsidR="00352D6A">
          <w:rPr>
            <w:rFonts w:cs="Times New Roman"/>
            <w:sz w:val="20"/>
            <w:szCs w:val="20"/>
          </w:rPr>
          <w:t>https://www.chilika.com/visit-chilika.php</w:t>
        </w:r>
      </w:hyperlink>
    </w:p>
    <w:p w14:paraId="6A474037" w14:textId="77777777" w:rsidR="00352D6A" w:rsidRDefault="00000000">
      <w:pPr>
        <w:pStyle w:val="APABodyNoIndent"/>
        <w:spacing w:line="360" w:lineRule="auto"/>
        <w:ind w:left="720" w:hanging="720"/>
        <w:rPr>
          <w:rFonts w:cs="Times New Roman"/>
          <w:sz w:val="20"/>
          <w:szCs w:val="20"/>
        </w:rPr>
      </w:pPr>
      <w:r>
        <w:rPr>
          <w:rFonts w:cs="Times New Roman"/>
          <w:sz w:val="20"/>
          <w:szCs w:val="20"/>
        </w:rPr>
        <w:lastRenderedPageBreak/>
        <w:t xml:space="preserve">Das, S., Nandi, D., Thakur, R. R., Bera, D. K., Behera, D., Đurin, B., &amp; Cetl, V. (2024). A novel approach for ex situ water quality monitoring using the Google Earth Engine and spectral indices in Chilika Lake, Odisha, India. </w:t>
      </w:r>
      <w:r>
        <w:rPr>
          <w:rFonts w:cs="Times New Roman"/>
          <w:i/>
          <w:iCs/>
          <w:sz w:val="20"/>
          <w:szCs w:val="20"/>
        </w:rPr>
        <w:t>ISPRS International Journal of Geo-Information, 13</w:t>
      </w:r>
      <w:r>
        <w:rPr>
          <w:rFonts w:cs="Times New Roman"/>
          <w:sz w:val="20"/>
          <w:szCs w:val="20"/>
        </w:rPr>
        <w:t>(11), Article 381. https://doi.org/10.3390/ijgi13110381</w:t>
      </w:r>
    </w:p>
    <w:p w14:paraId="4A777A49"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Divya Raj, S., &amp; Mophin Kani, K. (2018). Water quality assessment of Sasthamcotta Lake, Kollam, Kerala. </w:t>
      </w:r>
      <w:r>
        <w:rPr>
          <w:rFonts w:cs="Times New Roman"/>
          <w:i/>
          <w:iCs/>
          <w:sz w:val="20"/>
          <w:szCs w:val="20"/>
        </w:rPr>
        <w:t>International Journal of Engineering and Advanced Technology, 7</w:t>
      </w:r>
      <w:r>
        <w:rPr>
          <w:rFonts w:cs="Times New Roman"/>
          <w:sz w:val="20"/>
          <w:szCs w:val="20"/>
        </w:rPr>
        <w:t xml:space="preserve">(3), 119–129. </w:t>
      </w:r>
      <w:hyperlink r:id="rId5">
        <w:r w:rsidR="00352D6A">
          <w:rPr>
            <w:rFonts w:cs="Times New Roman"/>
            <w:sz w:val="20"/>
            <w:szCs w:val="20"/>
          </w:rPr>
          <w:t>https://www.ijeat.org/wp-content/uploads/papers/v7i3/C5315027318.pdf</w:t>
        </w:r>
      </w:hyperlink>
    </w:p>
    <w:p w14:paraId="649B2978"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European Space Agency. (n.d.). </w:t>
      </w:r>
      <w:r>
        <w:rPr>
          <w:rFonts w:cs="Times New Roman"/>
          <w:i/>
          <w:iCs/>
          <w:sz w:val="20"/>
          <w:szCs w:val="20"/>
        </w:rPr>
        <w:t>Sentinel-2 mission</w:t>
      </w:r>
      <w:r>
        <w:rPr>
          <w:rFonts w:cs="Times New Roman"/>
          <w:sz w:val="20"/>
          <w:szCs w:val="20"/>
        </w:rPr>
        <w:t xml:space="preserve">. Copernicus SentiWiki. </w:t>
      </w:r>
      <w:hyperlink r:id="rId6">
        <w:r w:rsidR="00352D6A">
          <w:rPr>
            <w:rFonts w:cs="Times New Roman"/>
            <w:sz w:val="20"/>
            <w:szCs w:val="20"/>
          </w:rPr>
          <w:t>https://sentiwiki.copernicus.eu/web/s2-mission</w:t>
        </w:r>
      </w:hyperlink>
    </w:p>
    <w:p w14:paraId="2F92D077"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Gorelick, N., Hancher, M., Dixon, M., Ilyushchenko, S., Thau, D., &amp; Moore, R. (2017). Google Earth Engine: Planetary-scale geospatial analysis for everyone. </w:t>
      </w:r>
      <w:r>
        <w:rPr>
          <w:rFonts w:cs="Times New Roman"/>
          <w:i/>
          <w:iCs/>
          <w:sz w:val="20"/>
          <w:szCs w:val="20"/>
        </w:rPr>
        <w:t>Remote Sensing of Environment, 202</w:t>
      </w:r>
      <w:r>
        <w:rPr>
          <w:rFonts w:cs="Times New Roman"/>
          <w:sz w:val="20"/>
          <w:szCs w:val="20"/>
        </w:rPr>
        <w:t xml:space="preserve">, 18–27. </w:t>
      </w:r>
      <w:hyperlink r:id="rId7">
        <w:r w:rsidR="00352D6A">
          <w:rPr>
            <w:rFonts w:cs="Times New Roman"/>
            <w:sz w:val="20"/>
            <w:szCs w:val="20"/>
          </w:rPr>
          <w:t>https://doi.org/10.1016/j.rse.2017.06.031</w:t>
        </w:r>
      </w:hyperlink>
    </w:p>
    <w:p w14:paraId="2E541FFA"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Green, K. C., &amp; Armstrong, J. S. (2007). Structured analogies for forecasting. </w:t>
      </w:r>
      <w:r>
        <w:rPr>
          <w:rFonts w:cs="Times New Roman"/>
          <w:i/>
          <w:iCs/>
          <w:sz w:val="20"/>
          <w:szCs w:val="20"/>
        </w:rPr>
        <w:t>International Journal of Forecasting, 23</w:t>
      </w:r>
      <w:r>
        <w:rPr>
          <w:rFonts w:cs="Times New Roman"/>
          <w:sz w:val="20"/>
          <w:szCs w:val="20"/>
        </w:rPr>
        <w:t xml:space="preserve">(3), 365–376. </w:t>
      </w:r>
      <w:hyperlink r:id="rId8">
        <w:r w:rsidR="00352D6A">
          <w:rPr>
            <w:rFonts w:cs="Times New Roman"/>
            <w:sz w:val="20"/>
            <w:szCs w:val="20"/>
          </w:rPr>
          <w:t>https://doi.org/10.1016/j.ijforecast.2007.05.005</w:t>
        </w:r>
      </w:hyperlink>
    </w:p>
    <w:p w14:paraId="6C5B7CE1"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Hsu, C.-Y., Li, W., &amp; Wang, S. (2024). Geospatial foundation models for image analysis: Evaluating and enhancing NASA-IBM Prithvi's domain adaptability. </w:t>
      </w:r>
      <w:r>
        <w:rPr>
          <w:rFonts w:cs="Times New Roman"/>
          <w:i/>
          <w:iCs/>
          <w:sz w:val="20"/>
          <w:szCs w:val="20"/>
        </w:rPr>
        <w:t>arXiv</w:t>
      </w:r>
      <w:r>
        <w:rPr>
          <w:rFonts w:cs="Times New Roman"/>
          <w:sz w:val="20"/>
          <w:szCs w:val="20"/>
        </w:rPr>
        <w:t xml:space="preserve">. </w:t>
      </w:r>
      <w:hyperlink r:id="rId9">
        <w:r w:rsidR="00352D6A">
          <w:rPr>
            <w:rFonts w:cs="Times New Roman"/>
            <w:sz w:val="20"/>
            <w:szCs w:val="20"/>
          </w:rPr>
          <w:t>https://doi.org/10.48550/arXiv.2409.00489</w:t>
        </w:r>
      </w:hyperlink>
    </w:p>
    <w:p w14:paraId="0CD2B363"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Huete, A., Didan, K., Miura, T., Rodriguez, E. P., Gao, X., &amp; Ferreira, L. G. (2002). Overview of the radiometric and biophysical performance of the MODIS vegetation indices. </w:t>
      </w:r>
      <w:r>
        <w:rPr>
          <w:rFonts w:cs="Times New Roman"/>
          <w:i/>
          <w:iCs/>
          <w:sz w:val="20"/>
          <w:szCs w:val="20"/>
        </w:rPr>
        <w:t>Remote Sensing of Environment, 83</w:t>
      </w:r>
      <w:r>
        <w:rPr>
          <w:rFonts w:cs="Times New Roman"/>
          <w:sz w:val="20"/>
          <w:szCs w:val="20"/>
        </w:rPr>
        <w:t xml:space="preserve">(1–2), 195–213. </w:t>
      </w:r>
      <w:hyperlink r:id="rId10">
        <w:r w:rsidR="00352D6A">
          <w:rPr>
            <w:rFonts w:cs="Times New Roman"/>
            <w:sz w:val="20"/>
            <w:szCs w:val="20"/>
          </w:rPr>
          <w:t>https://doi.org/10.1016/S0034-4257(02)00096-2</w:t>
        </w:r>
      </w:hyperlink>
    </w:p>
    <w:p w14:paraId="0A3882F5"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Hugonnet, R., McNabb, R., Berthier, E., Menounos, B., Nuth, C., Girod, L., Farinotti, D., Huss, M., Dussaillant, I., Brun, F., &amp; Kääb, A. (2021). Accelerated global glacier mass loss in the early twenty-first century. </w:t>
      </w:r>
      <w:r>
        <w:rPr>
          <w:rFonts w:cs="Times New Roman"/>
          <w:i/>
          <w:iCs/>
          <w:sz w:val="20"/>
          <w:szCs w:val="20"/>
        </w:rPr>
        <w:t>Nature, 592</w:t>
      </w:r>
      <w:r>
        <w:rPr>
          <w:rFonts w:cs="Times New Roman"/>
          <w:sz w:val="20"/>
          <w:szCs w:val="20"/>
        </w:rPr>
        <w:t xml:space="preserve">(7856), 726–731. </w:t>
      </w:r>
      <w:hyperlink r:id="rId11">
        <w:r w:rsidR="00352D6A">
          <w:rPr>
            <w:rFonts w:cs="Times New Roman"/>
            <w:sz w:val="20"/>
            <w:szCs w:val="20"/>
          </w:rPr>
          <w:t>https://doi.org/10.1038/s41586-021-03436-z</w:t>
        </w:r>
      </w:hyperlink>
    </w:p>
    <w:p w14:paraId="3504A801"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Kumar, R., Pattnaik, A., &amp; Patnaik, P. (2011). </w:t>
      </w:r>
      <w:r>
        <w:rPr>
          <w:rFonts w:cs="Times New Roman"/>
          <w:i/>
          <w:iCs/>
          <w:sz w:val="20"/>
          <w:szCs w:val="20"/>
        </w:rPr>
        <w:t>Management of Phragmites karka invasion in Chilika Lake, Orissa</w:t>
      </w:r>
      <w:r>
        <w:rPr>
          <w:rFonts w:cs="Times New Roman"/>
          <w:sz w:val="20"/>
          <w:szCs w:val="20"/>
        </w:rPr>
        <w:t xml:space="preserve"> [Background paper for consultation workshop, 17–18 January 2011, Bhubaneswar]. Chilika Development Authority; Wetlands International – South Asia. </w:t>
      </w:r>
      <w:hyperlink r:id="rId12">
        <w:r w:rsidR="00352D6A">
          <w:rPr>
            <w:rFonts w:cs="Times New Roman"/>
            <w:sz w:val="20"/>
            <w:szCs w:val="20"/>
          </w:rPr>
          <w:t>https://www.chilika.com/pdf/Macrophytes%20Workshop%2017-18%20Jan%202011%20Background%20Paper.pdf</w:t>
        </w:r>
      </w:hyperlink>
    </w:p>
    <w:p w14:paraId="0EADEE48"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Lacaux, J.-P., Tourre, Y. M., Vignolles, C., Ndione, J.-A., &amp; Lafaye, M. (2007). Classification of ponds from high-spatial resolution remote sensing: Application to Rift Valley Fever epidemics in Senegal. </w:t>
      </w:r>
      <w:r>
        <w:rPr>
          <w:rFonts w:cs="Times New Roman"/>
          <w:i/>
          <w:iCs/>
          <w:sz w:val="20"/>
          <w:szCs w:val="20"/>
        </w:rPr>
        <w:t>Remote Sensing of Environment, 106</w:t>
      </w:r>
      <w:r>
        <w:rPr>
          <w:rFonts w:cs="Times New Roman"/>
          <w:sz w:val="20"/>
          <w:szCs w:val="20"/>
        </w:rPr>
        <w:t xml:space="preserve">(1), 66–74. </w:t>
      </w:r>
      <w:hyperlink r:id="rId13">
        <w:r w:rsidR="00352D6A">
          <w:rPr>
            <w:rFonts w:cs="Times New Roman"/>
            <w:sz w:val="20"/>
            <w:szCs w:val="20"/>
          </w:rPr>
          <w:t>https://doi.org/10.1016/j.rse.2006.07.012</w:t>
        </w:r>
      </w:hyperlink>
    </w:p>
    <w:p w14:paraId="419AF14F"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Lorenz, E. N. (1969). Atmospheric predictability as revealed by naturally occurring analogues. </w:t>
      </w:r>
      <w:r>
        <w:rPr>
          <w:rFonts w:cs="Times New Roman"/>
          <w:i/>
          <w:iCs/>
          <w:sz w:val="20"/>
          <w:szCs w:val="20"/>
        </w:rPr>
        <w:t>Journal of the Atmospheric Sciences, 26</w:t>
      </w:r>
      <w:r>
        <w:rPr>
          <w:rFonts w:cs="Times New Roman"/>
          <w:sz w:val="20"/>
          <w:szCs w:val="20"/>
        </w:rPr>
        <w:t xml:space="preserve">(4), 636–646. </w:t>
      </w:r>
      <w:hyperlink r:id="rId14">
        <w:r w:rsidR="00352D6A">
          <w:rPr>
            <w:rFonts w:cs="Times New Roman"/>
            <w:sz w:val="20"/>
            <w:szCs w:val="20"/>
          </w:rPr>
          <w:t>https://doi.org/10.1175/1520-0469(1969)26&lt;636:APARBN&gt;2.0.CO;2</w:t>
        </w:r>
      </w:hyperlink>
    </w:p>
    <w:p w14:paraId="70284388"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McFeeters, S. K. (1996). The use of the Normalized Difference Water Index (NDWI) in the delineation of open water features. </w:t>
      </w:r>
      <w:r>
        <w:rPr>
          <w:rFonts w:cs="Times New Roman"/>
          <w:i/>
          <w:iCs/>
          <w:sz w:val="20"/>
          <w:szCs w:val="20"/>
        </w:rPr>
        <w:t>International Journal of Remote Sensing, 17</w:t>
      </w:r>
      <w:r>
        <w:rPr>
          <w:rFonts w:cs="Times New Roman"/>
          <w:sz w:val="20"/>
          <w:szCs w:val="20"/>
        </w:rPr>
        <w:t xml:space="preserve">(7), 1425–1432. </w:t>
      </w:r>
      <w:hyperlink r:id="rId15">
        <w:r w:rsidR="00352D6A">
          <w:rPr>
            <w:rFonts w:cs="Times New Roman"/>
            <w:sz w:val="20"/>
            <w:szCs w:val="20"/>
          </w:rPr>
          <w:t>https://doi.org/10.1080/01431169608948714</w:t>
        </w:r>
      </w:hyperlink>
    </w:p>
    <w:p w14:paraId="53B39E75"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Messager, M. L., Lehner, B., Grill, G., Nedeva, I., &amp; Schmitt, O. (2016). Estimating the volume and age of water stored in global lakes using a geo-statistical approach. </w:t>
      </w:r>
      <w:r>
        <w:rPr>
          <w:rFonts w:cs="Times New Roman"/>
          <w:i/>
          <w:iCs/>
          <w:sz w:val="20"/>
          <w:szCs w:val="20"/>
        </w:rPr>
        <w:t>Nature Communications, 7</w:t>
      </w:r>
      <w:r>
        <w:rPr>
          <w:rFonts w:cs="Times New Roman"/>
          <w:sz w:val="20"/>
          <w:szCs w:val="20"/>
        </w:rPr>
        <w:t xml:space="preserve">, Article 13603. </w:t>
      </w:r>
      <w:hyperlink r:id="rId16">
        <w:r w:rsidR="00352D6A">
          <w:rPr>
            <w:rFonts w:cs="Times New Roman"/>
            <w:sz w:val="20"/>
            <w:szCs w:val="20"/>
          </w:rPr>
          <w:t>https://doi.org/10.1038/ncomms13603</w:t>
        </w:r>
      </w:hyperlink>
    </w:p>
    <w:p w14:paraId="2CD2D7A1" w14:textId="77777777" w:rsidR="00352D6A" w:rsidRDefault="00000000">
      <w:pPr>
        <w:pStyle w:val="APABodyNoIndent"/>
        <w:spacing w:line="360" w:lineRule="auto"/>
        <w:ind w:left="720" w:hanging="720"/>
        <w:rPr>
          <w:rFonts w:cs="Times New Roman"/>
          <w:sz w:val="20"/>
          <w:szCs w:val="20"/>
        </w:rPr>
      </w:pPr>
      <w:r>
        <w:rPr>
          <w:rFonts w:cs="Times New Roman"/>
          <w:sz w:val="20"/>
          <w:szCs w:val="20"/>
        </w:rPr>
        <w:lastRenderedPageBreak/>
        <w:t xml:space="preserve">Ministry of Environment, Forest and Climate Change. (2024, August 14). </w:t>
      </w:r>
      <w:r>
        <w:rPr>
          <w:rFonts w:cs="Times New Roman"/>
          <w:i/>
          <w:iCs/>
          <w:sz w:val="20"/>
          <w:szCs w:val="20"/>
        </w:rPr>
        <w:t>Union Environment Minister Shri Bhupender Yadav says India adds 3 more wetlands to the list of Ramsar sites on the eve of Independence Day 2024</w:t>
      </w:r>
      <w:r>
        <w:rPr>
          <w:rFonts w:cs="Times New Roman"/>
          <w:sz w:val="20"/>
          <w:szCs w:val="20"/>
        </w:rPr>
        <w:t xml:space="preserve"> [Press release]. Press Information Bureau, Government of India. </w:t>
      </w:r>
      <w:hyperlink r:id="rId17">
        <w:r w:rsidR="00352D6A">
          <w:rPr>
            <w:rFonts w:cs="Times New Roman"/>
            <w:sz w:val="20"/>
            <w:szCs w:val="20"/>
          </w:rPr>
          <w:t>https://pib.gov.in/PressReleasePage.aspx?PRID=2045232</w:t>
        </w:r>
      </w:hyperlink>
    </w:p>
    <w:p w14:paraId="2FA70F42"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Mishra, P. K., Anoop, A., Jehangir, A., Prasad, S., Menzel, P., Schettler, G., Naumann, R., Weise, S., Andersen, N., Yousuf, A. R., &amp; Gaye, B. (2014). Limnology and modern sedimentation patterns in high altitude Tso Moriri Lake, NW Himalaya – implications for proxy development. </w:t>
      </w:r>
      <w:r>
        <w:rPr>
          <w:rFonts w:cs="Times New Roman"/>
          <w:i/>
          <w:iCs/>
          <w:sz w:val="20"/>
          <w:szCs w:val="20"/>
        </w:rPr>
        <w:t>Fundamental and Applied Limnology, 185</w:t>
      </w:r>
      <w:r>
        <w:rPr>
          <w:rFonts w:cs="Times New Roman"/>
          <w:sz w:val="20"/>
          <w:szCs w:val="20"/>
        </w:rPr>
        <w:t xml:space="preserve">(3–4), 329–348. </w:t>
      </w:r>
      <w:hyperlink r:id="rId18">
        <w:r w:rsidR="00352D6A">
          <w:rPr>
            <w:rFonts w:cs="Times New Roman"/>
            <w:sz w:val="20"/>
            <w:szCs w:val="20"/>
          </w:rPr>
          <w:t>https://doi.org/10.1127/fal/2014/0664</w:t>
        </w:r>
      </w:hyperlink>
    </w:p>
    <w:p w14:paraId="370133AA"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Mishra, S., &amp; Mishra, D. R. (2012). Normalized difference chlorophyll index: A novel model for remote estimation of chlorophyll-a concentration in turbid productive waters. </w:t>
      </w:r>
      <w:r>
        <w:rPr>
          <w:rFonts w:cs="Times New Roman"/>
          <w:i/>
          <w:iCs/>
          <w:sz w:val="20"/>
          <w:szCs w:val="20"/>
        </w:rPr>
        <w:t>Remote Sensing of Environment, 117</w:t>
      </w:r>
      <w:r>
        <w:rPr>
          <w:rFonts w:cs="Times New Roman"/>
          <w:sz w:val="20"/>
          <w:szCs w:val="20"/>
        </w:rPr>
        <w:t xml:space="preserve">, 394–406. </w:t>
      </w:r>
      <w:hyperlink r:id="rId19">
        <w:r w:rsidR="00352D6A">
          <w:rPr>
            <w:rFonts w:cs="Times New Roman"/>
            <w:sz w:val="20"/>
            <w:szCs w:val="20"/>
          </w:rPr>
          <w:t>https://doi.org/10.1016/j.rse.2011.10.016</w:t>
        </w:r>
      </w:hyperlink>
    </w:p>
    <w:p w14:paraId="4427CEAF"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NASA and IBM. (n.d.). </w:t>
      </w:r>
      <w:r>
        <w:rPr>
          <w:rFonts w:cs="Times New Roman"/>
          <w:i/>
          <w:iCs/>
          <w:sz w:val="20"/>
          <w:szCs w:val="20"/>
        </w:rPr>
        <w:t>Prithvi-EO: Geospatial foundation model for Earth observation</w:t>
      </w:r>
      <w:r>
        <w:rPr>
          <w:rFonts w:cs="Times New Roman"/>
          <w:sz w:val="20"/>
          <w:szCs w:val="20"/>
        </w:rPr>
        <w:t xml:space="preserve"> [Model documentation]. Hugging Face.</w:t>
      </w:r>
      <w:hyperlink r:id="rId20">
        <w:r w:rsidR="00352D6A">
          <w:rPr>
            <w:rFonts w:cs="Times New Roman"/>
            <w:sz w:val="20"/>
            <w:szCs w:val="20"/>
          </w:rPr>
          <w:t xml:space="preserve"> https://huggingface.co/ibm-nasa-geospatial/Prithvi-EO-1.0-100M</w:t>
        </w:r>
      </w:hyperlink>
    </w:p>
    <w:p w14:paraId="4630E5D1"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Pettorelli, N., Vik, J. O., Mysterud, A., Gaillard, J.-M., Tucker, C. J., &amp; Stenseth, N. C. (2005). Using the satellite-derived NDVI to assess ecological responses to environmental change. </w:t>
      </w:r>
      <w:r>
        <w:rPr>
          <w:rFonts w:cs="Times New Roman"/>
          <w:i/>
          <w:iCs/>
          <w:sz w:val="20"/>
          <w:szCs w:val="20"/>
        </w:rPr>
        <w:t>Trends in Ecology &amp; Evolution, 20</w:t>
      </w:r>
      <w:r>
        <w:rPr>
          <w:rFonts w:cs="Times New Roman"/>
          <w:sz w:val="20"/>
          <w:szCs w:val="20"/>
        </w:rPr>
        <w:t xml:space="preserve">(9), 503–510. </w:t>
      </w:r>
      <w:hyperlink r:id="rId21">
        <w:r w:rsidR="00352D6A">
          <w:rPr>
            <w:rFonts w:cs="Times New Roman"/>
            <w:sz w:val="20"/>
            <w:szCs w:val="20"/>
          </w:rPr>
          <w:t>https://doi.org/10.1016/j.tree.2005.05.011</w:t>
        </w:r>
      </w:hyperlink>
    </w:p>
    <w:p w14:paraId="5CED5F63"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Ramsar Convention on Wetlands. (2018). </w:t>
      </w:r>
      <w:r>
        <w:rPr>
          <w:rFonts w:cs="Times New Roman"/>
          <w:i/>
          <w:iCs/>
          <w:sz w:val="20"/>
          <w:szCs w:val="20"/>
        </w:rPr>
        <w:t>Global wetland outlook: State of the world’s wetlands and their services to people</w:t>
      </w:r>
      <w:r>
        <w:rPr>
          <w:rFonts w:cs="Times New Roman"/>
          <w:sz w:val="20"/>
          <w:szCs w:val="20"/>
        </w:rPr>
        <w:t xml:space="preserve">. Ramsar Convention Secretariat. </w:t>
      </w:r>
      <w:hyperlink r:id="rId22">
        <w:r w:rsidR="00352D6A">
          <w:rPr>
            <w:rFonts w:cs="Times New Roman"/>
            <w:sz w:val="20"/>
            <w:szCs w:val="20"/>
          </w:rPr>
          <w:t>https://moef.gov.in/uploads/2019/12/gwo_e.pdf</w:t>
        </w:r>
      </w:hyperlink>
    </w:p>
    <w:p w14:paraId="1971385A"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Ramsar Convention Secretariat. (2002a). </w:t>
      </w:r>
      <w:r>
        <w:rPr>
          <w:rFonts w:cs="Times New Roman"/>
          <w:i/>
          <w:iCs/>
          <w:sz w:val="20"/>
          <w:szCs w:val="20"/>
        </w:rPr>
        <w:t>Pong Dam Lake</w:t>
      </w:r>
      <w:r>
        <w:rPr>
          <w:rFonts w:cs="Times New Roman"/>
          <w:sz w:val="20"/>
          <w:szCs w:val="20"/>
        </w:rPr>
        <w:t xml:space="preserve"> [Ramsar Information Sheet, site no. 1211]. Ramsar Sites Information Service. </w:t>
      </w:r>
      <w:hyperlink r:id="rId23">
        <w:r w:rsidR="00352D6A">
          <w:rPr>
            <w:rFonts w:cs="Times New Roman"/>
            <w:sz w:val="20"/>
            <w:szCs w:val="20"/>
          </w:rPr>
          <w:t>https://rsis.ramsar.org/ris/1211</w:t>
        </w:r>
      </w:hyperlink>
    </w:p>
    <w:p w14:paraId="278B90F1"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Ramsar Convention Secretariat. (2002b). </w:t>
      </w:r>
      <w:r>
        <w:rPr>
          <w:rFonts w:cs="Times New Roman"/>
          <w:i/>
          <w:iCs/>
          <w:sz w:val="20"/>
          <w:szCs w:val="20"/>
        </w:rPr>
        <w:t>Sasthamkotta Lake</w:t>
      </w:r>
      <w:r>
        <w:rPr>
          <w:rFonts w:cs="Times New Roman"/>
          <w:sz w:val="20"/>
          <w:szCs w:val="20"/>
        </w:rPr>
        <w:t xml:space="preserve"> [Ramsar Information Sheet, site no. 1212]. Ramsar Sites Information Service. </w:t>
      </w:r>
      <w:hyperlink r:id="rId24">
        <w:r w:rsidR="00352D6A">
          <w:rPr>
            <w:rFonts w:cs="Times New Roman"/>
            <w:sz w:val="20"/>
            <w:szCs w:val="20"/>
          </w:rPr>
          <w:t>https://rsis.ramsar.org/ris/1212</w:t>
        </w:r>
      </w:hyperlink>
    </w:p>
    <w:p w14:paraId="30442287"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Ramsar Sites Information Service. (2024). </w:t>
      </w:r>
      <w:r>
        <w:rPr>
          <w:rFonts w:cs="Times New Roman"/>
          <w:i/>
          <w:iCs/>
          <w:sz w:val="20"/>
          <w:szCs w:val="20"/>
        </w:rPr>
        <w:t>Tawa Reservoir</w:t>
      </w:r>
      <w:r>
        <w:rPr>
          <w:rFonts w:cs="Times New Roman"/>
          <w:sz w:val="20"/>
          <w:szCs w:val="20"/>
        </w:rPr>
        <w:t xml:space="preserve">. </w:t>
      </w:r>
      <w:hyperlink r:id="rId25">
        <w:r w:rsidR="00352D6A">
          <w:rPr>
            <w:rFonts w:cs="Times New Roman"/>
            <w:sz w:val="20"/>
            <w:szCs w:val="20"/>
          </w:rPr>
          <w:t>https://rsis.ramsar.org/ris/2547</w:t>
        </w:r>
      </w:hyperlink>
    </w:p>
    <w:p w14:paraId="6C6DEC2E"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Runfola, D., Anderson, A., Baier, H., Crittenden, M., Dowker, E., Fuhrig, S., Goodman, S., Grimsley, G., Layko, R., Melville, G., Mulder, M., Oberman, R., Panganiban, J., Peck, A., Seitz, L., Shea, S., Slevin, H., Youngerman, R., &amp; Hobbs, L. (2020). geoBoundaries: A global database of political administrative boundaries. </w:t>
      </w:r>
      <w:r>
        <w:rPr>
          <w:rFonts w:cs="Times New Roman"/>
          <w:i/>
          <w:iCs/>
          <w:sz w:val="20"/>
          <w:szCs w:val="20"/>
        </w:rPr>
        <w:t>PLOS ONE, 15</w:t>
      </w:r>
      <w:r>
        <w:rPr>
          <w:rFonts w:cs="Times New Roman"/>
          <w:sz w:val="20"/>
          <w:szCs w:val="20"/>
        </w:rPr>
        <w:t xml:space="preserve">(4), Article e0231866. </w:t>
      </w:r>
      <w:hyperlink r:id="rId26">
        <w:r w:rsidR="00352D6A">
          <w:rPr>
            <w:rFonts w:cs="Times New Roman"/>
            <w:sz w:val="20"/>
            <w:szCs w:val="20"/>
          </w:rPr>
          <w:t>https://doi.org/10.1371/journal.pone.0231866</w:t>
        </w:r>
      </w:hyperlink>
    </w:p>
    <w:p w14:paraId="500A9CCB"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Ryan, S., Powell, M., Ling, J., &amp; Wen, L. (2026). Streamlining wetland vegetation mapping with AlphaEarth embeddings: Comparable accuracy to traditional methods with cleaner maps and minimal preprocessing. </w:t>
      </w:r>
      <w:r>
        <w:rPr>
          <w:rFonts w:cs="Times New Roman"/>
          <w:i/>
          <w:iCs/>
          <w:sz w:val="20"/>
          <w:szCs w:val="20"/>
        </w:rPr>
        <w:t>Remote Sensing, 18</w:t>
      </w:r>
      <w:r>
        <w:rPr>
          <w:rFonts w:cs="Times New Roman"/>
          <w:sz w:val="20"/>
          <w:szCs w:val="20"/>
        </w:rPr>
        <w:t xml:space="preserve">(2), Article 293. </w:t>
      </w:r>
      <w:hyperlink r:id="rId27">
        <w:r w:rsidR="00352D6A">
          <w:rPr>
            <w:rFonts w:cs="Times New Roman"/>
            <w:sz w:val="20"/>
            <w:szCs w:val="20"/>
          </w:rPr>
          <w:t>https://doi.org/10.3390/rs18020293</w:t>
        </w:r>
      </w:hyperlink>
    </w:p>
    <w:p w14:paraId="422DE9CB"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Szwarcman, D., Roy, S., Fraccaro, P., Gíslason, Þ. E., Blumenstiel, B., Ghosal, R., de Oliveira, P. H., de Sousa Almeida, J. L., Sedona, R., Kang, Y., Chakraborty, S., Wang, S., Gomes, C., Kumar, A., Truong, M., Godwin, D., Lee, H., Hsu, C.-Y., Lal, R., . . . Bernabe Moreno, J. (2024). </w:t>
      </w:r>
      <w:r>
        <w:rPr>
          <w:rFonts w:cs="Times New Roman"/>
          <w:i/>
          <w:iCs/>
          <w:sz w:val="20"/>
          <w:szCs w:val="20"/>
        </w:rPr>
        <w:t>Prithvi-EO-2.0: A versatile multi-temporal foundation model for Earth observation applications</w:t>
      </w:r>
      <w:r>
        <w:rPr>
          <w:rFonts w:cs="Times New Roman"/>
          <w:sz w:val="20"/>
          <w:szCs w:val="20"/>
        </w:rPr>
        <w:t xml:space="preserve">. arXiv. </w:t>
      </w:r>
      <w:hyperlink r:id="rId28">
        <w:r w:rsidR="00352D6A">
          <w:rPr>
            <w:rFonts w:cs="Times New Roman"/>
            <w:sz w:val="20"/>
            <w:szCs w:val="20"/>
          </w:rPr>
          <w:t>https://doi.org/10.48550/arXiv.2412.02732</w:t>
        </w:r>
      </w:hyperlink>
    </w:p>
    <w:p w14:paraId="766EE69C"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van den Dool, H. M. (1989). A new look at weather forecasting through analogues. </w:t>
      </w:r>
      <w:r>
        <w:rPr>
          <w:rFonts w:cs="Times New Roman"/>
          <w:i/>
          <w:iCs/>
          <w:sz w:val="20"/>
          <w:szCs w:val="20"/>
        </w:rPr>
        <w:t>Monthly Weather Review, 117</w:t>
      </w:r>
      <w:r>
        <w:rPr>
          <w:rFonts w:cs="Times New Roman"/>
          <w:sz w:val="20"/>
          <w:szCs w:val="20"/>
        </w:rPr>
        <w:t xml:space="preserve">(10), 2230–2247. </w:t>
      </w:r>
      <w:hyperlink r:id="rId29">
        <w:r w:rsidR="00352D6A">
          <w:rPr>
            <w:rFonts w:cs="Times New Roman"/>
            <w:sz w:val="20"/>
            <w:szCs w:val="20"/>
          </w:rPr>
          <w:t>https://doi.org/10.1175/1520-0493(1989)117&lt;2230:ANLAWF&gt;2.0.CO;2</w:t>
        </w:r>
      </w:hyperlink>
    </w:p>
    <w:p w14:paraId="1791F505" w14:textId="77777777" w:rsidR="00352D6A" w:rsidRDefault="00000000">
      <w:pPr>
        <w:pStyle w:val="APABodyNoIndent"/>
        <w:spacing w:line="360" w:lineRule="auto"/>
        <w:ind w:left="720" w:hanging="720"/>
        <w:rPr>
          <w:rFonts w:cs="Times New Roman"/>
          <w:sz w:val="20"/>
          <w:szCs w:val="20"/>
        </w:rPr>
      </w:pPr>
      <w:r>
        <w:rPr>
          <w:rFonts w:cs="Times New Roman"/>
          <w:sz w:val="20"/>
          <w:szCs w:val="20"/>
        </w:rPr>
        <w:t xml:space="preserve">van den Dool, H. M. (1994). Searching for analogues, how long must we wait? </w:t>
      </w:r>
      <w:r>
        <w:rPr>
          <w:rFonts w:cs="Times New Roman"/>
          <w:i/>
          <w:iCs/>
          <w:sz w:val="20"/>
          <w:szCs w:val="20"/>
        </w:rPr>
        <w:t>Tellus A, 46</w:t>
      </w:r>
      <w:r>
        <w:rPr>
          <w:rFonts w:cs="Times New Roman"/>
          <w:sz w:val="20"/>
          <w:szCs w:val="20"/>
        </w:rPr>
        <w:t xml:space="preserve">(3), 314–324. </w:t>
      </w:r>
      <w:hyperlink r:id="rId30">
        <w:r w:rsidR="00352D6A">
          <w:rPr>
            <w:rFonts w:cs="Times New Roman"/>
            <w:sz w:val="20"/>
            <w:szCs w:val="20"/>
          </w:rPr>
          <w:t>https://doi.org/10.3402/tellusa.v46i3.15481</w:t>
        </w:r>
      </w:hyperlink>
    </w:p>
    <w:p w14:paraId="55718E84" w14:textId="77777777" w:rsidR="00352D6A" w:rsidRDefault="00352D6A">
      <w:pPr>
        <w:spacing w:after="0" w:line="360" w:lineRule="auto"/>
        <w:jc w:val="both"/>
        <w:rPr>
          <w:rFonts w:ascii="Times New Roman" w:hAnsi="Times New Roman" w:cs="Times New Roman"/>
          <w:b/>
          <w:bCs/>
          <w:sz w:val="20"/>
          <w:szCs w:val="20"/>
        </w:rPr>
      </w:pPr>
    </w:p>
    <w:p w14:paraId="2DFE007E" w14:textId="0E4AA4E4" w:rsidR="00352D6A" w:rsidRDefault="00000000" w:rsidP="001203CD">
      <w:pPr>
        <w:jc w:val="center"/>
      </w:pPr>
      <w:r>
        <w:rPr>
          <w:rFonts w:ascii="Times New Roman" w:hAnsi="Times New Roman" w:cs="Times New Roman"/>
          <w:b/>
          <w:bCs/>
          <w:sz w:val="20"/>
          <w:szCs w:val="20"/>
        </w:rPr>
        <w:lastRenderedPageBreak/>
        <w:t>Tables</w:t>
      </w:r>
    </w:p>
    <w:p w14:paraId="0465C00A" w14:textId="77777777" w:rsidR="00352D6A" w:rsidRDefault="00000000">
      <w:pPr>
        <w:spacing w:before="240" w:after="60" w:line="360" w:lineRule="auto"/>
      </w:pPr>
      <w:r>
        <w:rPr>
          <w:rFonts w:ascii="Times New Roman" w:hAnsi="Times New Roman" w:cs="Times New Roman"/>
          <w:b/>
          <w:bCs/>
          <w:sz w:val="20"/>
          <w:szCs w:val="20"/>
        </w:rPr>
        <w:t>Table 1</w:t>
      </w:r>
    </w:p>
    <w:p w14:paraId="4E84EB94" w14:textId="77777777" w:rsidR="00352D6A" w:rsidRDefault="00000000">
      <w:pPr>
        <w:spacing w:after="60" w:line="360" w:lineRule="auto"/>
      </w:pPr>
      <w:r>
        <w:rPr>
          <w:rFonts w:ascii="Times New Roman" w:hAnsi="Times New Roman" w:cs="Times New Roman"/>
          <w:i/>
          <w:iCs/>
          <w:sz w:val="20"/>
          <w:szCs w:val="20"/>
        </w:rPr>
        <w:t>Annual lake-year coverage, 2016–2025</w:t>
      </w:r>
    </w:p>
    <w:tbl>
      <w:tblPr>
        <w:tblW w:w="9400" w:type="dxa"/>
        <w:tblLayout w:type="fixed"/>
        <w:tblLook w:val="04A0" w:firstRow="1" w:lastRow="0" w:firstColumn="1" w:lastColumn="0" w:noHBand="0" w:noVBand="1"/>
      </w:tblPr>
      <w:tblGrid>
        <w:gridCol w:w="2198"/>
        <w:gridCol w:w="1300"/>
        <w:gridCol w:w="1300"/>
        <w:gridCol w:w="2300"/>
        <w:gridCol w:w="2302"/>
      </w:tblGrid>
      <w:tr w:rsidR="00352D6A" w14:paraId="24EBAAD9" w14:textId="77777777">
        <w:trPr>
          <w:tblHeader/>
        </w:trPr>
        <w:tc>
          <w:tcPr>
            <w:tcW w:w="2198" w:type="dxa"/>
            <w:tcBorders>
              <w:top w:val="single" w:sz="8" w:space="0" w:color="000000"/>
              <w:bottom w:val="single" w:sz="4" w:space="0" w:color="000000"/>
            </w:tcBorders>
          </w:tcPr>
          <w:p w14:paraId="5C4E67D7" w14:textId="77777777" w:rsidR="00352D6A" w:rsidRDefault="00000000">
            <w:pPr>
              <w:widowControl w:val="0"/>
              <w:spacing w:after="0" w:line="240" w:lineRule="auto"/>
              <w:rPr>
                <w:sz w:val="18"/>
                <w:szCs w:val="18"/>
              </w:rPr>
            </w:pPr>
            <w:r>
              <w:rPr>
                <w:rFonts w:ascii="Times New Roman" w:hAnsi="Times New Roman" w:cs="Times New Roman"/>
                <w:b/>
                <w:bCs/>
                <w:sz w:val="18"/>
                <w:szCs w:val="18"/>
              </w:rPr>
              <w:t>Year</w:t>
            </w:r>
          </w:p>
        </w:tc>
        <w:tc>
          <w:tcPr>
            <w:tcW w:w="1300" w:type="dxa"/>
            <w:tcBorders>
              <w:top w:val="single" w:sz="8" w:space="0" w:color="000000"/>
              <w:bottom w:val="single" w:sz="4" w:space="0" w:color="000000"/>
            </w:tcBorders>
          </w:tcPr>
          <w:p w14:paraId="46F287CF"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Expected</w:t>
            </w:r>
          </w:p>
        </w:tc>
        <w:tc>
          <w:tcPr>
            <w:tcW w:w="1300" w:type="dxa"/>
            <w:tcBorders>
              <w:top w:val="single" w:sz="8" w:space="0" w:color="000000"/>
              <w:bottom w:val="single" w:sz="4" w:space="0" w:color="000000"/>
            </w:tcBorders>
          </w:tcPr>
          <w:p w14:paraId="6150EED5"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Complete</w:t>
            </w:r>
          </w:p>
        </w:tc>
        <w:tc>
          <w:tcPr>
            <w:tcW w:w="2300" w:type="dxa"/>
            <w:tcBorders>
              <w:top w:val="single" w:sz="8" w:space="0" w:color="000000"/>
              <w:bottom w:val="single" w:sz="4" w:space="0" w:color="000000"/>
            </w:tcBorders>
          </w:tcPr>
          <w:p w14:paraId="78E74B06"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No Sentinel-2 L2A scenes</w:t>
            </w:r>
          </w:p>
        </w:tc>
        <w:tc>
          <w:tcPr>
            <w:tcW w:w="2302" w:type="dxa"/>
            <w:tcBorders>
              <w:top w:val="single" w:sz="8" w:space="0" w:color="000000"/>
              <w:bottom w:val="single" w:sz="4" w:space="0" w:color="000000"/>
            </w:tcBorders>
          </w:tcPr>
          <w:p w14:paraId="5C3629BA"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Fewer than 100 cloud-free lake pixels</w:t>
            </w:r>
          </w:p>
        </w:tc>
      </w:tr>
      <w:tr w:rsidR="00352D6A" w14:paraId="012C94C0" w14:textId="77777777">
        <w:tc>
          <w:tcPr>
            <w:tcW w:w="2198" w:type="dxa"/>
          </w:tcPr>
          <w:p w14:paraId="00061E5A" w14:textId="77777777" w:rsidR="00352D6A" w:rsidRDefault="00000000">
            <w:pPr>
              <w:widowControl w:val="0"/>
              <w:spacing w:after="0" w:line="240" w:lineRule="auto"/>
              <w:rPr>
                <w:sz w:val="18"/>
                <w:szCs w:val="18"/>
              </w:rPr>
            </w:pPr>
            <w:r>
              <w:rPr>
                <w:rFonts w:ascii="Times New Roman" w:hAnsi="Times New Roman" w:cs="Times New Roman"/>
                <w:sz w:val="18"/>
                <w:szCs w:val="18"/>
              </w:rPr>
              <w:t>2016</w:t>
            </w:r>
          </w:p>
        </w:tc>
        <w:tc>
          <w:tcPr>
            <w:tcW w:w="1300" w:type="dxa"/>
          </w:tcPr>
          <w:p w14:paraId="05C71C2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829</w:t>
            </w:r>
          </w:p>
        </w:tc>
        <w:tc>
          <w:tcPr>
            <w:tcW w:w="1300" w:type="dxa"/>
          </w:tcPr>
          <w:p w14:paraId="42905D5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816</w:t>
            </w:r>
          </w:p>
        </w:tc>
        <w:tc>
          <w:tcPr>
            <w:tcW w:w="2300" w:type="dxa"/>
          </w:tcPr>
          <w:p w14:paraId="3758965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w:t>
            </w:r>
          </w:p>
        </w:tc>
        <w:tc>
          <w:tcPr>
            <w:tcW w:w="2302" w:type="dxa"/>
          </w:tcPr>
          <w:p w14:paraId="5C8BFB1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r>
      <w:tr w:rsidR="00352D6A" w14:paraId="2A46F0DF" w14:textId="77777777">
        <w:tc>
          <w:tcPr>
            <w:tcW w:w="2198" w:type="dxa"/>
          </w:tcPr>
          <w:p w14:paraId="265332BD" w14:textId="77777777" w:rsidR="00352D6A" w:rsidRDefault="00000000">
            <w:pPr>
              <w:widowControl w:val="0"/>
              <w:spacing w:after="0" w:line="240" w:lineRule="auto"/>
              <w:rPr>
                <w:sz w:val="18"/>
                <w:szCs w:val="18"/>
              </w:rPr>
            </w:pPr>
            <w:r>
              <w:rPr>
                <w:rFonts w:ascii="Times New Roman" w:hAnsi="Times New Roman" w:cs="Times New Roman"/>
                <w:sz w:val="18"/>
                <w:szCs w:val="18"/>
              </w:rPr>
              <w:t>2017</w:t>
            </w:r>
          </w:p>
        </w:tc>
        <w:tc>
          <w:tcPr>
            <w:tcW w:w="1300" w:type="dxa"/>
          </w:tcPr>
          <w:p w14:paraId="60CE3DD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829</w:t>
            </w:r>
          </w:p>
        </w:tc>
        <w:tc>
          <w:tcPr>
            <w:tcW w:w="1300" w:type="dxa"/>
          </w:tcPr>
          <w:p w14:paraId="6327943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820</w:t>
            </w:r>
          </w:p>
        </w:tc>
        <w:tc>
          <w:tcPr>
            <w:tcW w:w="2300" w:type="dxa"/>
          </w:tcPr>
          <w:p w14:paraId="006E1D8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w:t>
            </w:r>
          </w:p>
        </w:tc>
        <w:tc>
          <w:tcPr>
            <w:tcW w:w="2302" w:type="dxa"/>
          </w:tcPr>
          <w:p w14:paraId="1B6FC78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r>
      <w:tr w:rsidR="00352D6A" w14:paraId="4E1A2052" w14:textId="77777777">
        <w:tc>
          <w:tcPr>
            <w:tcW w:w="2198" w:type="dxa"/>
          </w:tcPr>
          <w:p w14:paraId="7E936407" w14:textId="77777777" w:rsidR="00352D6A" w:rsidRDefault="00000000">
            <w:pPr>
              <w:widowControl w:val="0"/>
              <w:spacing w:after="0" w:line="240" w:lineRule="auto"/>
              <w:rPr>
                <w:sz w:val="18"/>
                <w:szCs w:val="18"/>
              </w:rPr>
            </w:pPr>
            <w:r>
              <w:rPr>
                <w:rFonts w:ascii="Times New Roman" w:hAnsi="Times New Roman" w:cs="Times New Roman"/>
                <w:sz w:val="18"/>
                <w:szCs w:val="18"/>
              </w:rPr>
              <w:t>2018–2025 (each year)</w:t>
            </w:r>
          </w:p>
        </w:tc>
        <w:tc>
          <w:tcPr>
            <w:tcW w:w="1300" w:type="dxa"/>
          </w:tcPr>
          <w:p w14:paraId="77714DE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829</w:t>
            </w:r>
          </w:p>
        </w:tc>
        <w:tc>
          <w:tcPr>
            <w:tcW w:w="1300" w:type="dxa"/>
          </w:tcPr>
          <w:p w14:paraId="50C6619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829</w:t>
            </w:r>
          </w:p>
        </w:tc>
        <w:tc>
          <w:tcPr>
            <w:tcW w:w="2300" w:type="dxa"/>
          </w:tcPr>
          <w:p w14:paraId="659BEE5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c>
          <w:tcPr>
            <w:tcW w:w="2302" w:type="dxa"/>
          </w:tcPr>
          <w:p w14:paraId="2A13A12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r>
      <w:tr w:rsidR="00352D6A" w14:paraId="5ABA212A" w14:textId="77777777">
        <w:tc>
          <w:tcPr>
            <w:tcW w:w="2198" w:type="dxa"/>
            <w:tcBorders>
              <w:bottom w:val="single" w:sz="8" w:space="0" w:color="000000"/>
            </w:tcBorders>
          </w:tcPr>
          <w:p w14:paraId="5B56CABF" w14:textId="77777777" w:rsidR="00352D6A" w:rsidRDefault="00000000">
            <w:pPr>
              <w:widowControl w:val="0"/>
              <w:spacing w:after="0" w:line="240" w:lineRule="auto"/>
              <w:rPr>
                <w:sz w:val="18"/>
                <w:szCs w:val="18"/>
              </w:rPr>
            </w:pPr>
            <w:r>
              <w:rPr>
                <w:rFonts w:ascii="Times New Roman" w:hAnsi="Times New Roman" w:cs="Times New Roman"/>
                <w:sz w:val="18"/>
                <w:szCs w:val="18"/>
              </w:rPr>
              <w:t>Total</w:t>
            </w:r>
          </w:p>
        </w:tc>
        <w:tc>
          <w:tcPr>
            <w:tcW w:w="1300" w:type="dxa"/>
            <w:tcBorders>
              <w:bottom w:val="single" w:sz="8" w:space="0" w:color="000000"/>
            </w:tcBorders>
          </w:tcPr>
          <w:p w14:paraId="2BACDCE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8,290</w:t>
            </w:r>
          </w:p>
        </w:tc>
        <w:tc>
          <w:tcPr>
            <w:tcW w:w="1300" w:type="dxa"/>
            <w:tcBorders>
              <w:bottom w:val="single" w:sz="8" w:space="0" w:color="000000"/>
            </w:tcBorders>
          </w:tcPr>
          <w:p w14:paraId="21A24EE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8,268</w:t>
            </w:r>
          </w:p>
        </w:tc>
        <w:tc>
          <w:tcPr>
            <w:tcW w:w="2300" w:type="dxa"/>
            <w:tcBorders>
              <w:bottom w:val="single" w:sz="8" w:space="0" w:color="000000"/>
            </w:tcBorders>
          </w:tcPr>
          <w:p w14:paraId="6AB999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19</w:t>
            </w:r>
          </w:p>
        </w:tc>
        <w:tc>
          <w:tcPr>
            <w:tcW w:w="2302" w:type="dxa"/>
            <w:tcBorders>
              <w:bottom w:val="single" w:sz="8" w:space="0" w:color="000000"/>
            </w:tcBorders>
          </w:tcPr>
          <w:p w14:paraId="6D2FB83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r>
    </w:tbl>
    <w:p w14:paraId="319741B8"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A complete lake-year has a merged 30 m composite, lake-feature statistics, and an embedding. Lake-years without scenes are coastal lakes in Tamil Nadu (15) and Puducherry (4).</w:t>
      </w:r>
    </w:p>
    <w:p w14:paraId="12C0F42E" w14:textId="77777777" w:rsidR="00352D6A" w:rsidRDefault="00000000">
      <w:pPr>
        <w:spacing w:before="240" w:after="60" w:line="360" w:lineRule="auto"/>
      </w:pPr>
      <w:r>
        <w:rPr>
          <w:rFonts w:ascii="Times New Roman" w:hAnsi="Times New Roman" w:cs="Times New Roman"/>
          <w:b/>
          <w:bCs/>
          <w:sz w:val="20"/>
          <w:szCs w:val="20"/>
        </w:rPr>
        <w:t>Table 2</w:t>
      </w:r>
    </w:p>
    <w:p w14:paraId="0F64555E" w14:textId="77777777" w:rsidR="00352D6A" w:rsidRDefault="00000000">
      <w:pPr>
        <w:spacing w:after="60" w:line="360" w:lineRule="auto"/>
      </w:pPr>
      <w:r>
        <w:rPr>
          <w:rFonts w:ascii="Times New Roman" w:hAnsi="Times New Roman" w:cs="Times New Roman"/>
          <w:i/>
          <w:iCs/>
          <w:sz w:val="20"/>
          <w:szCs w:val="20"/>
        </w:rPr>
        <w:t>Spectral indicators used for the directional outlook</w:t>
      </w:r>
    </w:p>
    <w:tbl>
      <w:tblPr>
        <w:tblW w:w="9400" w:type="dxa"/>
        <w:tblLayout w:type="fixed"/>
        <w:tblLook w:val="04A0" w:firstRow="1" w:lastRow="0" w:firstColumn="1" w:lastColumn="0" w:noHBand="0" w:noVBand="1"/>
      </w:tblPr>
      <w:tblGrid>
        <w:gridCol w:w="1501"/>
        <w:gridCol w:w="2300"/>
        <w:gridCol w:w="3201"/>
        <w:gridCol w:w="2398"/>
      </w:tblGrid>
      <w:tr w:rsidR="00352D6A" w14:paraId="5832CC64" w14:textId="77777777">
        <w:trPr>
          <w:tblHeader/>
        </w:trPr>
        <w:tc>
          <w:tcPr>
            <w:tcW w:w="1500" w:type="dxa"/>
            <w:tcBorders>
              <w:top w:val="single" w:sz="8" w:space="0" w:color="000000"/>
              <w:bottom w:val="single" w:sz="4" w:space="0" w:color="000000"/>
            </w:tcBorders>
          </w:tcPr>
          <w:p w14:paraId="172BA3A9" w14:textId="77777777" w:rsidR="00352D6A" w:rsidRDefault="00000000">
            <w:pPr>
              <w:widowControl w:val="0"/>
              <w:spacing w:after="0" w:line="240" w:lineRule="auto"/>
              <w:rPr>
                <w:sz w:val="18"/>
                <w:szCs w:val="18"/>
              </w:rPr>
            </w:pPr>
            <w:r>
              <w:rPr>
                <w:rFonts w:ascii="Times New Roman" w:hAnsi="Times New Roman" w:cs="Times New Roman"/>
                <w:b/>
                <w:bCs/>
                <w:sz w:val="18"/>
                <w:szCs w:val="18"/>
              </w:rPr>
              <w:t>Indicator</w:t>
            </w:r>
          </w:p>
        </w:tc>
        <w:tc>
          <w:tcPr>
            <w:tcW w:w="2300" w:type="dxa"/>
            <w:tcBorders>
              <w:top w:val="single" w:sz="8" w:space="0" w:color="000000"/>
              <w:bottom w:val="single" w:sz="4" w:space="0" w:color="000000"/>
            </w:tcBorders>
          </w:tcPr>
          <w:p w14:paraId="003239D4"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Formula (Sentinel-2 bands)</w:t>
            </w:r>
          </w:p>
        </w:tc>
        <w:tc>
          <w:tcPr>
            <w:tcW w:w="3201" w:type="dxa"/>
            <w:tcBorders>
              <w:top w:val="single" w:sz="8" w:space="0" w:color="000000"/>
              <w:bottom w:val="single" w:sz="4" w:space="0" w:color="000000"/>
            </w:tcBorders>
          </w:tcPr>
          <w:p w14:paraId="21E12CAB"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Intended interpretation</w:t>
            </w:r>
          </w:p>
        </w:tc>
        <w:tc>
          <w:tcPr>
            <w:tcW w:w="2398" w:type="dxa"/>
            <w:tcBorders>
              <w:top w:val="single" w:sz="8" w:space="0" w:color="000000"/>
              <w:bottom w:val="single" w:sz="4" w:space="0" w:color="000000"/>
            </w:tcBorders>
          </w:tcPr>
          <w:p w14:paraId="567B6DDE"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Caveat</w:t>
            </w:r>
          </w:p>
        </w:tc>
      </w:tr>
      <w:tr w:rsidR="00352D6A" w14:paraId="1E788AA0" w14:textId="77777777">
        <w:tc>
          <w:tcPr>
            <w:tcW w:w="1500" w:type="dxa"/>
          </w:tcPr>
          <w:p w14:paraId="2FD80400" w14:textId="77777777" w:rsidR="00352D6A" w:rsidRDefault="00000000">
            <w:pPr>
              <w:widowControl w:val="0"/>
              <w:spacing w:after="0" w:line="240" w:lineRule="auto"/>
              <w:rPr>
                <w:sz w:val="18"/>
                <w:szCs w:val="18"/>
              </w:rPr>
            </w:pPr>
            <w:r>
              <w:rPr>
                <w:rFonts w:ascii="Times New Roman" w:hAnsi="Times New Roman" w:cs="Times New Roman"/>
                <w:sz w:val="18"/>
                <w:szCs w:val="18"/>
              </w:rPr>
              <w:t>NDCI</w:t>
            </w:r>
          </w:p>
        </w:tc>
        <w:tc>
          <w:tcPr>
            <w:tcW w:w="2300" w:type="dxa"/>
          </w:tcPr>
          <w:p w14:paraId="0D1E4E8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(B5 − B4) / (B5 + B4)</w:t>
            </w:r>
          </w:p>
        </w:tc>
        <w:tc>
          <w:tcPr>
            <w:tcW w:w="3201" w:type="dxa"/>
          </w:tcPr>
          <w:p w14:paraId="5EB6E19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Chlorophyll-a-related signal (Mishra &amp; Mishra, 2012)</w:t>
            </w:r>
          </w:p>
        </w:tc>
        <w:tc>
          <w:tcPr>
            <w:tcW w:w="2398" w:type="dxa"/>
          </w:tcPr>
          <w:p w14:paraId="28FA1EB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Developed for turbid, productive waters</w:t>
            </w:r>
          </w:p>
        </w:tc>
      </w:tr>
      <w:tr w:rsidR="00352D6A" w14:paraId="33CA34D2" w14:textId="77777777">
        <w:tc>
          <w:tcPr>
            <w:tcW w:w="1500" w:type="dxa"/>
          </w:tcPr>
          <w:p w14:paraId="116AEE8D" w14:textId="77777777" w:rsidR="00352D6A" w:rsidRDefault="00000000">
            <w:pPr>
              <w:widowControl w:val="0"/>
              <w:spacing w:after="0" w:line="240" w:lineRule="auto"/>
              <w:rPr>
                <w:sz w:val="18"/>
                <w:szCs w:val="18"/>
              </w:rPr>
            </w:pPr>
            <w:r>
              <w:rPr>
                <w:rFonts w:ascii="Times New Roman" w:hAnsi="Times New Roman" w:cs="Times New Roman"/>
                <w:sz w:val="18"/>
                <w:szCs w:val="18"/>
              </w:rPr>
              <w:t>NDVI</w:t>
            </w:r>
          </w:p>
        </w:tc>
        <w:tc>
          <w:tcPr>
            <w:tcW w:w="2300" w:type="dxa"/>
          </w:tcPr>
          <w:p w14:paraId="4E4E433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(B8 − B4) / (B8 + B4)</w:t>
            </w:r>
          </w:p>
        </w:tc>
        <w:tc>
          <w:tcPr>
            <w:tcW w:w="3201" w:type="dxa"/>
          </w:tcPr>
          <w:p w14:paraId="2B7513A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Vegetation-associated signal (Huete et al., 2002; Pettorelli et al., 2005)</w:t>
            </w:r>
          </w:p>
        </w:tc>
        <w:tc>
          <w:tcPr>
            <w:tcW w:w="2398" w:type="dxa"/>
          </w:tcPr>
          <w:p w14:paraId="457EFD5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Sensitive to mixed water–land pixels</w:t>
            </w:r>
          </w:p>
        </w:tc>
      </w:tr>
      <w:tr w:rsidR="00352D6A" w14:paraId="39CCD6FF" w14:textId="77777777">
        <w:tc>
          <w:tcPr>
            <w:tcW w:w="1500" w:type="dxa"/>
          </w:tcPr>
          <w:p w14:paraId="6F592EEF" w14:textId="77777777" w:rsidR="00352D6A" w:rsidRDefault="00000000">
            <w:pPr>
              <w:widowControl w:val="0"/>
              <w:spacing w:after="0" w:line="240" w:lineRule="auto"/>
              <w:rPr>
                <w:sz w:val="18"/>
                <w:szCs w:val="18"/>
              </w:rPr>
            </w:pPr>
            <w:r>
              <w:rPr>
                <w:rFonts w:ascii="Times New Roman" w:hAnsi="Times New Roman" w:cs="Times New Roman"/>
                <w:sz w:val="18"/>
                <w:szCs w:val="18"/>
              </w:rPr>
              <w:t>NDWI</w:t>
            </w:r>
          </w:p>
        </w:tc>
        <w:tc>
          <w:tcPr>
            <w:tcW w:w="2300" w:type="dxa"/>
          </w:tcPr>
          <w:p w14:paraId="4B6A6E1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(B3 − B8) / (B3 + B8)</w:t>
            </w:r>
          </w:p>
        </w:tc>
        <w:tc>
          <w:tcPr>
            <w:tcW w:w="3201" w:type="dxa"/>
          </w:tcPr>
          <w:p w14:paraId="4D0DB46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Open-water signal (McFeeters, 1996)</w:t>
            </w:r>
          </w:p>
        </w:tc>
        <w:tc>
          <w:tcPr>
            <w:tcW w:w="2398" w:type="dxa"/>
          </w:tcPr>
          <w:p w14:paraId="21CFBE8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Not a measure of water extent</w:t>
            </w:r>
          </w:p>
        </w:tc>
      </w:tr>
      <w:tr w:rsidR="00352D6A" w14:paraId="71217F4A" w14:textId="77777777">
        <w:tc>
          <w:tcPr>
            <w:tcW w:w="1500" w:type="dxa"/>
            <w:tcBorders>
              <w:bottom w:val="single" w:sz="8" w:space="0" w:color="000000"/>
            </w:tcBorders>
          </w:tcPr>
          <w:p w14:paraId="0260D6F2" w14:textId="77777777" w:rsidR="00352D6A" w:rsidRDefault="00000000">
            <w:pPr>
              <w:widowControl w:val="0"/>
              <w:spacing w:after="0" w:line="240" w:lineRule="auto"/>
              <w:rPr>
                <w:sz w:val="18"/>
                <w:szCs w:val="18"/>
              </w:rPr>
            </w:pPr>
            <w:r>
              <w:rPr>
                <w:rFonts w:ascii="Times New Roman" w:hAnsi="Times New Roman" w:cs="Times New Roman"/>
                <w:sz w:val="18"/>
                <w:szCs w:val="18"/>
              </w:rPr>
              <w:t>NDTI</w:t>
            </w:r>
          </w:p>
        </w:tc>
        <w:tc>
          <w:tcPr>
            <w:tcW w:w="2300" w:type="dxa"/>
            <w:tcBorders>
              <w:bottom w:val="single" w:sz="8" w:space="0" w:color="000000"/>
            </w:tcBorders>
          </w:tcPr>
          <w:p w14:paraId="5822C16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(B4 − B3) / (B4 + B3)</w:t>
            </w:r>
          </w:p>
        </w:tc>
        <w:tc>
          <w:tcPr>
            <w:tcW w:w="3201" w:type="dxa"/>
            <w:tcBorders>
              <w:bottom w:val="single" w:sz="8" w:space="0" w:color="000000"/>
            </w:tcBorders>
          </w:tcPr>
          <w:p w14:paraId="48617A4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Relative turbidity signal (Lacaux et al., 2007)</w:t>
            </w:r>
          </w:p>
        </w:tc>
        <w:tc>
          <w:tcPr>
            <w:tcW w:w="2398" w:type="dxa"/>
            <w:tcBorders>
              <w:bottom w:val="single" w:sz="8" w:space="0" w:color="000000"/>
            </w:tcBorders>
          </w:tcPr>
          <w:p w14:paraId="5E9E11E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Qualitative; meaningful only over water</w:t>
            </w:r>
          </w:p>
        </w:tc>
      </w:tr>
    </w:tbl>
    <w:p w14:paraId="2D1D38D0"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Bands: B3 green (560 nm), B4 red (665 nm), B5 red edge (705 nm), B8 near-infrared (842 nm); nominal centre wavelengths. Inputs are the mean reflectances of cloud-free 30 m pixels inside the lake polygon.</w:t>
      </w:r>
    </w:p>
    <w:p w14:paraId="55195203" w14:textId="77777777" w:rsidR="00352D6A" w:rsidRDefault="00000000">
      <w:pPr>
        <w:spacing w:before="240" w:after="60" w:line="360" w:lineRule="auto"/>
      </w:pPr>
      <w:r>
        <w:rPr>
          <w:rFonts w:ascii="Times New Roman" w:hAnsi="Times New Roman" w:cs="Times New Roman"/>
          <w:b/>
          <w:bCs/>
          <w:sz w:val="20"/>
          <w:szCs w:val="20"/>
        </w:rPr>
        <w:t>Table 3</w:t>
      </w:r>
    </w:p>
    <w:p w14:paraId="476C1DBF" w14:textId="77777777" w:rsidR="00352D6A" w:rsidRDefault="00000000">
      <w:pPr>
        <w:spacing w:after="60" w:line="360" w:lineRule="auto"/>
      </w:pPr>
      <w:r>
        <w:rPr>
          <w:rFonts w:ascii="Times New Roman" w:hAnsi="Times New Roman" w:cs="Times New Roman"/>
          <w:i/>
          <w:iCs/>
          <w:sz w:val="20"/>
          <w:szCs w:val="20"/>
        </w:rPr>
        <w:t>Retrieval and forecast-evidence summary for the five Ramsar sites</w:t>
      </w:r>
    </w:p>
    <w:tbl>
      <w:tblPr>
        <w:tblW w:w="9000" w:type="dxa"/>
        <w:tblLayout w:type="fixed"/>
        <w:tblLook w:val="04A0" w:firstRow="1" w:lastRow="0" w:firstColumn="1" w:lastColumn="0" w:noHBand="0" w:noVBand="1"/>
      </w:tblPr>
      <w:tblGrid>
        <w:gridCol w:w="1450"/>
        <w:gridCol w:w="951"/>
        <w:gridCol w:w="750"/>
        <w:gridCol w:w="800"/>
        <w:gridCol w:w="900"/>
        <w:gridCol w:w="849"/>
        <w:gridCol w:w="1202"/>
        <w:gridCol w:w="1100"/>
        <w:gridCol w:w="998"/>
      </w:tblGrid>
      <w:tr w:rsidR="00352D6A" w14:paraId="76EE1787" w14:textId="77777777">
        <w:trPr>
          <w:tblHeader/>
        </w:trPr>
        <w:tc>
          <w:tcPr>
            <w:tcW w:w="1449" w:type="dxa"/>
            <w:tcBorders>
              <w:top w:val="single" w:sz="8" w:space="0" w:color="000000"/>
              <w:bottom w:val="single" w:sz="4" w:space="0" w:color="000000"/>
            </w:tcBorders>
          </w:tcPr>
          <w:p w14:paraId="19BE0E5E" w14:textId="77777777" w:rsidR="00352D6A" w:rsidRDefault="00000000">
            <w:pPr>
              <w:widowControl w:val="0"/>
              <w:spacing w:after="0" w:line="240" w:lineRule="auto"/>
              <w:rPr>
                <w:sz w:val="18"/>
                <w:szCs w:val="18"/>
              </w:rPr>
            </w:pPr>
            <w:r>
              <w:rPr>
                <w:rFonts w:ascii="Times New Roman" w:hAnsi="Times New Roman" w:cs="Times New Roman"/>
                <w:b/>
                <w:bCs/>
                <w:sz w:val="18"/>
                <w:szCs w:val="18"/>
              </w:rPr>
              <w:t>Site</w:t>
            </w:r>
          </w:p>
        </w:tc>
        <w:tc>
          <w:tcPr>
            <w:tcW w:w="951" w:type="dxa"/>
            <w:tcBorders>
              <w:top w:val="single" w:sz="8" w:space="0" w:color="000000"/>
              <w:bottom w:val="single" w:sz="4" w:space="0" w:color="000000"/>
            </w:tcBorders>
          </w:tcPr>
          <w:p w14:paraId="2B39E7CB"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lake_id</w:t>
            </w:r>
          </w:p>
        </w:tc>
        <w:tc>
          <w:tcPr>
            <w:tcW w:w="750" w:type="dxa"/>
            <w:tcBorders>
              <w:top w:val="single" w:sz="8" w:space="0" w:color="000000"/>
              <w:bottom w:val="single" w:sz="4" w:space="0" w:color="000000"/>
            </w:tcBorders>
          </w:tcPr>
          <w:p w14:paraId="677E20B3"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Area (km²)</w:t>
            </w:r>
          </w:p>
        </w:tc>
        <w:tc>
          <w:tcPr>
            <w:tcW w:w="800" w:type="dxa"/>
            <w:tcBorders>
              <w:top w:val="single" w:sz="8" w:space="0" w:color="000000"/>
              <w:bottom w:val="single" w:sz="4" w:space="0" w:color="000000"/>
            </w:tcBorders>
          </w:tcPr>
          <w:p w14:paraId="6CB95794"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Elev. (m)</w:t>
            </w:r>
          </w:p>
        </w:tc>
        <w:tc>
          <w:tcPr>
            <w:tcW w:w="900" w:type="dxa"/>
            <w:tcBorders>
              <w:top w:val="single" w:sz="8" w:space="0" w:color="000000"/>
              <w:bottom w:val="single" w:sz="4" w:space="0" w:color="000000"/>
            </w:tcBorders>
          </w:tcPr>
          <w:p w14:paraId="1D61BFD4"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Rank-1 raw cosine</w:t>
            </w:r>
          </w:p>
        </w:tc>
        <w:tc>
          <w:tcPr>
            <w:tcW w:w="849" w:type="dxa"/>
            <w:tcBorders>
              <w:top w:val="single" w:sz="8" w:space="0" w:color="000000"/>
              <w:bottom w:val="single" w:sz="4" w:space="0" w:color="000000"/>
            </w:tcBorders>
          </w:tcPr>
          <w:p w14:paraId="4A08F39E"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Gap rank 1–10</w:t>
            </w:r>
          </w:p>
        </w:tc>
        <w:tc>
          <w:tcPr>
            <w:tcW w:w="1202" w:type="dxa"/>
            <w:tcBorders>
              <w:top w:val="single" w:sz="8" w:space="0" w:color="000000"/>
              <w:bottom w:val="single" w:sz="4" w:space="0" w:color="000000"/>
            </w:tcBorders>
          </w:tcPr>
          <w:p w14:paraId="5476D8CD"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Forecast analogs (ranks)</w:t>
            </w:r>
          </w:p>
        </w:tc>
        <w:tc>
          <w:tcPr>
            <w:tcW w:w="1100" w:type="dxa"/>
            <w:tcBorders>
              <w:top w:val="single" w:sz="8" w:space="0" w:color="000000"/>
              <w:bottom w:val="single" w:sz="4" w:space="0" w:color="000000"/>
            </w:tcBorders>
          </w:tcPr>
          <w:p w14:paraId="6E681998"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Analogs (n)</w:t>
            </w:r>
          </w:p>
        </w:tc>
        <w:tc>
          <w:tcPr>
            <w:tcW w:w="998" w:type="dxa"/>
            <w:tcBorders>
              <w:top w:val="single" w:sz="8" w:space="0" w:color="000000"/>
              <w:bottom w:val="single" w:sz="4" w:space="0" w:color="000000"/>
            </w:tcBorders>
          </w:tcPr>
          <w:p w14:paraId="2AAAD65A"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Uncertain</w:t>
            </w:r>
          </w:p>
        </w:tc>
      </w:tr>
      <w:tr w:rsidR="00352D6A" w14:paraId="12DF75DF" w14:textId="77777777">
        <w:tc>
          <w:tcPr>
            <w:tcW w:w="1449" w:type="dxa"/>
          </w:tcPr>
          <w:p w14:paraId="27099845" w14:textId="77777777" w:rsidR="00352D6A" w:rsidRDefault="00000000">
            <w:pPr>
              <w:widowControl w:val="0"/>
              <w:spacing w:after="0" w:line="240" w:lineRule="auto"/>
              <w:rPr>
                <w:sz w:val="18"/>
                <w:szCs w:val="18"/>
              </w:rPr>
            </w:pPr>
            <w:r>
              <w:rPr>
                <w:rFonts w:ascii="Times New Roman" w:hAnsi="Times New Roman" w:cs="Times New Roman"/>
                <w:sz w:val="18"/>
                <w:szCs w:val="18"/>
              </w:rPr>
              <w:t>Chilika Lagoon</w:t>
            </w:r>
          </w:p>
        </w:tc>
        <w:tc>
          <w:tcPr>
            <w:tcW w:w="951" w:type="dxa"/>
          </w:tcPr>
          <w:p w14:paraId="36235D3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1506</w:t>
            </w:r>
          </w:p>
        </w:tc>
        <w:tc>
          <w:tcPr>
            <w:tcW w:w="750" w:type="dxa"/>
          </w:tcPr>
          <w:p w14:paraId="05BBF22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843.2</w:t>
            </w:r>
          </w:p>
        </w:tc>
        <w:tc>
          <w:tcPr>
            <w:tcW w:w="800" w:type="dxa"/>
          </w:tcPr>
          <w:p w14:paraId="1644AC1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900" w:type="dxa"/>
          </w:tcPr>
          <w:p w14:paraId="638AA87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0.99590</w:t>
            </w:r>
          </w:p>
        </w:tc>
        <w:tc>
          <w:tcPr>
            <w:tcW w:w="849" w:type="dxa"/>
          </w:tcPr>
          <w:p w14:paraId="596F0E8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0.0025</w:t>
            </w:r>
          </w:p>
        </w:tc>
        <w:tc>
          <w:tcPr>
            <w:tcW w:w="1202" w:type="dxa"/>
          </w:tcPr>
          <w:p w14:paraId="148DAE6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2, 3, 5, 7, 9</w:t>
            </w:r>
          </w:p>
        </w:tc>
        <w:tc>
          <w:tcPr>
            <w:tcW w:w="1100" w:type="dxa"/>
          </w:tcPr>
          <w:p w14:paraId="1A67AE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5/2/2</w:t>
            </w:r>
          </w:p>
        </w:tc>
        <w:tc>
          <w:tcPr>
            <w:tcW w:w="998" w:type="dxa"/>
          </w:tcPr>
          <w:p w14:paraId="16AA007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r>
      <w:tr w:rsidR="00352D6A" w14:paraId="1F3FE18D" w14:textId="77777777">
        <w:tc>
          <w:tcPr>
            <w:tcW w:w="1449" w:type="dxa"/>
          </w:tcPr>
          <w:p w14:paraId="21B9B3CC" w14:textId="77777777" w:rsidR="00352D6A" w:rsidRDefault="00000000">
            <w:pPr>
              <w:widowControl w:val="0"/>
              <w:spacing w:after="0" w:line="240" w:lineRule="auto"/>
              <w:rPr>
                <w:sz w:val="18"/>
                <w:szCs w:val="18"/>
              </w:rPr>
            </w:pPr>
            <w:r>
              <w:rPr>
                <w:rFonts w:ascii="Times New Roman" w:hAnsi="Times New Roman" w:cs="Times New Roman"/>
                <w:sz w:val="18"/>
                <w:szCs w:val="18"/>
              </w:rPr>
              <w:t>Maharana Pratap Sagar (Beas)</w:t>
            </w:r>
          </w:p>
        </w:tc>
        <w:tc>
          <w:tcPr>
            <w:tcW w:w="951" w:type="dxa"/>
          </w:tcPr>
          <w:p w14:paraId="6C334D0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1423</w:t>
            </w:r>
          </w:p>
        </w:tc>
        <w:tc>
          <w:tcPr>
            <w:tcW w:w="750" w:type="dxa"/>
          </w:tcPr>
          <w:p w14:paraId="071F276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189.4</w:t>
            </w:r>
          </w:p>
        </w:tc>
        <w:tc>
          <w:tcPr>
            <w:tcW w:w="800" w:type="dxa"/>
          </w:tcPr>
          <w:p w14:paraId="5136E7F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407</w:t>
            </w:r>
          </w:p>
        </w:tc>
        <w:tc>
          <w:tcPr>
            <w:tcW w:w="900" w:type="dxa"/>
          </w:tcPr>
          <w:p w14:paraId="426ECB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0.99822</w:t>
            </w:r>
          </w:p>
        </w:tc>
        <w:tc>
          <w:tcPr>
            <w:tcW w:w="849" w:type="dxa"/>
          </w:tcPr>
          <w:p w14:paraId="2F8B3B6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0.0027</w:t>
            </w:r>
          </w:p>
        </w:tc>
        <w:tc>
          <w:tcPr>
            <w:tcW w:w="1202" w:type="dxa"/>
          </w:tcPr>
          <w:p w14:paraId="0B71955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2, 3, 5, 7, 8</w:t>
            </w:r>
          </w:p>
        </w:tc>
        <w:tc>
          <w:tcPr>
            <w:tcW w:w="1100" w:type="dxa"/>
          </w:tcPr>
          <w:p w14:paraId="1F79E3D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5/4/4</w:t>
            </w:r>
          </w:p>
        </w:tc>
        <w:tc>
          <w:tcPr>
            <w:tcW w:w="998" w:type="dxa"/>
          </w:tcPr>
          <w:p w14:paraId="2225CD4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r>
      <w:tr w:rsidR="00352D6A" w14:paraId="2EB4B34F" w14:textId="77777777">
        <w:tc>
          <w:tcPr>
            <w:tcW w:w="1449" w:type="dxa"/>
          </w:tcPr>
          <w:p w14:paraId="70BC94C5" w14:textId="77777777" w:rsidR="00352D6A" w:rsidRDefault="00000000">
            <w:pPr>
              <w:widowControl w:val="0"/>
              <w:spacing w:after="0" w:line="240" w:lineRule="auto"/>
              <w:rPr>
                <w:sz w:val="18"/>
                <w:szCs w:val="18"/>
              </w:rPr>
            </w:pPr>
            <w:r>
              <w:rPr>
                <w:rFonts w:ascii="Times New Roman" w:hAnsi="Times New Roman" w:cs="Times New Roman"/>
                <w:sz w:val="18"/>
                <w:szCs w:val="18"/>
              </w:rPr>
              <w:t>Tawa Reservoir</w:t>
            </w:r>
          </w:p>
        </w:tc>
        <w:tc>
          <w:tcPr>
            <w:tcW w:w="951" w:type="dxa"/>
          </w:tcPr>
          <w:p w14:paraId="0DA42C6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1498</w:t>
            </w:r>
          </w:p>
        </w:tc>
        <w:tc>
          <w:tcPr>
            <w:tcW w:w="750" w:type="dxa"/>
          </w:tcPr>
          <w:p w14:paraId="6E480F0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101.6</w:t>
            </w:r>
          </w:p>
        </w:tc>
        <w:tc>
          <w:tcPr>
            <w:tcW w:w="800" w:type="dxa"/>
          </w:tcPr>
          <w:p w14:paraId="5D74A44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348</w:t>
            </w:r>
          </w:p>
        </w:tc>
        <w:tc>
          <w:tcPr>
            <w:tcW w:w="900" w:type="dxa"/>
          </w:tcPr>
          <w:p w14:paraId="5ECF2F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0.99856</w:t>
            </w:r>
          </w:p>
        </w:tc>
        <w:tc>
          <w:tcPr>
            <w:tcW w:w="849" w:type="dxa"/>
          </w:tcPr>
          <w:p w14:paraId="4D4B12D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0.0013</w:t>
            </w:r>
          </w:p>
        </w:tc>
        <w:tc>
          <w:tcPr>
            <w:tcW w:w="1202" w:type="dxa"/>
          </w:tcPr>
          <w:p w14:paraId="541E243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1, 2, 4, 6, 9</w:t>
            </w:r>
          </w:p>
        </w:tc>
        <w:tc>
          <w:tcPr>
            <w:tcW w:w="1100" w:type="dxa"/>
          </w:tcPr>
          <w:p w14:paraId="235FF34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5/5/3</w:t>
            </w:r>
          </w:p>
        </w:tc>
        <w:tc>
          <w:tcPr>
            <w:tcW w:w="998" w:type="dxa"/>
          </w:tcPr>
          <w:p w14:paraId="3303AA9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r>
      <w:tr w:rsidR="00352D6A" w14:paraId="48608691" w14:textId="77777777">
        <w:tc>
          <w:tcPr>
            <w:tcW w:w="1449" w:type="dxa"/>
          </w:tcPr>
          <w:p w14:paraId="654F9D9C" w14:textId="77777777" w:rsidR="00352D6A" w:rsidRDefault="00000000">
            <w:pPr>
              <w:widowControl w:val="0"/>
              <w:spacing w:after="0" w:line="240" w:lineRule="auto"/>
              <w:rPr>
                <w:sz w:val="18"/>
                <w:szCs w:val="18"/>
              </w:rPr>
            </w:pPr>
            <w:r>
              <w:rPr>
                <w:rFonts w:ascii="Times New Roman" w:hAnsi="Times New Roman" w:cs="Times New Roman"/>
                <w:sz w:val="18"/>
                <w:szCs w:val="18"/>
              </w:rPr>
              <w:t>Tso Morari</w:t>
            </w:r>
          </w:p>
        </w:tc>
        <w:tc>
          <w:tcPr>
            <w:tcW w:w="951" w:type="dxa"/>
          </w:tcPr>
          <w:p w14:paraId="3A5E678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1413</w:t>
            </w:r>
          </w:p>
        </w:tc>
        <w:tc>
          <w:tcPr>
            <w:tcW w:w="750" w:type="dxa"/>
          </w:tcPr>
          <w:p w14:paraId="52B76C0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141.3</w:t>
            </w:r>
          </w:p>
        </w:tc>
        <w:tc>
          <w:tcPr>
            <w:tcW w:w="800" w:type="dxa"/>
          </w:tcPr>
          <w:p w14:paraId="61B93B2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4,522</w:t>
            </w:r>
          </w:p>
        </w:tc>
        <w:tc>
          <w:tcPr>
            <w:tcW w:w="900" w:type="dxa"/>
          </w:tcPr>
          <w:p w14:paraId="1A1E96B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0.99721</w:t>
            </w:r>
          </w:p>
        </w:tc>
        <w:tc>
          <w:tcPr>
            <w:tcW w:w="849" w:type="dxa"/>
          </w:tcPr>
          <w:p w14:paraId="2287CA2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0.0168</w:t>
            </w:r>
          </w:p>
        </w:tc>
        <w:tc>
          <w:tcPr>
            <w:tcW w:w="1202" w:type="dxa"/>
          </w:tcPr>
          <w:p w14:paraId="4E625F4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3, 4, 6, 7, 8</w:t>
            </w:r>
          </w:p>
        </w:tc>
        <w:tc>
          <w:tcPr>
            <w:tcW w:w="1100" w:type="dxa"/>
          </w:tcPr>
          <w:p w14:paraId="2EEE1A5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5/3/2</w:t>
            </w:r>
          </w:p>
        </w:tc>
        <w:tc>
          <w:tcPr>
            <w:tcW w:w="998" w:type="dxa"/>
          </w:tcPr>
          <w:p w14:paraId="7F750C2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w:t>
            </w:r>
          </w:p>
        </w:tc>
      </w:tr>
      <w:tr w:rsidR="00352D6A" w14:paraId="642C821C" w14:textId="77777777">
        <w:tc>
          <w:tcPr>
            <w:tcW w:w="1449" w:type="dxa"/>
            <w:tcBorders>
              <w:bottom w:val="single" w:sz="8" w:space="0" w:color="000000"/>
            </w:tcBorders>
          </w:tcPr>
          <w:p w14:paraId="3A174450" w14:textId="77777777" w:rsidR="00352D6A" w:rsidRDefault="00000000">
            <w:pPr>
              <w:widowControl w:val="0"/>
              <w:spacing w:after="0" w:line="240" w:lineRule="auto"/>
              <w:rPr>
                <w:sz w:val="18"/>
                <w:szCs w:val="18"/>
              </w:rPr>
            </w:pPr>
            <w:r>
              <w:rPr>
                <w:rFonts w:ascii="Times New Roman" w:hAnsi="Times New Roman" w:cs="Times New Roman"/>
                <w:sz w:val="18"/>
                <w:szCs w:val="18"/>
              </w:rPr>
              <w:t>Sasthamcotta Lake</w:t>
            </w:r>
          </w:p>
        </w:tc>
        <w:tc>
          <w:tcPr>
            <w:tcW w:w="951" w:type="dxa"/>
            <w:tcBorders>
              <w:bottom w:val="single" w:sz="8" w:space="0" w:color="000000"/>
            </w:tcBorders>
          </w:tcPr>
          <w:p w14:paraId="29A4908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179921</w:t>
            </w:r>
          </w:p>
        </w:tc>
        <w:tc>
          <w:tcPr>
            <w:tcW w:w="750" w:type="dxa"/>
            <w:tcBorders>
              <w:bottom w:val="single" w:sz="8" w:space="0" w:color="000000"/>
            </w:tcBorders>
          </w:tcPr>
          <w:p w14:paraId="294927E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3.2</w:t>
            </w:r>
          </w:p>
        </w:tc>
        <w:tc>
          <w:tcPr>
            <w:tcW w:w="800" w:type="dxa"/>
            <w:tcBorders>
              <w:bottom w:val="single" w:sz="8" w:space="0" w:color="000000"/>
            </w:tcBorders>
          </w:tcPr>
          <w:p w14:paraId="768C2D0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900" w:type="dxa"/>
            <w:tcBorders>
              <w:bottom w:val="single" w:sz="8" w:space="0" w:color="000000"/>
            </w:tcBorders>
          </w:tcPr>
          <w:p w14:paraId="7AA8E95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0.99437</w:t>
            </w:r>
          </w:p>
        </w:tc>
        <w:tc>
          <w:tcPr>
            <w:tcW w:w="849" w:type="dxa"/>
            <w:tcBorders>
              <w:bottom w:val="single" w:sz="8" w:space="0" w:color="000000"/>
            </w:tcBorders>
          </w:tcPr>
          <w:p w14:paraId="3D0BBF0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0.0027</w:t>
            </w:r>
          </w:p>
        </w:tc>
        <w:tc>
          <w:tcPr>
            <w:tcW w:w="1202" w:type="dxa"/>
            <w:tcBorders>
              <w:bottom w:val="single" w:sz="8" w:space="0" w:color="000000"/>
            </w:tcBorders>
          </w:tcPr>
          <w:p w14:paraId="06ACAAC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1, 2, 3, 6, 8</w:t>
            </w:r>
          </w:p>
        </w:tc>
        <w:tc>
          <w:tcPr>
            <w:tcW w:w="1100" w:type="dxa"/>
            <w:tcBorders>
              <w:bottom w:val="single" w:sz="8" w:space="0" w:color="000000"/>
            </w:tcBorders>
          </w:tcPr>
          <w:p w14:paraId="2920DE2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5/3/1</w:t>
            </w:r>
          </w:p>
        </w:tc>
        <w:tc>
          <w:tcPr>
            <w:tcW w:w="998" w:type="dxa"/>
            <w:tcBorders>
              <w:bottom w:val="single" w:sz="8" w:space="0" w:color="000000"/>
            </w:tcBorders>
          </w:tcPr>
          <w:p w14:paraId="6CF73EA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r>
    </w:tbl>
    <w:p w14:paraId="1A885167"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Analogs (n) is the number of contributing analogs in 2026/2027/2028. Gap rank 1–10 is the raw-cosine difference between the first- and tenth-ranked analogs. Each query compared the 2021–2025 trajectory with 4,946 candidate windows from the other 828 lakes. Area and elevation are HydroLAKES values. Forecast analogs are the first five of the ten highest-ranked candidates with observations after their matched window.</w:t>
      </w:r>
    </w:p>
    <w:p w14:paraId="7AA79F1A" w14:textId="77777777" w:rsidR="00352D6A" w:rsidRDefault="00000000">
      <w:pPr>
        <w:spacing w:before="240" w:after="60" w:line="360" w:lineRule="auto"/>
      </w:pPr>
      <w:r>
        <w:rPr>
          <w:rFonts w:ascii="Times New Roman" w:hAnsi="Times New Roman" w:cs="Times New Roman"/>
          <w:b/>
          <w:bCs/>
          <w:sz w:val="20"/>
          <w:szCs w:val="20"/>
        </w:rPr>
        <w:t>Table 4</w:t>
      </w:r>
    </w:p>
    <w:p w14:paraId="0B8F9B9D" w14:textId="77777777" w:rsidR="00352D6A" w:rsidRDefault="00000000">
      <w:pPr>
        <w:spacing w:after="60" w:line="360" w:lineRule="auto"/>
      </w:pPr>
      <w:r>
        <w:rPr>
          <w:rFonts w:ascii="Times New Roman" w:hAnsi="Times New Roman" w:cs="Times New Roman"/>
          <w:i/>
          <w:iCs/>
          <w:sz w:val="20"/>
          <w:szCs w:val="20"/>
        </w:rPr>
        <w:t>Measured index histories of the five sites, 2016–2025</w:t>
      </w:r>
    </w:p>
    <w:tbl>
      <w:tblPr>
        <w:tblW w:w="9200" w:type="dxa"/>
        <w:tblLayout w:type="fixed"/>
        <w:tblLook w:val="04A0" w:firstRow="1" w:lastRow="0" w:firstColumn="1" w:lastColumn="0" w:noHBand="0" w:noVBand="1"/>
      </w:tblPr>
      <w:tblGrid>
        <w:gridCol w:w="3401"/>
        <w:gridCol w:w="700"/>
        <w:gridCol w:w="999"/>
        <w:gridCol w:w="1000"/>
        <w:gridCol w:w="1000"/>
        <w:gridCol w:w="1000"/>
        <w:gridCol w:w="1100"/>
      </w:tblGrid>
      <w:tr w:rsidR="00352D6A" w14:paraId="615160EC" w14:textId="77777777">
        <w:trPr>
          <w:tblHeader/>
        </w:trPr>
        <w:tc>
          <w:tcPr>
            <w:tcW w:w="3400" w:type="dxa"/>
            <w:tcBorders>
              <w:top w:val="single" w:sz="8" w:space="0" w:color="000000"/>
              <w:bottom w:val="single" w:sz="4" w:space="0" w:color="000000"/>
            </w:tcBorders>
          </w:tcPr>
          <w:p w14:paraId="1F51908E" w14:textId="77777777" w:rsidR="00352D6A" w:rsidRDefault="00000000">
            <w:pPr>
              <w:widowControl w:val="0"/>
              <w:spacing w:after="0" w:line="240" w:lineRule="auto"/>
              <w:rPr>
                <w:sz w:val="18"/>
                <w:szCs w:val="18"/>
              </w:rPr>
            </w:pPr>
            <w:r>
              <w:rPr>
                <w:rFonts w:ascii="Times New Roman" w:hAnsi="Times New Roman" w:cs="Times New Roman"/>
                <w:b/>
                <w:bCs/>
                <w:sz w:val="18"/>
                <w:szCs w:val="18"/>
              </w:rPr>
              <w:t>Site</w:t>
            </w:r>
          </w:p>
        </w:tc>
        <w:tc>
          <w:tcPr>
            <w:tcW w:w="700" w:type="dxa"/>
            <w:tcBorders>
              <w:top w:val="single" w:sz="8" w:space="0" w:color="000000"/>
              <w:bottom w:val="single" w:sz="4" w:space="0" w:color="000000"/>
            </w:tcBorders>
          </w:tcPr>
          <w:p w14:paraId="17236C1C"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Year</w:t>
            </w:r>
          </w:p>
        </w:tc>
        <w:tc>
          <w:tcPr>
            <w:tcW w:w="999" w:type="dxa"/>
            <w:tcBorders>
              <w:top w:val="single" w:sz="8" w:space="0" w:color="000000"/>
              <w:bottom w:val="single" w:sz="4" w:space="0" w:color="000000"/>
            </w:tcBorders>
          </w:tcPr>
          <w:p w14:paraId="44F71D74"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NDCI</w:t>
            </w:r>
          </w:p>
        </w:tc>
        <w:tc>
          <w:tcPr>
            <w:tcW w:w="1000" w:type="dxa"/>
            <w:tcBorders>
              <w:top w:val="single" w:sz="8" w:space="0" w:color="000000"/>
              <w:bottom w:val="single" w:sz="4" w:space="0" w:color="000000"/>
            </w:tcBorders>
          </w:tcPr>
          <w:p w14:paraId="5731B638"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NDVI</w:t>
            </w:r>
          </w:p>
        </w:tc>
        <w:tc>
          <w:tcPr>
            <w:tcW w:w="1000" w:type="dxa"/>
            <w:tcBorders>
              <w:top w:val="single" w:sz="8" w:space="0" w:color="000000"/>
              <w:bottom w:val="single" w:sz="4" w:space="0" w:color="000000"/>
            </w:tcBorders>
          </w:tcPr>
          <w:p w14:paraId="29285C56"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NDWI</w:t>
            </w:r>
          </w:p>
        </w:tc>
        <w:tc>
          <w:tcPr>
            <w:tcW w:w="1000" w:type="dxa"/>
            <w:tcBorders>
              <w:top w:val="single" w:sz="8" w:space="0" w:color="000000"/>
              <w:bottom w:val="single" w:sz="4" w:space="0" w:color="000000"/>
            </w:tcBorders>
          </w:tcPr>
          <w:p w14:paraId="0C6B087E"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NDTI</w:t>
            </w:r>
          </w:p>
        </w:tc>
        <w:tc>
          <w:tcPr>
            <w:tcW w:w="1100" w:type="dxa"/>
            <w:tcBorders>
              <w:top w:val="single" w:sz="8" w:space="0" w:color="000000"/>
              <w:bottom w:val="single" w:sz="4" w:space="0" w:color="000000"/>
            </w:tcBorders>
          </w:tcPr>
          <w:p w14:paraId="01317490"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Clear obs.</w:t>
            </w:r>
          </w:p>
        </w:tc>
      </w:tr>
      <w:tr w:rsidR="00352D6A" w14:paraId="0734AD6A" w14:textId="77777777">
        <w:tc>
          <w:tcPr>
            <w:tcW w:w="3400" w:type="dxa"/>
          </w:tcPr>
          <w:p w14:paraId="0A0028D0" w14:textId="77777777" w:rsidR="00352D6A" w:rsidRDefault="00000000">
            <w:pPr>
              <w:widowControl w:val="0"/>
              <w:spacing w:after="0" w:line="240" w:lineRule="auto"/>
              <w:rPr>
                <w:sz w:val="18"/>
                <w:szCs w:val="18"/>
              </w:rPr>
            </w:pPr>
            <w:r>
              <w:rPr>
                <w:rFonts w:ascii="Times New Roman" w:hAnsi="Times New Roman" w:cs="Times New Roman"/>
                <w:sz w:val="18"/>
                <w:szCs w:val="18"/>
              </w:rPr>
              <w:t>Chilika Lagoon</w:t>
            </w:r>
          </w:p>
        </w:tc>
        <w:tc>
          <w:tcPr>
            <w:tcW w:w="700" w:type="dxa"/>
          </w:tcPr>
          <w:p w14:paraId="432A61C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2016</w:t>
            </w:r>
          </w:p>
        </w:tc>
        <w:tc>
          <w:tcPr>
            <w:tcW w:w="999" w:type="dxa"/>
          </w:tcPr>
          <w:p w14:paraId="4BF6855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+0.035</w:t>
            </w:r>
          </w:p>
        </w:tc>
        <w:tc>
          <w:tcPr>
            <w:tcW w:w="1000" w:type="dxa"/>
          </w:tcPr>
          <w:p w14:paraId="4B66E16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−0.078</w:t>
            </w:r>
          </w:p>
        </w:tc>
        <w:tc>
          <w:tcPr>
            <w:tcW w:w="1000" w:type="dxa"/>
          </w:tcPr>
          <w:p w14:paraId="44E1209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+0.130</w:t>
            </w:r>
          </w:p>
        </w:tc>
        <w:tc>
          <w:tcPr>
            <w:tcW w:w="1000" w:type="dxa"/>
          </w:tcPr>
          <w:p w14:paraId="0BAC900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−0.052</w:t>
            </w:r>
          </w:p>
        </w:tc>
        <w:tc>
          <w:tcPr>
            <w:tcW w:w="1100" w:type="dxa"/>
          </w:tcPr>
          <w:p w14:paraId="761E65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4.1</w:t>
            </w:r>
          </w:p>
        </w:tc>
      </w:tr>
      <w:tr w:rsidR="00352D6A" w14:paraId="32711821" w14:textId="77777777">
        <w:tc>
          <w:tcPr>
            <w:tcW w:w="3400" w:type="dxa"/>
          </w:tcPr>
          <w:p w14:paraId="0AED6EB0" w14:textId="77777777" w:rsidR="00352D6A" w:rsidRDefault="00352D6A">
            <w:pPr>
              <w:widowControl w:val="0"/>
              <w:spacing w:after="0" w:line="240" w:lineRule="auto"/>
              <w:rPr>
                <w:sz w:val="18"/>
                <w:szCs w:val="18"/>
              </w:rPr>
            </w:pPr>
          </w:p>
        </w:tc>
        <w:tc>
          <w:tcPr>
            <w:tcW w:w="700" w:type="dxa"/>
          </w:tcPr>
          <w:p w14:paraId="51BC0BB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w:t>
            </w:r>
          </w:p>
        </w:tc>
        <w:tc>
          <w:tcPr>
            <w:tcW w:w="999" w:type="dxa"/>
          </w:tcPr>
          <w:p w14:paraId="361B152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+0.009</w:t>
            </w:r>
          </w:p>
        </w:tc>
        <w:tc>
          <w:tcPr>
            <w:tcW w:w="1000" w:type="dxa"/>
          </w:tcPr>
          <w:p w14:paraId="480805B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−0.219</w:t>
            </w:r>
          </w:p>
        </w:tc>
        <w:tc>
          <w:tcPr>
            <w:tcW w:w="1000" w:type="dxa"/>
          </w:tcPr>
          <w:p w14:paraId="76CFF0F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+0.362</w:t>
            </w:r>
          </w:p>
        </w:tc>
        <w:tc>
          <w:tcPr>
            <w:tcW w:w="1000" w:type="dxa"/>
          </w:tcPr>
          <w:p w14:paraId="225BB8A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−0.155</w:t>
            </w:r>
          </w:p>
        </w:tc>
        <w:tc>
          <w:tcPr>
            <w:tcW w:w="1100" w:type="dxa"/>
          </w:tcPr>
          <w:p w14:paraId="33C89E6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17.1</w:t>
            </w:r>
          </w:p>
        </w:tc>
      </w:tr>
      <w:tr w:rsidR="00352D6A" w14:paraId="0B6D2A2E" w14:textId="77777777">
        <w:tc>
          <w:tcPr>
            <w:tcW w:w="3400" w:type="dxa"/>
          </w:tcPr>
          <w:p w14:paraId="37B76D80" w14:textId="77777777" w:rsidR="00352D6A" w:rsidRDefault="00352D6A">
            <w:pPr>
              <w:widowControl w:val="0"/>
              <w:spacing w:after="0" w:line="240" w:lineRule="auto"/>
              <w:rPr>
                <w:sz w:val="18"/>
                <w:szCs w:val="18"/>
              </w:rPr>
            </w:pPr>
          </w:p>
        </w:tc>
        <w:tc>
          <w:tcPr>
            <w:tcW w:w="700" w:type="dxa"/>
          </w:tcPr>
          <w:p w14:paraId="12F0943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w:t>
            </w:r>
          </w:p>
        </w:tc>
        <w:tc>
          <w:tcPr>
            <w:tcW w:w="999" w:type="dxa"/>
          </w:tcPr>
          <w:p w14:paraId="32734EE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+0.037</w:t>
            </w:r>
          </w:p>
        </w:tc>
        <w:tc>
          <w:tcPr>
            <w:tcW w:w="1000" w:type="dxa"/>
          </w:tcPr>
          <w:p w14:paraId="0CA7125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−0.185</w:t>
            </w:r>
          </w:p>
        </w:tc>
        <w:tc>
          <w:tcPr>
            <w:tcW w:w="1000" w:type="dxa"/>
          </w:tcPr>
          <w:p w14:paraId="007686D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+0.312</w:t>
            </w:r>
          </w:p>
        </w:tc>
        <w:tc>
          <w:tcPr>
            <w:tcW w:w="1000" w:type="dxa"/>
          </w:tcPr>
          <w:p w14:paraId="5E1ECE2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−0.135</w:t>
            </w:r>
          </w:p>
        </w:tc>
        <w:tc>
          <w:tcPr>
            <w:tcW w:w="1100" w:type="dxa"/>
          </w:tcPr>
          <w:p w14:paraId="5ED779E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22.5</w:t>
            </w:r>
          </w:p>
        </w:tc>
      </w:tr>
      <w:tr w:rsidR="00352D6A" w14:paraId="44345E53" w14:textId="77777777">
        <w:tc>
          <w:tcPr>
            <w:tcW w:w="3400" w:type="dxa"/>
          </w:tcPr>
          <w:p w14:paraId="75F7D936" w14:textId="77777777" w:rsidR="00352D6A" w:rsidRDefault="00352D6A">
            <w:pPr>
              <w:widowControl w:val="0"/>
              <w:spacing w:after="0" w:line="240" w:lineRule="auto"/>
              <w:rPr>
                <w:sz w:val="18"/>
                <w:szCs w:val="18"/>
              </w:rPr>
            </w:pPr>
          </w:p>
        </w:tc>
        <w:tc>
          <w:tcPr>
            <w:tcW w:w="700" w:type="dxa"/>
          </w:tcPr>
          <w:p w14:paraId="4054D6C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w:t>
            </w:r>
          </w:p>
        </w:tc>
        <w:tc>
          <w:tcPr>
            <w:tcW w:w="999" w:type="dxa"/>
          </w:tcPr>
          <w:p w14:paraId="11C0EC1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+0.048</w:t>
            </w:r>
          </w:p>
        </w:tc>
        <w:tc>
          <w:tcPr>
            <w:tcW w:w="1000" w:type="dxa"/>
          </w:tcPr>
          <w:p w14:paraId="312CCBC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−0.152</w:t>
            </w:r>
          </w:p>
        </w:tc>
        <w:tc>
          <w:tcPr>
            <w:tcW w:w="1000" w:type="dxa"/>
          </w:tcPr>
          <w:p w14:paraId="1E9239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+0.258</w:t>
            </w:r>
          </w:p>
        </w:tc>
        <w:tc>
          <w:tcPr>
            <w:tcW w:w="1000" w:type="dxa"/>
          </w:tcPr>
          <w:p w14:paraId="6AC71DD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−0.110</w:t>
            </w:r>
          </w:p>
        </w:tc>
        <w:tc>
          <w:tcPr>
            <w:tcW w:w="1100" w:type="dxa"/>
          </w:tcPr>
          <w:p w14:paraId="73D16C4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45.9</w:t>
            </w:r>
          </w:p>
        </w:tc>
      </w:tr>
      <w:tr w:rsidR="00352D6A" w14:paraId="1DD04815" w14:textId="77777777">
        <w:tc>
          <w:tcPr>
            <w:tcW w:w="3400" w:type="dxa"/>
          </w:tcPr>
          <w:p w14:paraId="28137158" w14:textId="77777777" w:rsidR="00352D6A" w:rsidRDefault="00352D6A">
            <w:pPr>
              <w:widowControl w:val="0"/>
              <w:spacing w:after="0" w:line="240" w:lineRule="auto"/>
              <w:rPr>
                <w:sz w:val="18"/>
                <w:szCs w:val="18"/>
              </w:rPr>
            </w:pPr>
          </w:p>
        </w:tc>
        <w:tc>
          <w:tcPr>
            <w:tcW w:w="700" w:type="dxa"/>
          </w:tcPr>
          <w:p w14:paraId="0CEFF29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w:t>
            </w:r>
          </w:p>
        </w:tc>
        <w:tc>
          <w:tcPr>
            <w:tcW w:w="999" w:type="dxa"/>
          </w:tcPr>
          <w:p w14:paraId="6C3B735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+0.047</w:t>
            </w:r>
          </w:p>
        </w:tc>
        <w:tc>
          <w:tcPr>
            <w:tcW w:w="1000" w:type="dxa"/>
          </w:tcPr>
          <w:p w14:paraId="3FC47F3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−0.138</w:t>
            </w:r>
          </w:p>
        </w:tc>
        <w:tc>
          <w:tcPr>
            <w:tcW w:w="1000" w:type="dxa"/>
          </w:tcPr>
          <w:p w14:paraId="705113D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+0.262</w:t>
            </w:r>
          </w:p>
        </w:tc>
        <w:tc>
          <w:tcPr>
            <w:tcW w:w="1000" w:type="dxa"/>
          </w:tcPr>
          <w:p w14:paraId="71739F3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−0.129</w:t>
            </w:r>
          </w:p>
        </w:tc>
        <w:tc>
          <w:tcPr>
            <w:tcW w:w="1100" w:type="dxa"/>
          </w:tcPr>
          <w:p w14:paraId="7BAFAEC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38.0</w:t>
            </w:r>
          </w:p>
        </w:tc>
      </w:tr>
      <w:tr w:rsidR="00352D6A" w14:paraId="4A01C865" w14:textId="77777777">
        <w:tc>
          <w:tcPr>
            <w:tcW w:w="3400" w:type="dxa"/>
          </w:tcPr>
          <w:p w14:paraId="5A6A0DFE" w14:textId="77777777" w:rsidR="00352D6A" w:rsidRDefault="00352D6A">
            <w:pPr>
              <w:widowControl w:val="0"/>
              <w:spacing w:after="0" w:line="240" w:lineRule="auto"/>
              <w:rPr>
                <w:sz w:val="18"/>
                <w:szCs w:val="18"/>
              </w:rPr>
            </w:pPr>
          </w:p>
        </w:tc>
        <w:tc>
          <w:tcPr>
            <w:tcW w:w="700" w:type="dxa"/>
          </w:tcPr>
          <w:p w14:paraId="31A7A43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w:t>
            </w:r>
          </w:p>
        </w:tc>
        <w:tc>
          <w:tcPr>
            <w:tcW w:w="999" w:type="dxa"/>
          </w:tcPr>
          <w:p w14:paraId="07547F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+0.038</w:t>
            </w:r>
          </w:p>
        </w:tc>
        <w:tc>
          <w:tcPr>
            <w:tcW w:w="1000" w:type="dxa"/>
          </w:tcPr>
          <w:p w14:paraId="4FA33C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−0.106</w:t>
            </w:r>
          </w:p>
        </w:tc>
        <w:tc>
          <w:tcPr>
            <w:tcW w:w="1000" w:type="dxa"/>
          </w:tcPr>
          <w:p w14:paraId="4441C63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+0.209</w:t>
            </w:r>
          </w:p>
        </w:tc>
        <w:tc>
          <w:tcPr>
            <w:tcW w:w="1000" w:type="dxa"/>
          </w:tcPr>
          <w:p w14:paraId="2A5DC2E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−0.105</w:t>
            </w:r>
          </w:p>
        </w:tc>
        <w:tc>
          <w:tcPr>
            <w:tcW w:w="1100" w:type="dxa"/>
          </w:tcPr>
          <w:p w14:paraId="6A0B2E7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29.0</w:t>
            </w:r>
          </w:p>
        </w:tc>
      </w:tr>
      <w:tr w:rsidR="00352D6A" w14:paraId="514C897C" w14:textId="77777777">
        <w:tc>
          <w:tcPr>
            <w:tcW w:w="3400" w:type="dxa"/>
          </w:tcPr>
          <w:p w14:paraId="4171A3A2" w14:textId="77777777" w:rsidR="00352D6A" w:rsidRDefault="00352D6A">
            <w:pPr>
              <w:widowControl w:val="0"/>
              <w:spacing w:after="0" w:line="240" w:lineRule="auto"/>
              <w:rPr>
                <w:sz w:val="18"/>
                <w:szCs w:val="18"/>
              </w:rPr>
            </w:pPr>
          </w:p>
        </w:tc>
        <w:tc>
          <w:tcPr>
            <w:tcW w:w="700" w:type="dxa"/>
          </w:tcPr>
          <w:p w14:paraId="3F9F48A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2022</w:t>
            </w:r>
          </w:p>
        </w:tc>
        <w:tc>
          <w:tcPr>
            <w:tcW w:w="999" w:type="dxa"/>
          </w:tcPr>
          <w:p w14:paraId="5CB22C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+0.052</w:t>
            </w:r>
          </w:p>
        </w:tc>
        <w:tc>
          <w:tcPr>
            <w:tcW w:w="1000" w:type="dxa"/>
          </w:tcPr>
          <w:p w14:paraId="3A73EFD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−0.125</w:t>
            </w:r>
          </w:p>
        </w:tc>
        <w:tc>
          <w:tcPr>
            <w:tcW w:w="1000" w:type="dxa"/>
          </w:tcPr>
          <w:p w14:paraId="0CC4414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+0.227</w:t>
            </w:r>
          </w:p>
        </w:tc>
        <w:tc>
          <w:tcPr>
            <w:tcW w:w="1000" w:type="dxa"/>
          </w:tcPr>
          <w:p w14:paraId="600A040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−0.105</w:t>
            </w:r>
          </w:p>
        </w:tc>
        <w:tc>
          <w:tcPr>
            <w:tcW w:w="1100" w:type="dxa"/>
          </w:tcPr>
          <w:p w14:paraId="7B4997A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39.6</w:t>
            </w:r>
          </w:p>
        </w:tc>
      </w:tr>
      <w:tr w:rsidR="00352D6A" w14:paraId="79448A42" w14:textId="77777777">
        <w:tc>
          <w:tcPr>
            <w:tcW w:w="3400" w:type="dxa"/>
          </w:tcPr>
          <w:p w14:paraId="00433863" w14:textId="77777777" w:rsidR="00352D6A" w:rsidRDefault="00352D6A">
            <w:pPr>
              <w:widowControl w:val="0"/>
              <w:spacing w:after="0" w:line="240" w:lineRule="auto"/>
              <w:rPr>
                <w:sz w:val="18"/>
                <w:szCs w:val="18"/>
              </w:rPr>
            </w:pPr>
          </w:p>
        </w:tc>
        <w:tc>
          <w:tcPr>
            <w:tcW w:w="700" w:type="dxa"/>
          </w:tcPr>
          <w:p w14:paraId="2DD6D56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2023</w:t>
            </w:r>
          </w:p>
        </w:tc>
        <w:tc>
          <w:tcPr>
            <w:tcW w:w="999" w:type="dxa"/>
          </w:tcPr>
          <w:p w14:paraId="25C4B28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+0.068</w:t>
            </w:r>
          </w:p>
        </w:tc>
        <w:tc>
          <w:tcPr>
            <w:tcW w:w="1000" w:type="dxa"/>
          </w:tcPr>
          <w:p w14:paraId="0602719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−0.135</w:t>
            </w:r>
          </w:p>
        </w:tc>
        <w:tc>
          <w:tcPr>
            <w:tcW w:w="1000" w:type="dxa"/>
          </w:tcPr>
          <w:p w14:paraId="26CC615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+0.280</w:t>
            </w:r>
          </w:p>
        </w:tc>
        <w:tc>
          <w:tcPr>
            <w:tcW w:w="1000" w:type="dxa"/>
          </w:tcPr>
          <w:p w14:paraId="09BECB8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−0.151</w:t>
            </w:r>
          </w:p>
        </w:tc>
        <w:tc>
          <w:tcPr>
            <w:tcW w:w="1100" w:type="dxa"/>
          </w:tcPr>
          <w:p w14:paraId="7793B99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34.3</w:t>
            </w:r>
          </w:p>
        </w:tc>
      </w:tr>
      <w:tr w:rsidR="00352D6A" w14:paraId="065A83AA" w14:textId="77777777">
        <w:tc>
          <w:tcPr>
            <w:tcW w:w="3400" w:type="dxa"/>
          </w:tcPr>
          <w:p w14:paraId="5578F817" w14:textId="77777777" w:rsidR="00352D6A" w:rsidRDefault="00352D6A">
            <w:pPr>
              <w:widowControl w:val="0"/>
              <w:spacing w:after="0" w:line="240" w:lineRule="auto"/>
              <w:rPr>
                <w:sz w:val="18"/>
                <w:szCs w:val="18"/>
              </w:rPr>
            </w:pPr>
          </w:p>
        </w:tc>
        <w:tc>
          <w:tcPr>
            <w:tcW w:w="700" w:type="dxa"/>
          </w:tcPr>
          <w:p w14:paraId="1CD27CC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2024</w:t>
            </w:r>
          </w:p>
        </w:tc>
        <w:tc>
          <w:tcPr>
            <w:tcW w:w="999" w:type="dxa"/>
          </w:tcPr>
          <w:p w14:paraId="5209796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+0.051</w:t>
            </w:r>
          </w:p>
        </w:tc>
        <w:tc>
          <w:tcPr>
            <w:tcW w:w="1000" w:type="dxa"/>
          </w:tcPr>
          <w:p w14:paraId="5083CE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−0.111</w:t>
            </w:r>
          </w:p>
        </w:tc>
        <w:tc>
          <w:tcPr>
            <w:tcW w:w="1000" w:type="dxa"/>
          </w:tcPr>
          <w:p w14:paraId="6B8D031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+0.216</w:t>
            </w:r>
          </w:p>
        </w:tc>
        <w:tc>
          <w:tcPr>
            <w:tcW w:w="1000" w:type="dxa"/>
          </w:tcPr>
          <w:p w14:paraId="1BBC2A8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−0.108</w:t>
            </w:r>
          </w:p>
        </w:tc>
        <w:tc>
          <w:tcPr>
            <w:tcW w:w="1100" w:type="dxa"/>
          </w:tcPr>
          <w:p w14:paraId="1CB928A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34.5</w:t>
            </w:r>
          </w:p>
        </w:tc>
      </w:tr>
      <w:tr w:rsidR="00352D6A" w14:paraId="12F9642E" w14:textId="77777777">
        <w:tc>
          <w:tcPr>
            <w:tcW w:w="3400" w:type="dxa"/>
          </w:tcPr>
          <w:p w14:paraId="5979CC2D" w14:textId="77777777" w:rsidR="00352D6A" w:rsidRDefault="00352D6A">
            <w:pPr>
              <w:widowControl w:val="0"/>
              <w:spacing w:after="0" w:line="240" w:lineRule="auto"/>
              <w:rPr>
                <w:sz w:val="18"/>
                <w:szCs w:val="18"/>
              </w:rPr>
            </w:pPr>
          </w:p>
        </w:tc>
        <w:tc>
          <w:tcPr>
            <w:tcW w:w="700" w:type="dxa"/>
          </w:tcPr>
          <w:p w14:paraId="309AB5C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2025</w:t>
            </w:r>
          </w:p>
        </w:tc>
        <w:tc>
          <w:tcPr>
            <w:tcW w:w="999" w:type="dxa"/>
          </w:tcPr>
          <w:p w14:paraId="3A3BC46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+0.043</w:t>
            </w:r>
          </w:p>
        </w:tc>
        <w:tc>
          <w:tcPr>
            <w:tcW w:w="1000" w:type="dxa"/>
          </w:tcPr>
          <w:p w14:paraId="21EA264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−0.128</w:t>
            </w:r>
          </w:p>
        </w:tc>
        <w:tc>
          <w:tcPr>
            <w:tcW w:w="1000" w:type="dxa"/>
          </w:tcPr>
          <w:p w14:paraId="2ECAD4C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+0.238</w:t>
            </w:r>
          </w:p>
        </w:tc>
        <w:tc>
          <w:tcPr>
            <w:tcW w:w="1000" w:type="dxa"/>
          </w:tcPr>
          <w:p w14:paraId="365264A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−0.113</w:t>
            </w:r>
          </w:p>
        </w:tc>
        <w:tc>
          <w:tcPr>
            <w:tcW w:w="1100" w:type="dxa"/>
          </w:tcPr>
          <w:p w14:paraId="11EB827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42.4</w:t>
            </w:r>
          </w:p>
        </w:tc>
      </w:tr>
      <w:tr w:rsidR="00352D6A" w14:paraId="795635F1" w14:textId="77777777">
        <w:tc>
          <w:tcPr>
            <w:tcW w:w="3400" w:type="dxa"/>
          </w:tcPr>
          <w:p w14:paraId="0484F4BC" w14:textId="77777777" w:rsidR="00352D6A" w:rsidRDefault="00000000">
            <w:pPr>
              <w:widowControl w:val="0"/>
              <w:spacing w:after="0" w:line="240" w:lineRule="auto"/>
              <w:rPr>
                <w:sz w:val="18"/>
                <w:szCs w:val="18"/>
              </w:rPr>
            </w:pPr>
            <w:r>
              <w:rPr>
                <w:rFonts w:ascii="Times New Roman" w:hAnsi="Times New Roman" w:cs="Times New Roman"/>
                <w:sz w:val="18"/>
                <w:szCs w:val="18"/>
              </w:rPr>
              <w:t>Maharana Pratap Sagar (Beas)</w:t>
            </w:r>
          </w:p>
        </w:tc>
        <w:tc>
          <w:tcPr>
            <w:tcW w:w="700" w:type="dxa"/>
          </w:tcPr>
          <w:p w14:paraId="7BAD705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2016</w:t>
            </w:r>
          </w:p>
        </w:tc>
        <w:tc>
          <w:tcPr>
            <w:tcW w:w="999" w:type="dxa"/>
          </w:tcPr>
          <w:p w14:paraId="47BC961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−0.005</w:t>
            </w:r>
          </w:p>
        </w:tc>
        <w:tc>
          <w:tcPr>
            <w:tcW w:w="1000" w:type="dxa"/>
          </w:tcPr>
          <w:p w14:paraId="28D70FB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−0.101</w:t>
            </w:r>
          </w:p>
        </w:tc>
        <w:tc>
          <w:tcPr>
            <w:tcW w:w="1000" w:type="dxa"/>
          </w:tcPr>
          <w:p w14:paraId="5D8339D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+0.267</w:t>
            </w:r>
          </w:p>
        </w:tc>
        <w:tc>
          <w:tcPr>
            <w:tcW w:w="1000" w:type="dxa"/>
          </w:tcPr>
          <w:p w14:paraId="0E4E12A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−0.170</w:t>
            </w:r>
          </w:p>
        </w:tc>
        <w:tc>
          <w:tcPr>
            <w:tcW w:w="1100" w:type="dxa"/>
          </w:tcPr>
          <w:p w14:paraId="642EFAB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8.9</w:t>
            </w:r>
          </w:p>
        </w:tc>
      </w:tr>
      <w:tr w:rsidR="00352D6A" w14:paraId="7173D89B" w14:textId="77777777">
        <w:tc>
          <w:tcPr>
            <w:tcW w:w="3400" w:type="dxa"/>
          </w:tcPr>
          <w:p w14:paraId="7B606678" w14:textId="77777777" w:rsidR="00352D6A" w:rsidRDefault="00352D6A">
            <w:pPr>
              <w:widowControl w:val="0"/>
              <w:spacing w:after="0" w:line="240" w:lineRule="auto"/>
              <w:rPr>
                <w:sz w:val="18"/>
                <w:szCs w:val="18"/>
              </w:rPr>
            </w:pPr>
          </w:p>
        </w:tc>
        <w:tc>
          <w:tcPr>
            <w:tcW w:w="700" w:type="dxa"/>
          </w:tcPr>
          <w:p w14:paraId="3C47F69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w:t>
            </w:r>
          </w:p>
        </w:tc>
        <w:tc>
          <w:tcPr>
            <w:tcW w:w="999" w:type="dxa"/>
          </w:tcPr>
          <w:p w14:paraId="2FCCC9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−0.008</w:t>
            </w:r>
          </w:p>
        </w:tc>
        <w:tc>
          <w:tcPr>
            <w:tcW w:w="1000" w:type="dxa"/>
          </w:tcPr>
          <w:p w14:paraId="5E6CD5E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−0.120</w:t>
            </w:r>
          </w:p>
        </w:tc>
        <w:tc>
          <w:tcPr>
            <w:tcW w:w="1000" w:type="dxa"/>
          </w:tcPr>
          <w:p w14:paraId="1057029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+0.295</w:t>
            </w:r>
          </w:p>
        </w:tc>
        <w:tc>
          <w:tcPr>
            <w:tcW w:w="1000" w:type="dxa"/>
          </w:tcPr>
          <w:p w14:paraId="750A53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−0.182</w:t>
            </w:r>
          </w:p>
        </w:tc>
        <w:tc>
          <w:tcPr>
            <w:tcW w:w="1100" w:type="dxa"/>
          </w:tcPr>
          <w:p w14:paraId="2844C63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14.8</w:t>
            </w:r>
          </w:p>
        </w:tc>
      </w:tr>
      <w:tr w:rsidR="00352D6A" w14:paraId="5CEF92AE" w14:textId="77777777">
        <w:tc>
          <w:tcPr>
            <w:tcW w:w="3400" w:type="dxa"/>
          </w:tcPr>
          <w:p w14:paraId="0449A2DB" w14:textId="77777777" w:rsidR="00352D6A" w:rsidRDefault="00352D6A">
            <w:pPr>
              <w:widowControl w:val="0"/>
              <w:spacing w:after="0" w:line="240" w:lineRule="auto"/>
              <w:rPr>
                <w:sz w:val="18"/>
                <w:szCs w:val="18"/>
              </w:rPr>
            </w:pPr>
          </w:p>
        </w:tc>
        <w:tc>
          <w:tcPr>
            <w:tcW w:w="700" w:type="dxa"/>
          </w:tcPr>
          <w:p w14:paraId="17F9587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w:t>
            </w:r>
          </w:p>
        </w:tc>
        <w:tc>
          <w:tcPr>
            <w:tcW w:w="999" w:type="dxa"/>
          </w:tcPr>
          <w:p w14:paraId="53C2B95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−0.031</w:t>
            </w:r>
          </w:p>
        </w:tc>
        <w:tc>
          <w:tcPr>
            <w:tcW w:w="1000" w:type="dxa"/>
          </w:tcPr>
          <w:p w14:paraId="704C698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−0.174</w:t>
            </w:r>
          </w:p>
        </w:tc>
        <w:tc>
          <w:tcPr>
            <w:tcW w:w="1000" w:type="dxa"/>
          </w:tcPr>
          <w:p w14:paraId="3E7A8CE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+0.383</w:t>
            </w:r>
          </w:p>
        </w:tc>
        <w:tc>
          <w:tcPr>
            <w:tcW w:w="1000" w:type="dxa"/>
          </w:tcPr>
          <w:p w14:paraId="7E7D7B9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−0.224</w:t>
            </w:r>
          </w:p>
        </w:tc>
        <w:tc>
          <w:tcPr>
            <w:tcW w:w="1100" w:type="dxa"/>
          </w:tcPr>
          <w:p w14:paraId="2EFA8C9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26.7</w:t>
            </w:r>
          </w:p>
        </w:tc>
      </w:tr>
      <w:tr w:rsidR="00352D6A" w14:paraId="2F537E28" w14:textId="77777777">
        <w:tc>
          <w:tcPr>
            <w:tcW w:w="3400" w:type="dxa"/>
          </w:tcPr>
          <w:p w14:paraId="6DDB0EA6" w14:textId="77777777" w:rsidR="00352D6A" w:rsidRDefault="00352D6A">
            <w:pPr>
              <w:widowControl w:val="0"/>
              <w:spacing w:after="0" w:line="240" w:lineRule="auto"/>
              <w:rPr>
                <w:sz w:val="18"/>
                <w:szCs w:val="18"/>
              </w:rPr>
            </w:pPr>
          </w:p>
        </w:tc>
        <w:tc>
          <w:tcPr>
            <w:tcW w:w="700" w:type="dxa"/>
          </w:tcPr>
          <w:p w14:paraId="07CDF6A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w:t>
            </w:r>
          </w:p>
        </w:tc>
        <w:tc>
          <w:tcPr>
            <w:tcW w:w="999" w:type="dxa"/>
          </w:tcPr>
          <w:p w14:paraId="037C6AB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+0.023</w:t>
            </w:r>
          </w:p>
        </w:tc>
        <w:tc>
          <w:tcPr>
            <w:tcW w:w="1000" w:type="dxa"/>
          </w:tcPr>
          <w:p w14:paraId="5716C69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−0.071</w:t>
            </w:r>
          </w:p>
        </w:tc>
        <w:tc>
          <w:tcPr>
            <w:tcW w:w="1000" w:type="dxa"/>
          </w:tcPr>
          <w:p w14:paraId="1FCDA67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+0.227</w:t>
            </w:r>
          </w:p>
        </w:tc>
        <w:tc>
          <w:tcPr>
            <w:tcW w:w="1000" w:type="dxa"/>
          </w:tcPr>
          <w:p w14:paraId="2F76DBC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−0.159</w:t>
            </w:r>
          </w:p>
        </w:tc>
        <w:tc>
          <w:tcPr>
            <w:tcW w:w="1100" w:type="dxa"/>
          </w:tcPr>
          <w:p w14:paraId="7DDA008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38.4</w:t>
            </w:r>
          </w:p>
        </w:tc>
      </w:tr>
      <w:tr w:rsidR="00352D6A" w14:paraId="2154C882" w14:textId="77777777">
        <w:tc>
          <w:tcPr>
            <w:tcW w:w="3400" w:type="dxa"/>
          </w:tcPr>
          <w:p w14:paraId="311B9E12" w14:textId="77777777" w:rsidR="00352D6A" w:rsidRDefault="00352D6A">
            <w:pPr>
              <w:widowControl w:val="0"/>
              <w:spacing w:after="0" w:line="240" w:lineRule="auto"/>
              <w:rPr>
                <w:sz w:val="18"/>
                <w:szCs w:val="18"/>
              </w:rPr>
            </w:pPr>
          </w:p>
        </w:tc>
        <w:tc>
          <w:tcPr>
            <w:tcW w:w="700" w:type="dxa"/>
          </w:tcPr>
          <w:p w14:paraId="0B8BF4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w:t>
            </w:r>
          </w:p>
        </w:tc>
        <w:tc>
          <w:tcPr>
            <w:tcW w:w="999" w:type="dxa"/>
          </w:tcPr>
          <w:p w14:paraId="133760E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−0.025</w:t>
            </w:r>
          </w:p>
        </w:tc>
        <w:tc>
          <w:tcPr>
            <w:tcW w:w="1000" w:type="dxa"/>
          </w:tcPr>
          <w:p w14:paraId="4E8D4AA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−0.158</w:t>
            </w:r>
          </w:p>
        </w:tc>
        <w:tc>
          <w:tcPr>
            <w:tcW w:w="1000" w:type="dxa"/>
          </w:tcPr>
          <w:p w14:paraId="1D7575C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+0.367</w:t>
            </w:r>
          </w:p>
        </w:tc>
        <w:tc>
          <w:tcPr>
            <w:tcW w:w="1000" w:type="dxa"/>
          </w:tcPr>
          <w:p w14:paraId="3E344B5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−0.222</w:t>
            </w:r>
          </w:p>
        </w:tc>
        <w:tc>
          <w:tcPr>
            <w:tcW w:w="1100" w:type="dxa"/>
          </w:tcPr>
          <w:p w14:paraId="773AAEE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44.9</w:t>
            </w:r>
          </w:p>
        </w:tc>
      </w:tr>
      <w:tr w:rsidR="00352D6A" w14:paraId="252C9B26" w14:textId="77777777">
        <w:tc>
          <w:tcPr>
            <w:tcW w:w="3400" w:type="dxa"/>
          </w:tcPr>
          <w:p w14:paraId="4C9CEEFB" w14:textId="77777777" w:rsidR="00352D6A" w:rsidRDefault="00352D6A">
            <w:pPr>
              <w:widowControl w:val="0"/>
              <w:spacing w:after="0" w:line="240" w:lineRule="auto"/>
              <w:rPr>
                <w:sz w:val="18"/>
                <w:szCs w:val="18"/>
              </w:rPr>
            </w:pPr>
          </w:p>
        </w:tc>
        <w:tc>
          <w:tcPr>
            <w:tcW w:w="700" w:type="dxa"/>
          </w:tcPr>
          <w:p w14:paraId="3B88DF2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w:t>
            </w:r>
          </w:p>
        </w:tc>
        <w:tc>
          <w:tcPr>
            <w:tcW w:w="999" w:type="dxa"/>
          </w:tcPr>
          <w:p w14:paraId="0CE608C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+0.055</w:t>
            </w:r>
          </w:p>
        </w:tc>
        <w:tc>
          <w:tcPr>
            <w:tcW w:w="1000" w:type="dxa"/>
          </w:tcPr>
          <w:p w14:paraId="6FEB8E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+0.004</w:t>
            </w:r>
          </w:p>
        </w:tc>
        <w:tc>
          <w:tcPr>
            <w:tcW w:w="1000" w:type="dxa"/>
          </w:tcPr>
          <w:p w14:paraId="3AD2973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+0.170</w:t>
            </w:r>
          </w:p>
        </w:tc>
        <w:tc>
          <w:tcPr>
            <w:tcW w:w="1000" w:type="dxa"/>
          </w:tcPr>
          <w:p w14:paraId="3BFF976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−0.173</w:t>
            </w:r>
          </w:p>
        </w:tc>
        <w:tc>
          <w:tcPr>
            <w:tcW w:w="1100" w:type="dxa"/>
          </w:tcPr>
          <w:p w14:paraId="576051B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45.7</w:t>
            </w:r>
          </w:p>
        </w:tc>
      </w:tr>
      <w:tr w:rsidR="00352D6A" w14:paraId="4FE58FFF" w14:textId="77777777">
        <w:tc>
          <w:tcPr>
            <w:tcW w:w="3400" w:type="dxa"/>
          </w:tcPr>
          <w:p w14:paraId="3B48D254" w14:textId="77777777" w:rsidR="00352D6A" w:rsidRDefault="00352D6A">
            <w:pPr>
              <w:widowControl w:val="0"/>
              <w:spacing w:after="0" w:line="240" w:lineRule="auto"/>
              <w:rPr>
                <w:sz w:val="18"/>
                <w:szCs w:val="18"/>
              </w:rPr>
            </w:pPr>
          </w:p>
        </w:tc>
        <w:tc>
          <w:tcPr>
            <w:tcW w:w="700" w:type="dxa"/>
          </w:tcPr>
          <w:p w14:paraId="73B9AB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2022</w:t>
            </w:r>
          </w:p>
        </w:tc>
        <w:tc>
          <w:tcPr>
            <w:tcW w:w="999" w:type="dxa"/>
          </w:tcPr>
          <w:p w14:paraId="35071F9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+0.057</w:t>
            </w:r>
          </w:p>
        </w:tc>
        <w:tc>
          <w:tcPr>
            <w:tcW w:w="1000" w:type="dxa"/>
          </w:tcPr>
          <w:p w14:paraId="6D52A27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+0.070</w:t>
            </w:r>
          </w:p>
        </w:tc>
        <w:tc>
          <w:tcPr>
            <w:tcW w:w="1000" w:type="dxa"/>
          </w:tcPr>
          <w:p w14:paraId="162F903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+0.136</w:t>
            </w:r>
          </w:p>
        </w:tc>
        <w:tc>
          <w:tcPr>
            <w:tcW w:w="1000" w:type="dxa"/>
          </w:tcPr>
          <w:p w14:paraId="39BB5D1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−0.204</w:t>
            </w:r>
          </w:p>
        </w:tc>
        <w:tc>
          <w:tcPr>
            <w:tcW w:w="1100" w:type="dxa"/>
          </w:tcPr>
          <w:p w14:paraId="63EE815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50.2</w:t>
            </w:r>
          </w:p>
        </w:tc>
      </w:tr>
      <w:tr w:rsidR="00352D6A" w14:paraId="0F5D06B8" w14:textId="77777777">
        <w:tc>
          <w:tcPr>
            <w:tcW w:w="3400" w:type="dxa"/>
          </w:tcPr>
          <w:p w14:paraId="34D200DB" w14:textId="77777777" w:rsidR="00352D6A" w:rsidRDefault="00352D6A">
            <w:pPr>
              <w:widowControl w:val="0"/>
              <w:spacing w:after="0" w:line="240" w:lineRule="auto"/>
              <w:rPr>
                <w:sz w:val="18"/>
                <w:szCs w:val="18"/>
              </w:rPr>
            </w:pPr>
          </w:p>
        </w:tc>
        <w:tc>
          <w:tcPr>
            <w:tcW w:w="700" w:type="dxa"/>
          </w:tcPr>
          <w:p w14:paraId="7777958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2023</w:t>
            </w:r>
          </w:p>
        </w:tc>
        <w:tc>
          <w:tcPr>
            <w:tcW w:w="999" w:type="dxa"/>
          </w:tcPr>
          <w:p w14:paraId="41AFDF7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−0.038</w:t>
            </w:r>
          </w:p>
        </w:tc>
        <w:tc>
          <w:tcPr>
            <w:tcW w:w="1000" w:type="dxa"/>
          </w:tcPr>
          <w:p w14:paraId="131DA60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−0.187</w:t>
            </w:r>
          </w:p>
        </w:tc>
        <w:tc>
          <w:tcPr>
            <w:tcW w:w="1000" w:type="dxa"/>
          </w:tcPr>
          <w:p w14:paraId="7377892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+0.415</w:t>
            </w:r>
          </w:p>
        </w:tc>
        <w:tc>
          <w:tcPr>
            <w:tcW w:w="1000" w:type="dxa"/>
          </w:tcPr>
          <w:p w14:paraId="4BD473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−0.247</w:t>
            </w:r>
          </w:p>
        </w:tc>
        <w:tc>
          <w:tcPr>
            <w:tcW w:w="1100" w:type="dxa"/>
          </w:tcPr>
          <w:p w14:paraId="304CDA3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41.5</w:t>
            </w:r>
          </w:p>
        </w:tc>
      </w:tr>
      <w:tr w:rsidR="00352D6A" w14:paraId="08FFDFB6" w14:textId="77777777">
        <w:tc>
          <w:tcPr>
            <w:tcW w:w="3400" w:type="dxa"/>
          </w:tcPr>
          <w:p w14:paraId="7ED768ED" w14:textId="77777777" w:rsidR="00352D6A" w:rsidRDefault="00352D6A">
            <w:pPr>
              <w:widowControl w:val="0"/>
              <w:spacing w:after="0" w:line="240" w:lineRule="auto"/>
              <w:rPr>
                <w:sz w:val="18"/>
                <w:szCs w:val="18"/>
              </w:rPr>
            </w:pPr>
          </w:p>
        </w:tc>
        <w:tc>
          <w:tcPr>
            <w:tcW w:w="700" w:type="dxa"/>
          </w:tcPr>
          <w:p w14:paraId="28E1531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2024</w:t>
            </w:r>
          </w:p>
        </w:tc>
        <w:tc>
          <w:tcPr>
            <w:tcW w:w="999" w:type="dxa"/>
          </w:tcPr>
          <w:p w14:paraId="673E8C0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w:t>
            </w:r>
          </w:p>
        </w:tc>
        <w:tc>
          <w:tcPr>
            <w:tcW w:w="1000" w:type="dxa"/>
          </w:tcPr>
          <w:p w14:paraId="658EB21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−0.120</w:t>
            </w:r>
          </w:p>
        </w:tc>
        <w:tc>
          <w:tcPr>
            <w:tcW w:w="1000" w:type="dxa"/>
          </w:tcPr>
          <w:p w14:paraId="2E54375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+0.275</w:t>
            </w:r>
          </w:p>
        </w:tc>
        <w:tc>
          <w:tcPr>
            <w:tcW w:w="1000" w:type="dxa"/>
          </w:tcPr>
          <w:p w14:paraId="6FDBC38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−0.160</w:t>
            </w:r>
          </w:p>
        </w:tc>
        <w:tc>
          <w:tcPr>
            <w:tcW w:w="1100" w:type="dxa"/>
          </w:tcPr>
          <w:p w14:paraId="5CE99B8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44.5</w:t>
            </w:r>
          </w:p>
        </w:tc>
      </w:tr>
      <w:tr w:rsidR="00352D6A" w14:paraId="6173CE9F" w14:textId="77777777">
        <w:tc>
          <w:tcPr>
            <w:tcW w:w="3400" w:type="dxa"/>
          </w:tcPr>
          <w:p w14:paraId="5B360AE7" w14:textId="77777777" w:rsidR="00352D6A" w:rsidRDefault="00352D6A">
            <w:pPr>
              <w:widowControl w:val="0"/>
              <w:spacing w:after="0" w:line="240" w:lineRule="auto"/>
              <w:rPr>
                <w:sz w:val="18"/>
                <w:szCs w:val="18"/>
              </w:rPr>
            </w:pPr>
          </w:p>
        </w:tc>
        <w:tc>
          <w:tcPr>
            <w:tcW w:w="700" w:type="dxa"/>
          </w:tcPr>
          <w:p w14:paraId="434D2C3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2025</w:t>
            </w:r>
          </w:p>
        </w:tc>
        <w:tc>
          <w:tcPr>
            <w:tcW w:w="999" w:type="dxa"/>
          </w:tcPr>
          <w:p w14:paraId="02A5195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+0.019</w:t>
            </w:r>
          </w:p>
        </w:tc>
        <w:tc>
          <w:tcPr>
            <w:tcW w:w="1000" w:type="dxa"/>
          </w:tcPr>
          <w:p w14:paraId="12C9C14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−0.241</w:t>
            </w:r>
          </w:p>
        </w:tc>
        <w:tc>
          <w:tcPr>
            <w:tcW w:w="1000" w:type="dxa"/>
          </w:tcPr>
          <w:p w14:paraId="61095E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+0.381</w:t>
            </w:r>
          </w:p>
        </w:tc>
        <w:tc>
          <w:tcPr>
            <w:tcW w:w="1000" w:type="dxa"/>
          </w:tcPr>
          <w:p w14:paraId="3F726FD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−0.155</w:t>
            </w:r>
          </w:p>
        </w:tc>
        <w:tc>
          <w:tcPr>
            <w:tcW w:w="1100" w:type="dxa"/>
          </w:tcPr>
          <w:p w14:paraId="243A08E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52.1</w:t>
            </w:r>
          </w:p>
        </w:tc>
      </w:tr>
      <w:tr w:rsidR="00352D6A" w14:paraId="5A91EF09" w14:textId="77777777">
        <w:tc>
          <w:tcPr>
            <w:tcW w:w="3400" w:type="dxa"/>
          </w:tcPr>
          <w:p w14:paraId="32CA81A7" w14:textId="77777777" w:rsidR="00352D6A" w:rsidRDefault="00000000">
            <w:pPr>
              <w:widowControl w:val="0"/>
              <w:spacing w:after="0" w:line="240" w:lineRule="auto"/>
              <w:rPr>
                <w:sz w:val="18"/>
                <w:szCs w:val="18"/>
              </w:rPr>
            </w:pPr>
            <w:r>
              <w:rPr>
                <w:rFonts w:ascii="Times New Roman" w:hAnsi="Times New Roman" w:cs="Times New Roman"/>
                <w:sz w:val="18"/>
                <w:szCs w:val="18"/>
              </w:rPr>
              <w:t>Tawa Reservoir</w:t>
            </w:r>
          </w:p>
        </w:tc>
        <w:tc>
          <w:tcPr>
            <w:tcW w:w="700" w:type="dxa"/>
          </w:tcPr>
          <w:p w14:paraId="1DDCBF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2016</w:t>
            </w:r>
          </w:p>
        </w:tc>
        <w:tc>
          <w:tcPr>
            <w:tcW w:w="999" w:type="dxa"/>
          </w:tcPr>
          <w:p w14:paraId="38BDD1A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−0.081</w:t>
            </w:r>
          </w:p>
        </w:tc>
        <w:tc>
          <w:tcPr>
            <w:tcW w:w="1000" w:type="dxa"/>
          </w:tcPr>
          <w:p w14:paraId="651FF85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−0.280</w:t>
            </w:r>
          </w:p>
        </w:tc>
        <w:tc>
          <w:tcPr>
            <w:tcW w:w="1000" w:type="dxa"/>
          </w:tcPr>
          <w:p w14:paraId="1686D5D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+0.465</w:t>
            </w:r>
          </w:p>
        </w:tc>
        <w:tc>
          <w:tcPr>
            <w:tcW w:w="1000" w:type="dxa"/>
          </w:tcPr>
          <w:p w14:paraId="4DC6170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−0.213</w:t>
            </w:r>
          </w:p>
        </w:tc>
        <w:tc>
          <w:tcPr>
            <w:tcW w:w="1100" w:type="dxa"/>
          </w:tcPr>
          <w:p w14:paraId="436D7E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28.3</w:t>
            </w:r>
          </w:p>
        </w:tc>
      </w:tr>
      <w:tr w:rsidR="00352D6A" w14:paraId="7CB88B8E" w14:textId="77777777">
        <w:tc>
          <w:tcPr>
            <w:tcW w:w="3400" w:type="dxa"/>
          </w:tcPr>
          <w:p w14:paraId="2B8C2189" w14:textId="77777777" w:rsidR="00352D6A" w:rsidRDefault="00352D6A">
            <w:pPr>
              <w:widowControl w:val="0"/>
              <w:spacing w:after="0" w:line="240" w:lineRule="auto"/>
              <w:rPr>
                <w:sz w:val="18"/>
                <w:szCs w:val="18"/>
              </w:rPr>
            </w:pPr>
          </w:p>
        </w:tc>
        <w:tc>
          <w:tcPr>
            <w:tcW w:w="700" w:type="dxa"/>
          </w:tcPr>
          <w:p w14:paraId="39EF428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w:t>
            </w:r>
          </w:p>
        </w:tc>
        <w:tc>
          <w:tcPr>
            <w:tcW w:w="999" w:type="dxa"/>
          </w:tcPr>
          <w:p w14:paraId="2AD768D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+0.001</w:t>
            </w:r>
          </w:p>
        </w:tc>
        <w:tc>
          <w:tcPr>
            <w:tcW w:w="1000" w:type="dxa"/>
          </w:tcPr>
          <w:p w14:paraId="24DDE45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−0.095</w:t>
            </w:r>
          </w:p>
        </w:tc>
        <w:tc>
          <w:tcPr>
            <w:tcW w:w="1000" w:type="dxa"/>
          </w:tcPr>
          <w:p w14:paraId="6F8E78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+0.227</w:t>
            </w:r>
          </w:p>
        </w:tc>
        <w:tc>
          <w:tcPr>
            <w:tcW w:w="1000" w:type="dxa"/>
          </w:tcPr>
          <w:p w14:paraId="47B5D4A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−0.135</w:t>
            </w:r>
          </w:p>
        </w:tc>
        <w:tc>
          <w:tcPr>
            <w:tcW w:w="1100" w:type="dxa"/>
          </w:tcPr>
          <w:p w14:paraId="25AD198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40.7</w:t>
            </w:r>
          </w:p>
        </w:tc>
      </w:tr>
      <w:tr w:rsidR="00352D6A" w14:paraId="6BB6D0E6" w14:textId="77777777">
        <w:tc>
          <w:tcPr>
            <w:tcW w:w="3400" w:type="dxa"/>
          </w:tcPr>
          <w:p w14:paraId="4ECEC60A" w14:textId="77777777" w:rsidR="00352D6A" w:rsidRDefault="00352D6A">
            <w:pPr>
              <w:widowControl w:val="0"/>
              <w:spacing w:after="0" w:line="240" w:lineRule="auto"/>
              <w:rPr>
                <w:sz w:val="18"/>
                <w:szCs w:val="18"/>
              </w:rPr>
            </w:pPr>
          </w:p>
        </w:tc>
        <w:tc>
          <w:tcPr>
            <w:tcW w:w="700" w:type="dxa"/>
          </w:tcPr>
          <w:p w14:paraId="6D90466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w:t>
            </w:r>
          </w:p>
        </w:tc>
        <w:tc>
          <w:tcPr>
            <w:tcW w:w="999" w:type="dxa"/>
          </w:tcPr>
          <w:p w14:paraId="52EA807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+0.046</w:t>
            </w:r>
          </w:p>
        </w:tc>
        <w:tc>
          <w:tcPr>
            <w:tcW w:w="1000" w:type="dxa"/>
          </w:tcPr>
          <w:p w14:paraId="094E356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+0.053</w:t>
            </w:r>
          </w:p>
        </w:tc>
        <w:tc>
          <w:tcPr>
            <w:tcW w:w="1000" w:type="dxa"/>
          </w:tcPr>
          <w:p w14:paraId="1863C62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+0.022</w:t>
            </w:r>
          </w:p>
        </w:tc>
        <w:tc>
          <w:tcPr>
            <w:tcW w:w="1000" w:type="dxa"/>
          </w:tcPr>
          <w:p w14:paraId="46B4905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−0.074</w:t>
            </w:r>
          </w:p>
        </w:tc>
        <w:tc>
          <w:tcPr>
            <w:tcW w:w="1100" w:type="dxa"/>
          </w:tcPr>
          <w:p w14:paraId="1811535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79.3</w:t>
            </w:r>
          </w:p>
        </w:tc>
      </w:tr>
      <w:tr w:rsidR="00352D6A" w14:paraId="6F5EF1F9" w14:textId="77777777">
        <w:tc>
          <w:tcPr>
            <w:tcW w:w="3400" w:type="dxa"/>
          </w:tcPr>
          <w:p w14:paraId="5F78EC68" w14:textId="77777777" w:rsidR="00352D6A" w:rsidRDefault="00352D6A">
            <w:pPr>
              <w:widowControl w:val="0"/>
              <w:spacing w:after="0" w:line="240" w:lineRule="auto"/>
              <w:rPr>
                <w:sz w:val="18"/>
                <w:szCs w:val="18"/>
              </w:rPr>
            </w:pPr>
          </w:p>
        </w:tc>
        <w:tc>
          <w:tcPr>
            <w:tcW w:w="700" w:type="dxa"/>
          </w:tcPr>
          <w:p w14:paraId="3D123E8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w:t>
            </w:r>
          </w:p>
        </w:tc>
        <w:tc>
          <w:tcPr>
            <w:tcW w:w="999" w:type="dxa"/>
          </w:tcPr>
          <w:p w14:paraId="7FF4A3D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+0.106</w:t>
            </w:r>
          </w:p>
        </w:tc>
        <w:tc>
          <w:tcPr>
            <w:tcW w:w="1000" w:type="dxa"/>
          </w:tcPr>
          <w:p w14:paraId="673E6C2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+0.231</w:t>
            </w:r>
          </w:p>
        </w:tc>
        <w:tc>
          <w:tcPr>
            <w:tcW w:w="1000" w:type="dxa"/>
          </w:tcPr>
          <w:p w14:paraId="60C840E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−0.258</w:t>
            </w:r>
          </w:p>
        </w:tc>
        <w:tc>
          <w:tcPr>
            <w:tcW w:w="1000" w:type="dxa"/>
          </w:tcPr>
          <w:p w14:paraId="7D6DC55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+0.029</w:t>
            </w:r>
          </w:p>
        </w:tc>
        <w:tc>
          <w:tcPr>
            <w:tcW w:w="1100" w:type="dxa"/>
          </w:tcPr>
          <w:p w14:paraId="7739618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118.9</w:t>
            </w:r>
          </w:p>
        </w:tc>
      </w:tr>
      <w:tr w:rsidR="00352D6A" w14:paraId="5085E1A1" w14:textId="77777777">
        <w:tc>
          <w:tcPr>
            <w:tcW w:w="3400" w:type="dxa"/>
          </w:tcPr>
          <w:p w14:paraId="2875C263" w14:textId="77777777" w:rsidR="00352D6A" w:rsidRDefault="00352D6A">
            <w:pPr>
              <w:widowControl w:val="0"/>
              <w:spacing w:after="0" w:line="240" w:lineRule="auto"/>
              <w:rPr>
                <w:sz w:val="18"/>
                <w:szCs w:val="18"/>
              </w:rPr>
            </w:pPr>
          </w:p>
        </w:tc>
        <w:tc>
          <w:tcPr>
            <w:tcW w:w="700" w:type="dxa"/>
          </w:tcPr>
          <w:p w14:paraId="48AF1D3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w:t>
            </w:r>
          </w:p>
        </w:tc>
        <w:tc>
          <w:tcPr>
            <w:tcW w:w="999" w:type="dxa"/>
          </w:tcPr>
          <w:p w14:paraId="0100AB3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+0.001</w:t>
            </w:r>
          </w:p>
        </w:tc>
        <w:tc>
          <w:tcPr>
            <w:tcW w:w="1000" w:type="dxa"/>
          </w:tcPr>
          <w:p w14:paraId="11B5F7F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−0.129</w:t>
            </w:r>
          </w:p>
        </w:tc>
        <w:tc>
          <w:tcPr>
            <w:tcW w:w="1000" w:type="dxa"/>
          </w:tcPr>
          <w:p w14:paraId="0CF75A9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+0.259</w:t>
            </w:r>
          </w:p>
        </w:tc>
        <w:tc>
          <w:tcPr>
            <w:tcW w:w="1000" w:type="dxa"/>
          </w:tcPr>
          <w:p w14:paraId="085A076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−0.135</w:t>
            </w:r>
          </w:p>
        </w:tc>
        <w:tc>
          <w:tcPr>
            <w:tcW w:w="1100" w:type="dxa"/>
          </w:tcPr>
          <w:p w14:paraId="00DA44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119.9</w:t>
            </w:r>
          </w:p>
        </w:tc>
      </w:tr>
      <w:tr w:rsidR="00352D6A" w14:paraId="7F6E4F02" w14:textId="77777777">
        <w:tc>
          <w:tcPr>
            <w:tcW w:w="3400" w:type="dxa"/>
          </w:tcPr>
          <w:p w14:paraId="3B2DC959" w14:textId="77777777" w:rsidR="00352D6A" w:rsidRDefault="00352D6A">
            <w:pPr>
              <w:widowControl w:val="0"/>
              <w:spacing w:after="0" w:line="240" w:lineRule="auto"/>
              <w:rPr>
                <w:sz w:val="18"/>
                <w:szCs w:val="18"/>
              </w:rPr>
            </w:pPr>
          </w:p>
        </w:tc>
        <w:tc>
          <w:tcPr>
            <w:tcW w:w="700" w:type="dxa"/>
          </w:tcPr>
          <w:p w14:paraId="66923F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w:t>
            </w:r>
          </w:p>
        </w:tc>
        <w:tc>
          <w:tcPr>
            <w:tcW w:w="999" w:type="dxa"/>
          </w:tcPr>
          <w:p w14:paraId="139E38A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+0.020</w:t>
            </w:r>
          </w:p>
        </w:tc>
        <w:tc>
          <w:tcPr>
            <w:tcW w:w="1000" w:type="dxa"/>
          </w:tcPr>
          <w:p w14:paraId="37F1473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−0.065</w:t>
            </w:r>
          </w:p>
        </w:tc>
        <w:tc>
          <w:tcPr>
            <w:tcW w:w="1000" w:type="dxa"/>
          </w:tcPr>
          <w:p w14:paraId="3E4631A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+0.204</w:t>
            </w:r>
          </w:p>
        </w:tc>
        <w:tc>
          <w:tcPr>
            <w:tcW w:w="1000" w:type="dxa"/>
          </w:tcPr>
          <w:p w14:paraId="25EB5BE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−0.141</w:t>
            </w:r>
          </w:p>
        </w:tc>
        <w:tc>
          <w:tcPr>
            <w:tcW w:w="1100" w:type="dxa"/>
          </w:tcPr>
          <w:p w14:paraId="5131D2B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105.7</w:t>
            </w:r>
          </w:p>
        </w:tc>
      </w:tr>
      <w:tr w:rsidR="00352D6A" w14:paraId="23358EA8" w14:textId="77777777">
        <w:tc>
          <w:tcPr>
            <w:tcW w:w="3400" w:type="dxa"/>
          </w:tcPr>
          <w:p w14:paraId="45DA0254" w14:textId="77777777" w:rsidR="00352D6A" w:rsidRDefault="00352D6A">
            <w:pPr>
              <w:widowControl w:val="0"/>
              <w:spacing w:after="0" w:line="240" w:lineRule="auto"/>
              <w:rPr>
                <w:sz w:val="18"/>
                <w:szCs w:val="18"/>
              </w:rPr>
            </w:pPr>
          </w:p>
        </w:tc>
        <w:tc>
          <w:tcPr>
            <w:tcW w:w="700" w:type="dxa"/>
          </w:tcPr>
          <w:p w14:paraId="57981B1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2022</w:t>
            </w:r>
          </w:p>
        </w:tc>
        <w:tc>
          <w:tcPr>
            <w:tcW w:w="999" w:type="dxa"/>
          </w:tcPr>
          <w:p w14:paraId="0153511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−0.001</w:t>
            </w:r>
          </w:p>
        </w:tc>
        <w:tc>
          <w:tcPr>
            <w:tcW w:w="1000" w:type="dxa"/>
          </w:tcPr>
          <w:p w14:paraId="745B9BA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−0.088</w:t>
            </w:r>
          </w:p>
        </w:tc>
        <w:tc>
          <w:tcPr>
            <w:tcW w:w="1000" w:type="dxa"/>
          </w:tcPr>
          <w:p w14:paraId="796E3E0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+0.244</w:t>
            </w:r>
          </w:p>
        </w:tc>
        <w:tc>
          <w:tcPr>
            <w:tcW w:w="1000" w:type="dxa"/>
          </w:tcPr>
          <w:p w14:paraId="154DEC4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−0.159</w:t>
            </w:r>
          </w:p>
        </w:tc>
        <w:tc>
          <w:tcPr>
            <w:tcW w:w="1100" w:type="dxa"/>
          </w:tcPr>
          <w:p w14:paraId="696D5A7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114.0</w:t>
            </w:r>
          </w:p>
        </w:tc>
      </w:tr>
      <w:tr w:rsidR="00352D6A" w14:paraId="4130814D" w14:textId="77777777">
        <w:tc>
          <w:tcPr>
            <w:tcW w:w="3400" w:type="dxa"/>
          </w:tcPr>
          <w:p w14:paraId="58AE98AC" w14:textId="77777777" w:rsidR="00352D6A" w:rsidRDefault="00352D6A">
            <w:pPr>
              <w:widowControl w:val="0"/>
              <w:spacing w:after="0" w:line="240" w:lineRule="auto"/>
              <w:rPr>
                <w:sz w:val="18"/>
                <w:szCs w:val="18"/>
              </w:rPr>
            </w:pPr>
          </w:p>
        </w:tc>
        <w:tc>
          <w:tcPr>
            <w:tcW w:w="700" w:type="dxa"/>
          </w:tcPr>
          <w:p w14:paraId="3D23EFE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2023</w:t>
            </w:r>
          </w:p>
        </w:tc>
        <w:tc>
          <w:tcPr>
            <w:tcW w:w="999" w:type="dxa"/>
          </w:tcPr>
          <w:p w14:paraId="26B8311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w:t>
            </w:r>
          </w:p>
        </w:tc>
        <w:tc>
          <w:tcPr>
            <w:tcW w:w="1000" w:type="dxa"/>
          </w:tcPr>
          <w:p w14:paraId="033FF8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−0.132</w:t>
            </w:r>
          </w:p>
        </w:tc>
        <w:tc>
          <w:tcPr>
            <w:tcW w:w="1000" w:type="dxa"/>
          </w:tcPr>
          <w:p w14:paraId="4830FD1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+0.281</w:t>
            </w:r>
          </w:p>
        </w:tc>
        <w:tc>
          <w:tcPr>
            <w:tcW w:w="1000" w:type="dxa"/>
          </w:tcPr>
          <w:p w14:paraId="1A6A50B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−0.155</w:t>
            </w:r>
          </w:p>
        </w:tc>
        <w:tc>
          <w:tcPr>
            <w:tcW w:w="1100" w:type="dxa"/>
          </w:tcPr>
          <w:p w14:paraId="7BA6985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119.0</w:t>
            </w:r>
          </w:p>
        </w:tc>
      </w:tr>
      <w:tr w:rsidR="00352D6A" w14:paraId="6570945C" w14:textId="77777777">
        <w:tc>
          <w:tcPr>
            <w:tcW w:w="3400" w:type="dxa"/>
          </w:tcPr>
          <w:p w14:paraId="7CDD4C7F" w14:textId="77777777" w:rsidR="00352D6A" w:rsidRDefault="00352D6A">
            <w:pPr>
              <w:widowControl w:val="0"/>
              <w:spacing w:after="0" w:line="240" w:lineRule="auto"/>
              <w:rPr>
                <w:sz w:val="18"/>
                <w:szCs w:val="18"/>
              </w:rPr>
            </w:pPr>
          </w:p>
        </w:tc>
        <w:tc>
          <w:tcPr>
            <w:tcW w:w="700" w:type="dxa"/>
          </w:tcPr>
          <w:p w14:paraId="50CCA90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2024</w:t>
            </w:r>
          </w:p>
        </w:tc>
        <w:tc>
          <w:tcPr>
            <w:tcW w:w="999" w:type="dxa"/>
          </w:tcPr>
          <w:p w14:paraId="567E874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−0.012</w:t>
            </w:r>
          </w:p>
        </w:tc>
        <w:tc>
          <w:tcPr>
            <w:tcW w:w="1000" w:type="dxa"/>
          </w:tcPr>
          <w:p w14:paraId="4F189F0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−0.160</w:t>
            </w:r>
          </w:p>
        </w:tc>
        <w:tc>
          <w:tcPr>
            <w:tcW w:w="1000" w:type="dxa"/>
          </w:tcPr>
          <w:p w14:paraId="7E99F9D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+0.317</w:t>
            </w:r>
          </w:p>
        </w:tc>
        <w:tc>
          <w:tcPr>
            <w:tcW w:w="1000" w:type="dxa"/>
          </w:tcPr>
          <w:p w14:paraId="74131B6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−0.165</w:t>
            </w:r>
          </w:p>
        </w:tc>
        <w:tc>
          <w:tcPr>
            <w:tcW w:w="1100" w:type="dxa"/>
          </w:tcPr>
          <w:p w14:paraId="1C0E236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114.7</w:t>
            </w:r>
          </w:p>
        </w:tc>
      </w:tr>
      <w:tr w:rsidR="00352D6A" w14:paraId="7948B4B5" w14:textId="77777777">
        <w:tc>
          <w:tcPr>
            <w:tcW w:w="3400" w:type="dxa"/>
          </w:tcPr>
          <w:p w14:paraId="2AF86FE1" w14:textId="77777777" w:rsidR="00352D6A" w:rsidRDefault="00352D6A">
            <w:pPr>
              <w:widowControl w:val="0"/>
              <w:spacing w:after="0" w:line="240" w:lineRule="auto"/>
              <w:rPr>
                <w:sz w:val="18"/>
                <w:szCs w:val="18"/>
              </w:rPr>
            </w:pPr>
          </w:p>
        </w:tc>
        <w:tc>
          <w:tcPr>
            <w:tcW w:w="700" w:type="dxa"/>
          </w:tcPr>
          <w:p w14:paraId="17E8D82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2025</w:t>
            </w:r>
          </w:p>
        </w:tc>
        <w:tc>
          <w:tcPr>
            <w:tcW w:w="999" w:type="dxa"/>
          </w:tcPr>
          <w:p w14:paraId="5AB8A8E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−0.044</w:t>
            </w:r>
          </w:p>
        </w:tc>
        <w:tc>
          <w:tcPr>
            <w:tcW w:w="1000" w:type="dxa"/>
          </w:tcPr>
          <w:p w14:paraId="79349F3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−0.199</w:t>
            </w:r>
          </w:p>
        </w:tc>
        <w:tc>
          <w:tcPr>
            <w:tcW w:w="1000" w:type="dxa"/>
          </w:tcPr>
          <w:p w14:paraId="72CD50D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+0.376</w:t>
            </w:r>
          </w:p>
        </w:tc>
        <w:tc>
          <w:tcPr>
            <w:tcW w:w="1000" w:type="dxa"/>
          </w:tcPr>
          <w:p w14:paraId="49A2D06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−0.191</w:t>
            </w:r>
          </w:p>
        </w:tc>
        <w:tc>
          <w:tcPr>
            <w:tcW w:w="1100" w:type="dxa"/>
          </w:tcPr>
          <w:p w14:paraId="06229F5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118.1</w:t>
            </w:r>
          </w:p>
        </w:tc>
      </w:tr>
      <w:tr w:rsidR="00352D6A" w14:paraId="5E494229" w14:textId="77777777">
        <w:tc>
          <w:tcPr>
            <w:tcW w:w="3400" w:type="dxa"/>
          </w:tcPr>
          <w:p w14:paraId="7549829B" w14:textId="77777777" w:rsidR="00352D6A" w:rsidRDefault="00000000">
            <w:pPr>
              <w:widowControl w:val="0"/>
              <w:spacing w:after="0" w:line="240" w:lineRule="auto"/>
              <w:rPr>
                <w:sz w:val="18"/>
                <w:szCs w:val="18"/>
              </w:rPr>
            </w:pPr>
            <w:r>
              <w:rPr>
                <w:rFonts w:ascii="Times New Roman" w:hAnsi="Times New Roman" w:cs="Times New Roman"/>
                <w:sz w:val="18"/>
                <w:szCs w:val="18"/>
              </w:rPr>
              <w:t>Tso Morari</w:t>
            </w:r>
          </w:p>
        </w:tc>
        <w:tc>
          <w:tcPr>
            <w:tcW w:w="700" w:type="dxa"/>
          </w:tcPr>
          <w:p w14:paraId="2024621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2016</w:t>
            </w:r>
          </w:p>
        </w:tc>
        <w:tc>
          <w:tcPr>
            <w:tcW w:w="999" w:type="dxa"/>
          </w:tcPr>
          <w:p w14:paraId="2ED3772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−0.080</w:t>
            </w:r>
          </w:p>
        </w:tc>
        <w:tc>
          <w:tcPr>
            <w:tcW w:w="1000" w:type="dxa"/>
          </w:tcPr>
          <w:p w14:paraId="018EDD8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−0.137</w:t>
            </w:r>
          </w:p>
        </w:tc>
        <w:tc>
          <w:tcPr>
            <w:tcW w:w="1000" w:type="dxa"/>
          </w:tcPr>
          <w:p w14:paraId="60D4322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+0.530</w:t>
            </w:r>
          </w:p>
        </w:tc>
        <w:tc>
          <w:tcPr>
            <w:tcW w:w="1000" w:type="dxa"/>
          </w:tcPr>
          <w:p w14:paraId="47957E1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−0.423</w:t>
            </w:r>
          </w:p>
        </w:tc>
        <w:tc>
          <w:tcPr>
            <w:tcW w:w="1100" w:type="dxa"/>
          </w:tcPr>
          <w:p w14:paraId="4D129E2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12.3</w:t>
            </w:r>
          </w:p>
        </w:tc>
      </w:tr>
      <w:tr w:rsidR="00352D6A" w14:paraId="39EDAAD4" w14:textId="77777777">
        <w:tc>
          <w:tcPr>
            <w:tcW w:w="3400" w:type="dxa"/>
          </w:tcPr>
          <w:p w14:paraId="3B7C077F" w14:textId="77777777" w:rsidR="00352D6A" w:rsidRDefault="00352D6A">
            <w:pPr>
              <w:widowControl w:val="0"/>
              <w:spacing w:after="0" w:line="240" w:lineRule="auto"/>
              <w:rPr>
                <w:sz w:val="18"/>
                <w:szCs w:val="18"/>
              </w:rPr>
            </w:pPr>
          </w:p>
        </w:tc>
        <w:tc>
          <w:tcPr>
            <w:tcW w:w="700" w:type="dxa"/>
          </w:tcPr>
          <w:p w14:paraId="20385C7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w:t>
            </w:r>
          </w:p>
        </w:tc>
        <w:tc>
          <w:tcPr>
            <w:tcW w:w="999" w:type="dxa"/>
          </w:tcPr>
          <w:p w14:paraId="2D4120F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−0.100</w:t>
            </w:r>
          </w:p>
        </w:tc>
        <w:tc>
          <w:tcPr>
            <w:tcW w:w="1000" w:type="dxa"/>
          </w:tcPr>
          <w:p w14:paraId="3699AF3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−0.160</w:t>
            </w:r>
          </w:p>
        </w:tc>
        <w:tc>
          <w:tcPr>
            <w:tcW w:w="1000" w:type="dxa"/>
          </w:tcPr>
          <w:p w14:paraId="40E3BFE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+0.570</w:t>
            </w:r>
          </w:p>
        </w:tc>
        <w:tc>
          <w:tcPr>
            <w:tcW w:w="1000" w:type="dxa"/>
          </w:tcPr>
          <w:p w14:paraId="7C44C79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−0.451</w:t>
            </w:r>
          </w:p>
        </w:tc>
        <w:tc>
          <w:tcPr>
            <w:tcW w:w="1100" w:type="dxa"/>
          </w:tcPr>
          <w:p w14:paraId="75AAF10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17.8</w:t>
            </w:r>
          </w:p>
        </w:tc>
      </w:tr>
      <w:tr w:rsidR="00352D6A" w14:paraId="6777E413" w14:textId="77777777">
        <w:tc>
          <w:tcPr>
            <w:tcW w:w="3400" w:type="dxa"/>
          </w:tcPr>
          <w:p w14:paraId="6DBF68A5" w14:textId="77777777" w:rsidR="00352D6A" w:rsidRDefault="00352D6A">
            <w:pPr>
              <w:widowControl w:val="0"/>
              <w:spacing w:after="0" w:line="240" w:lineRule="auto"/>
              <w:rPr>
                <w:sz w:val="18"/>
                <w:szCs w:val="18"/>
              </w:rPr>
            </w:pPr>
          </w:p>
        </w:tc>
        <w:tc>
          <w:tcPr>
            <w:tcW w:w="700" w:type="dxa"/>
          </w:tcPr>
          <w:p w14:paraId="631E75C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w:t>
            </w:r>
          </w:p>
        </w:tc>
        <w:tc>
          <w:tcPr>
            <w:tcW w:w="999" w:type="dxa"/>
          </w:tcPr>
          <w:p w14:paraId="22994C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−0.035</w:t>
            </w:r>
          </w:p>
        </w:tc>
        <w:tc>
          <w:tcPr>
            <w:tcW w:w="1000" w:type="dxa"/>
          </w:tcPr>
          <w:p w14:paraId="6E1C8C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−0.099</w:t>
            </w:r>
          </w:p>
        </w:tc>
        <w:tc>
          <w:tcPr>
            <w:tcW w:w="1000" w:type="dxa"/>
          </w:tcPr>
          <w:p w14:paraId="584ED0A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+0.286</w:t>
            </w:r>
          </w:p>
        </w:tc>
        <w:tc>
          <w:tcPr>
            <w:tcW w:w="1000" w:type="dxa"/>
          </w:tcPr>
          <w:p w14:paraId="62A7428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−0.193</w:t>
            </w:r>
          </w:p>
        </w:tc>
        <w:tc>
          <w:tcPr>
            <w:tcW w:w="1100" w:type="dxa"/>
          </w:tcPr>
          <w:p w14:paraId="45AF0C4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35.7</w:t>
            </w:r>
          </w:p>
        </w:tc>
      </w:tr>
      <w:tr w:rsidR="00352D6A" w14:paraId="418A9F4B" w14:textId="77777777">
        <w:tc>
          <w:tcPr>
            <w:tcW w:w="3400" w:type="dxa"/>
          </w:tcPr>
          <w:p w14:paraId="7D75A1A3" w14:textId="77777777" w:rsidR="00352D6A" w:rsidRDefault="00352D6A">
            <w:pPr>
              <w:widowControl w:val="0"/>
              <w:spacing w:after="0" w:line="240" w:lineRule="auto"/>
              <w:rPr>
                <w:sz w:val="18"/>
                <w:szCs w:val="18"/>
              </w:rPr>
            </w:pPr>
          </w:p>
        </w:tc>
        <w:tc>
          <w:tcPr>
            <w:tcW w:w="700" w:type="dxa"/>
          </w:tcPr>
          <w:p w14:paraId="24C6EA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w:t>
            </w:r>
          </w:p>
        </w:tc>
        <w:tc>
          <w:tcPr>
            <w:tcW w:w="999" w:type="dxa"/>
          </w:tcPr>
          <w:p w14:paraId="7E161CE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−0.054</w:t>
            </w:r>
          </w:p>
        </w:tc>
        <w:tc>
          <w:tcPr>
            <w:tcW w:w="1000" w:type="dxa"/>
          </w:tcPr>
          <w:p w14:paraId="315EA5F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−0.101</w:t>
            </w:r>
          </w:p>
        </w:tc>
        <w:tc>
          <w:tcPr>
            <w:tcW w:w="1000" w:type="dxa"/>
          </w:tcPr>
          <w:p w14:paraId="1712312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+0.332</w:t>
            </w:r>
          </w:p>
        </w:tc>
        <w:tc>
          <w:tcPr>
            <w:tcW w:w="1000" w:type="dxa"/>
          </w:tcPr>
          <w:p w14:paraId="2FF55E8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−0.239</w:t>
            </w:r>
          </w:p>
        </w:tc>
        <w:tc>
          <w:tcPr>
            <w:tcW w:w="1100" w:type="dxa"/>
          </w:tcPr>
          <w:p w14:paraId="7337DF9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34.2</w:t>
            </w:r>
          </w:p>
        </w:tc>
      </w:tr>
      <w:tr w:rsidR="00352D6A" w14:paraId="5269C729" w14:textId="77777777">
        <w:tc>
          <w:tcPr>
            <w:tcW w:w="3400" w:type="dxa"/>
          </w:tcPr>
          <w:p w14:paraId="7E0DD37D" w14:textId="77777777" w:rsidR="00352D6A" w:rsidRDefault="00352D6A">
            <w:pPr>
              <w:widowControl w:val="0"/>
              <w:spacing w:after="0" w:line="240" w:lineRule="auto"/>
              <w:rPr>
                <w:sz w:val="18"/>
                <w:szCs w:val="18"/>
              </w:rPr>
            </w:pPr>
          </w:p>
        </w:tc>
        <w:tc>
          <w:tcPr>
            <w:tcW w:w="700" w:type="dxa"/>
          </w:tcPr>
          <w:p w14:paraId="73775B0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w:t>
            </w:r>
          </w:p>
        </w:tc>
        <w:tc>
          <w:tcPr>
            <w:tcW w:w="999" w:type="dxa"/>
          </w:tcPr>
          <w:p w14:paraId="44EC9FE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−0.022</w:t>
            </w:r>
          </w:p>
        </w:tc>
        <w:tc>
          <w:tcPr>
            <w:tcW w:w="1000" w:type="dxa"/>
          </w:tcPr>
          <w:p w14:paraId="44BFDC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−0.069</w:t>
            </w:r>
          </w:p>
        </w:tc>
        <w:tc>
          <w:tcPr>
            <w:tcW w:w="1000" w:type="dxa"/>
          </w:tcPr>
          <w:p w14:paraId="0F67DFD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+0.313</w:t>
            </w:r>
          </w:p>
        </w:tc>
        <w:tc>
          <w:tcPr>
            <w:tcW w:w="1000" w:type="dxa"/>
          </w:tcPr>
          <w:p w14:paraId="1F030DE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−0.249</w:t>
            </w:r>
          </w:p>
        </w:tc>
        <w:tc>
          <w:tcPr>
            <w:tcW w:w="1100" w:type="dxa"/>
          </w:tcPr>
          <w:p w14:paraId="533925B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40.6</w:t>
            </w:r>
          </w:p>
        </w:tc>
      </w:tr>
      <w:tr w:rsidR="00352D6A" w14:paraId="0DEA39B9" w14:textId="77777777">
        <w:tc>
          <w:tcPr>
            <w:tcW w:w="3400" w:type="dxa"/>
          </w:tcPr>
          <w:p w14:paraId="3F0A4144" w14:textId="77777777" w:rsidR="00352D6A" w:rsidRDefault="00352D6A">
            <w:pPr>
              <w:widowControl w:val="0"/>
              <w:spacing w:after="0" w:line="240" w:lineRule="auto"/>
              <w:rPr>
                <w:sz w:val="18"/>
                <w:szCs w:val="18"/>
              </w:rPr>
            </w:pPr>
          </w:p>
        </w:tc>
        <w:tc>
          <w:tcPr>
            <w:tcW w:w="700" w:type="dxa"/>
          </w:tcPr>
          <w:p w14:paraId="0776B1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w:t>
            </w:r>
          </w:p>
        </w:tc>
        <w:tc>
          <w:tcPr>
            <w:tcW w:w="999" w:type="dxa"/>
          </w:tcPr>
          <w:p w14:paraId="6F877FD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−0.055</w:t>
            </w:r>
          </w:p>
        </w:tc>
        <w:tc>
          <w:tcPr>
            <w:tcW w:w="1000" w:type="dxa"/>
          </w:tcPr>
          <w:p w14:paraId="3C40255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−0.113</w:t>
            </w:r>
          </w:p>
        </w:tc>
        <w:tc>
          <w:tcPr>
            <w:tcW w:w="1000" w:type="dxa"/>
          </w:tcPr>
          <w:p w14:paraId="03E6149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+0.370</w:t>
            </w:r>
          </w:p>
        </w:tc>
        <w:tc>
          <w:tcPr>
            <w:tcW w:w="1000" w:type="dxa"/>
          </w:tcPr>
          <w:p w14:paraId="2CAF9F7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−0.267</w:t>
            </w:r>
          </w:p>
        </w:tc>
        <w:tc>
          <w:tcPr>
            <w:tcW w:w="1100" w:type="dxa"/>
          </w:tcPr>
          <w:p w14:paraId="6886940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43.6</w:t>
            </w:r>
          </w:p>
        </w:tc>
      </w:tr>
      <w:tr w:rsidR="00352D6A" w14:paraId="0ED1551F" w14:textId="77777777">
        <w:tc>
          <w:tcPr>
            <w:tcW w:w="3400" w:type="dxa"/>
          </w:tcPr>
          <w:p w14:paraId="6DB52BDF" w14:textId="77777777" w:rsidR="00352D6A" w:rsidRDefault="00352D6A">
            <w:pPr>
              <w:widowControl w:val="0"/>
              <w:spacing w:after="0" w:line="240" w:lineRule="auto"/>
              <w:rPr>
                <w:sz w:val="18"/>
                <w:szCs w:val="18"/>
              </w:rPr>
            </w:pPr>
          </w:p>
        </w:tc>
        <w:tc>
          <w:tcPr>
            <w:tcW w:w="700" w:type="dxa"/>
          </w:tcPr>
          <w:p w14:paraId="5A60F6A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2022</w:t>
            </w:r>
          </w:p>
        </w:tc>
        <w:tc>
          <w:tcPr>
            <w:tcW w:w="999" w:type="dxa"/>
          </w:tcPr>
          <w:p w14:paraId="54E3738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−0.045</w:t>
            </w:r>
          </w:p>
        </w:tc>
        <w:tc>
          <w:tcPr>
            <w:tcW w:w="1000" w:type="dxa"/>
          </w:tcPr>
          <w:p w14:paraId="34D4F75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−0.080</w:t>
            </w:r>
          </w:p>
        </w:tc>
        <w:tc>
          <w:tcPr>
            <w:tcW w:w="1000" w:type="dxa"/>
          </w:tcPr>
          <w:p w14:paraId="6921758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+0.379</w:t>
            </w:r>
          </w:p>
        </w:tc>
        <w:tc>
          <w:tcPr>
            <w:tcW w:w="1000" w:type="dxa"/>
          </w:tcPr>
          <w:p w14:paraId="43A6D3B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−0.308</w:t>
            </w:r>
          </w:p>
        </w:tc>
        <w:tc>
          <w:tcPr>
            <w:tcW w:w="1100" w:type="dxa"/>
          </w:tcPr>
          <w:p w14:paraId="7214461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43.3</w:t>
            </w:r>
          </w:p>
        </w:tc>
      </w:tr>
      <w:tr w:rsidR="00352D6A" w14:paraId="33057A72" w14:textId="77777777">
        <w:tc>
          <w:tcPr>
            <w:tcW w:w="3400" w:type="dxa"/>
          </w:tcPr>
          <w:p w14:paraId="0FBB3073" w14:textId="77777777" w:rsidR="00352D6A" w:rsidRDefault="00352D6A">
            <w:pPr>
              <w:widowControl w:val="0"/>
              <w:spacing w:after="0" w:line="240" w:lineRule="auto"/>
              <w:rPr>
                <w:sz w:val="18"/>
                <w:szCs w:val="18"/>
              </w:rPr>
            </w:pPr>
          </w:p>
        </w:tc>
        <w:tc>
          <w:tcPr>
            <w:tcW w:w="700" w:type="dxa"/>
          </w:tcPr>
          <w:p w14:paraId="1B3E695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2023</w:t>
            </w:r>
          </w:p>
        </w:tc>
        <w:tc>
          <w:tcPr>
            <w:tcW w:w="999" w:type="dxa"/>
          </w:tcPr>
          <w:p w14:paraId="445D20D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−0.042</w:t>
            </w:r>
          </w:p>
        </w:tc>
        <w:tc>
          <w:tcPr>
            <w:tcW w:w="1000" w:type="dxa"/>
          </w:tcPr>
          <w:p w14:paraId="43C12B2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−0.056</w:t>
            </w:r>
          </w:p>
        </w:tc>
        <w:tc>
          <w:tcPr>
            <w:tcW w:w="1000" w:type="dxa"/>
          </w:tcPr>
          <w:p w14:paraId="64A12B3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+0.309</w:t>
            </w:r>
          </w:p>
        </w:tc>
        <w:tc>
          <w:tcPr>
            <w:tcW w:w="1000" w:type="dxa"/>
          </w:tcPr>
          <w:p w14:paraId="1604CC9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−0.258</w:t>
            </w:r>
          </w:p>
        </w:tc>
        <w:tc>
          <w:tcPr>
            <w:tcW w:w="1100" w:type="dxa"/>
          </w:tcPr>
          <w:p w14:paraId="5129288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48.0</w:t>
            </w:r>
          </w:p>
        </w:tc>
      </w:tr>
      <w:tr w:rsidR="00352D6A" w14:paraId="3F9806D9" w14:textId="77777777">
        <w:tc>
          <w:tcPr>
            <w:tcW w:w="3400" w:type="dxa"/>
          </w:tcPr>
          <w:p w14:paraId="74373D5B" w14:textId="77777777" w:rsidR="00352D6A" w:rsidRDefault="00352D6A">
            <w:pPr>
              <w:widowControl w:val="0"/>
              <w:spacing w:after="0" w:line="240" w:lineRule="auto"/>
              <w:rPr>
                <w:sz w:val="18"/>
                <w:szCs w:val="18"/>
              </w:rPr>
            </w:pPr>
          </w:p>
        </w:tc>
        <w:tc>
          <w:tcPr>
            <w:tcW w:w="700" w:type="dxa"/>
          </w:tcPr>
          <w:p w14:paraId="0639B30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2024</w:t>
            </w:r>
          </w:p>
        </w:tc>
        <w:tc>
          <w:tcPr>
            <w:tcW w:w="999" w:type="dxa"/>
          </w:tcPr>
          <w:p w14:paraId="6E9543B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−0.036</w:t>
            </w:r>
          </w:p>
        </w:tc>
        <w:tc>
          <w:tcPr>
            <w:tcW w:w="1000" w:type="dxa"/>
          </w:tcPr>
          <w:p w14:paraId="6F54BF1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−0.048</w:t>
            </w:r>
          </w:p>
        </w:tc>
        <w:tc>
          <w:tcPr>
            <w:tcW w:w="1000" w:type="dxa"/>
          </w:tcPr>
          <w:p w14:paraId="2132D08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+0.286</w:t>
            </w:r>
          </w:p>
        </w:tc>
        <w:tc>
          <w:tcPr>
            <w:tcW w:w="1000" w:type="dxa"/>
          </w:tcPr>
          <w:p w14:paraId="3575E34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−0.241</w:t>
            </w:r>
          </w:p>
        </w:tc>
        <w:tc>
          <w:tcPr>
            <w:tcW w:w="1100" w:type="dxa"/>
          </w:tcPr>
          <w:p w14:paraId="069C91F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46.9</w:t>
            </w:r>
          </w:p>
        </w:tc>
      </w:tr>
      <w:tr w:rsidR="00352D6A" w14:paraId="2EB509D0" w14:textId="77777777">
        <w:tc>
          <w:tcPr>
            <w:tcW w:w="3400" w:type="dxa"/>
          </w:tcPr>
          <w:p w14:paraId="464B7811" w14:textId="77777777" w:rsidR="00352D6A" w:rsidRDefault="00352D6A">
            <w:pPr>
              <w:widowControl w:val="0"/>
              <w:spacing w:after="0" w:line="240" w:lineRule="auto"/>
              <w:rPr>
                <w:sz w:val="18"/>
                <w:szCs w:val="18"/>
              </w:rPr>
            </w:pPr>
          </w:p>
        </w:tc>
        <w:tc>
          <w:tcPr>
            <w:tcW w:w="700" w:type="dxa"/>
          </w:tcPr>
          <w:p w14:paraId="5849F7B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2025</w:t>
            </w:r>
          </w:p>
        </w:tc>
        <w:tc>
          <w:tcPr>
            <w:tcW w:w="999" w:type="dxa"/>
          </w:tcPr>
          <w:p w14:paraId="28B13BF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−0.044</w:t>
            </w:r>
          </w:p>
        </w:tc>
        <w:tc>
          <w:tcPr>
            <w:tcW w:w="1000" w:type="dxa"/>
          </w:tcPr>
          <w:p w14:paraId="3257333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−0.042</w:t>
            </w:r>
          </w:p>
        </w:tc>
        <w:tc>
          <w:tcPr>
            <w:tcW w:w="1000" w:type="dxa"/>
          </w:tcPr>
          <w:p w14:paraId="565400A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+0.337</w:t>
            </w:r>
          </w:p>
        </w:tc>
        <w:tc>
          <w:tcPr>
            <w:tcW w:w="1000" w:type="dxa"/>
          </w:tcPr>
          <w:p w14:paraId="6FA9A0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−0.299</w:t>
            </w:r>
          </w:p>
        </w:tc>
        <w:tc>
          <w:tcPr>
            <w:tcW w:w="1100" w:type="dxa"/>
          </w:tcPr>
          <w:p w14:paraId="59911A9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52.5</w:t>
            </w:r>
          </w:p>
        </w:tc>
      </w:tr>
      <w:tr w:rsidR="00352D6A" w14:paraId="43A4FF73" w14:textId="77777777">
        <w:tc>
          <w:tcPr>
            <w:tcW w:w="3400" w:type="dxa"/>
          </w:tcPr>
          <w:p w14:paraId="724641EF" w14:textId="77777777" w:rsidR="00352D6A" w:rsidRDefault="00000000">
            <w:pPr>
              <w:widowControl w:val="0"/>
              <w:spacing w:after="0" w:line="240" w:lineRule="auto"/>
              <w:rPr>
                <w:sz w:val="18"/>
                <w:szCs w:val="18"/>
              </w:rPr>
            </w:pPr>
            <w:r>
              <w:rPr>
                <w:rFonts w:ascii="Times New Roman" w:hAnsi="Times New Roman" w:cs="Times New Roman"/>
                <w:sz w:val="18"/>
                <w:szCs w:val="18"/>
              </w:rPr>
              <w:t>Sasthamcotta Lake</w:t>
            </w:r>
          </w:p>
        </w:tc>
        <w:tc>
          <w:tcPr>
            <w:tcW w:w="700" w:type="dxa"/>
          </w:tcPr>
          <w:p w14:paraId="0C5C51B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2016</w:t>
            </w:r>
          </w:p>
        </w:tc>
        <w:tc>
          <w:tcPr>
            <w:tcW w:w="999" w:type="dxa"/>
          </w:tcPr>
          <w:p w14:paraId="4CB7452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+0.196</w:t>
            </w:r>
          </w:p>
        </w:tc>
        <w:tc>
          <w:tcPr>
            <w:tcW w:w="1000" w:type="dxa"/>
          </w:tcPr>
          <w:p w14:paraId="2DE5A09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+0.448</w:t>
            </w:r>
          </w:p>
        </w:tc>
        <w:tc>
          <w:tcPr>
            <w:tcW w:w="1000" w:type="dxa"/>
          </w:tcPr>
          <w:p w14:paraId="5D4DD6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−0.278</w:t>
            </w:r>
          </w:p>
        </w:tc>
        <w:tc>
          <w:tcPr>
            <w:tcW w:w="1000" w:type="dxa"/>
          </w:tcPr>
          <w:p w14:paraId="0E3D422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−0.194</w:t>
            </w:r>
          </w:p>
        </w:tc>
        <w:tc>
          <w:tcPr>
            <w:tcW w:w="1100" w:type="dxa"/>
          </w:tcPr>
          <w:p w14:paraId="5F1F023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3.6</w:t>
            </w:r>
          </w:p>
        </w:tc>
      </w:tr>
      <w:tr w:rsidR="00352D6A" w14:paraId="5EBC945F" w14:textId="77777777">
        <w:tc>
          <w:tcPr>
            <w:tcW w:w="3400" w:type="dxa"/>
          </w:tcPr>
          <w:p w14:paraId="2BE8C834" w14:textId="77777777" w:rsidR="00352D6A" w:rsidRDefault="00352D6A">
            <w:pPr>
              <w:widowControl w:val="0"/>
              <w:spacing w:after="0" w:line="240" w:lineRule="auto"/>
              <w:rPr>
                <w:sz w:val="18"/>
                <w:szCs w:val="18"/>
              </w:rPr>
            </w:pPr>
          </w:p>
        </w:tc>
        <w:tc>
          <w:tcPr>
            <w:tcW w:w="700" w:type="dxa"/>
          </w:tcPr>
          <w:p w14:paraId="1C553C2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w:t>
            </w:r>
          </w:p>
        </w:tc>
        <w:tc>
          <w:tcPr>
            <w:tcW w:w="999" w:type="dxa"/>
          </w:tcPr>
          <w:p w14:paraId="0CF2303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+0.117</w:t>
            </w:r>
          </w:p>
        </w:tc>
        <w:tc>
          <w:tcPr>
            <w:tcW w:w="1000" w:type="dxa"/>
          </w:tcPr>
          <w:p w14:paraId="422F70D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+0.349</w:t>
            </w:r>
          </w:p>
        </w:tc>
        <w:tc>
          <w:tcPr>
            <w:tcW w:w="1000" w:type="dxa"/>
          </w:tcPr>
          <w:p w14:paraId="3109967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−0.022</w:t>
            </w:r>
          </w:p>
        </w:tc>
        <w:tc>
          <w:tcPr>
            <w:tcW w:w="1000" w:type="dxa"/>
          </w:tcPr>
          <w:p w14:paraId="57DD43D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−0.329</w:t>
            </w:r>
          </w:p>
        </w:tc>
        <w:tc>
          <w:tcPr>
            <w:tcW w:w="1100" w:type="dxa"/>
          </w:tcPr>
          <w:p w14:paraId="5E7F8FC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5.7</w:t>
            </w:r>
          </w:p>
        </w:tc>
      </w:tr>
      <w:tr w:rsidR="00352D6A" w14:paraId="315AB75A" w14:textId="77777777">
        <w:tc>
          <w:tcPr>
            <w:tcW w:w="3400" w:type="dxa"/>
          </w:tcPr>
          <w:p w14:paraId="0394E5BE" w14:textId="77777777" w:rsidR="00352D6A" w:rsidRDefault="00352D6A">
            <w:pPr>
              <w:widowControl w:val="0"/>
              <w:spacing w:after="0" w:line="240" w:lineRule="auto"/>
              <w:rPr>
                <w:sz w:val="18"/>
                <w:szCs w:val="18"/>
              </w:rPr>
            </w:pPr>
          </w:p>
        </w:tc>
        <w:tc>
          <w:tcPr>
            <w:tcW w:w="700" w:type="dxa"/>
          </w:tcPr>
          <w:p w14:paraId="023E6CB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w:t>
            </w:r>
          </w:p>
        </w:tc>
        <w:tc>
          <w:tcPr>
            <w:tcW w:w="999" w:type="dxa"/>
          </w:tcPr>
          <w:p w14:paraId="2FDD4EE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+0.099</w:t>
            </w:r>
          </w:p>
        </w:tc>
        <w:tc>
          <w:tcPr>
            <w:tcW w:w="1000" w:type="dxa"/>
          </w:tcPr>
          <w:p w14:paraId="58296E2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+0.248</w:t>
            </w:r>
          </w:p>
        </w:tc>
        <w:tc>
          <w:tcPr>
            <w:tcW w:w="1000" w:type="dxa"/>
          </w:tcPr>
          <w:p w14:paraId="4874BF4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+0.020</w:t>
            </w:r>
          </w:p>
        </w:tc>
        <w:tc>
          <w:tcPr>
            <w:tcW w:w="1000" w:type="dxa"/>
          </w:tcPr>
          <w:p w14:paraId="41DA646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−0.267</w:t>
            </w:r>
          </w:p>
        </w:tc>
        <w:tc>
          <w:tcPr>
            <w:tcW w:w="1100" w:type="dxa"/>
          </w:tcPr>
          <w:p w14:paraId="724A8EF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15.0</w:t>
            </w:r>
          </w:p>
        </w:tc>
      </w:tr>
      <w:tr w:rsidR="00352D6A" w14:paraId="31FBB2B0" w14:textId="77777777">
        <w:tc>
          <w:tcPr>
            <w:tcW w:w="3400" w:type="dxa"/>
          </w:tcPr>
          <w:p w14:paraId="0038BEA8" w14:textId="77777777" w:rsidR="00352D6A" w:rsidRDefault="00352D6A">
            <w:pPr>
              <w:widowControl w:val="0"/>
              <w:spacing w:after="0" w:line="240" w:lineRule="auto"/>
              <w:rPr>
                <w:sz w:val="18"/>
                <w:szCs w:val="18"/>
              </w:rPr>
            </w:pPr>
          </w:p>
        </w:tc>
        <w:tc>
          <w:tcPr>
            <w:tcW w:w="700" w:type="dxa"/>
          </w:tcPr>
          <w:p w14:paraId="1BF6E70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w:t>
            </w:r>
          </w:p>
        </w:tc>
        <w:tc>
          <w:tcPr>
            <w:tcW w:w="999" w:type="dxa"/>
          </w:tcPr>
          <w:p w14:paraId="6A09F9F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+0.103</w:t>
            </w:r>
          </w:p>
        </w:tc>
        <w:tc>
          <w:tcPr>
            <w:tcW w:w="1000" w:type="dxa"/>
          </w:tcPr>
          <w:p w14:paraId="1BC8769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+0.217</w:t>
            </w:r>
          </w:p>
        </w:tc>
        <w:tc>
          <w:tcPr>
            <w:tcW w:w="1000" w:type="dxa"/>
          </w:tcPr>
          <w:p w14:paraId="747964B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−0.002</w:t>
            </w:r>
          </w:p>
        </w:tc>
        <w:tc>
          <w:tcPr>
            <w:tcW w:w="1000" w:type="dxa"/>
          </w:tcPr>
          <w:p w14:paraId="701A1B6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−0.215</w:t>
            </w:r>
          </w:p>
        </w:tc>
        <w:tc>
          <w:tcPr>
            <w:tcW w:w="1100" w:type="dxa"/>
          </w:tcPr>
          <w:p w14:paraId="349ACEC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30.4</w:t>
            </w:r>
          </w:p>
        </w:tc>
      </w:tr>
      <w:tr w:rsidR="00352D6A" w14:paraId="7057ABF6" w14:textId="77777777">
        <w:tc>
          <w:tcPr>
            <w:tcW w:w="3400" w:type="dxa"/>
          </w:tcPr>
          <w:p w14:paraId="2002D039" w14:textId="77777777" w:rsidR="00352D6A" w:rsidRDefault="00352D6A">
            <w:pPr>
              <w:widowControl w:val="0"/>
              <w:spacing w:after="0" w:line="240" w:lineRule="auto"/>
              <w:rPr>
                <w:sz w:val="18"/>
                <w:szCs w:val="18"/>
              </w:rPr>
            </w:pPr>
          </w:p>
        </w:tc>
        <w:tc>
          <w:tcPr>
            <w:tcW w:w="700" w:type="dxa"/>
          </w:tcPr>
          <w:p w14:paraId="26FADCB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w:t>
            </w:r>
          </w:p>
        </w:tc>
        <w:tc>
          <w:tcPr>
            <w:tcW w:w="999" w:type="dxa"/>
          </w:tcPr>
          <w:p w14:paraId="00F259A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+0.087</w:t>
            </w:r>
          </w:p>
        </w:tc>
        <w:tc>
          <w:tcPr>
            <w:tcW w:w="1000" w:type="dxa"/>
          </w:tcPr>
          <w:p w14:paraId="6C66619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+0.211</w:t>
            </w:r>
          </w:p>
        </w:tc>
        <w:tc>
          <w:tcPr>
            <w:tcW w:w="1000" w:type="dxa"/>
          </w:tcPr>
          <w:p w14:paraId="2EB9C1D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0.000</w:t>
            </w:r>
          </w:p>
        </w:tc>
        <w:tc>
          <w:tcPr>
            <w:tcW w:w="1000" w:type="dxa"/>
          </w:tcPr>
          <w:p w14:paraId="274ECD3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−0.211</w:t>
            </w:r>
          </w:p>
        </w:tc>
        <w:tc>
          <w:tcPr>
            <w:tcW w:w="1100" w:type="dxa"/>
          </w:tcPr>
          <w:p w14:paraId="1522BA7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32.3</w:t>
            </w:r>
          </w:p>
        </w:tc>
      </w:tr>
      <w:tr w:rsidR="00352D6A" w14:paraId="3FF8D1F9" w14:textId="77777777">
        <w:tc>
          <w:tcPr>
            <w:tcW w:w="3400" w:type="dxa"/>
          </w:tcPr>
          <w:p w14:paraId="6E6CE291" w14:textId="77777777" w:rsidR="00352D6A" w:rsidRDefault="00352D6A">
            <w:pPr>
              <w:widowControl w:val="0"/>
              <w:spacing w:after="0" w:line="240" w:lineRule="auto"/>
              <w:rPr>
                <w:sz w:val="18"/>
                <w:szCs w:val="18"/>
              </w:rPr>
            </w:pPr>
          </w:p>
        </w:tc>
        <w:tc>
          <w:tcPr>
            <w:tcW w:w="700" w:type="dxa"/>
          </w:tcPr>
          <w:p w14:paraId="623CCB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w:t>
            </w:r>
          </w:p>
        </w:tc>
        <w:tc>
          <w:tcPr>
            <w:tcW w:w="999" w:type="dxa"/>
          </w:tcPr>
          <w:p w14:paraId="515B1D8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+0.110</w:t>
            </w:r>
          </w:p>
        </w:tc>
        <w:tc>
          <w:tcPr>
            <w:tcW w:w="1000" w:type="dxa"/>
          </w:tcPr>
          <w:p w14:paraId="2F8863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+0.232</w:t>
            </w:r>
          </w:p>
        </w:tc>
        <w:tc>
          <w:tcPr>
            <w:tcW w:w="1000" w:type="dxa"/>
          </w:tcPr>
          <w:p w14:paraId="1E6FBC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−0.017</w:t>
            </w:r>
          </w:p>
        </w:tc>
        <w:tc>
          <w:tcPr>
            <w:tcW w:w="1000" w:type="dxa"/>
          </w:tcPr>
          <w:p w14:paraId="3FA89FD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−0.216</w:t>
            </w:r>
          </w:p>
        </w:tc>
        <w:tc>
          <w:tcPr>
            <w:tcW w:w="1100" w:type="dxa"/>
          </w:tcPr>
          <w:p w14:paraId="4308B44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27.7</w:t>
            </w:r>
          </w:p>
        </w:tc>
      </w:tr>
      <w:tr w:rsidR="00352D6A" w14:paraId="536BBFA3" w14:textId="77777777">
        <w:tc>
          <w:tcPr>
            <w:tcW w:w="3400" w:type="dxa"/>
          </w:tcPr>
          <w:p w14:paraId="479C108D" w14:textId="77777777" w:rsidR="00352D6A" w:rsidRDefault="00352D6A">
            <w:pPr>
              <w:widowControl w:val="0"/>
              <w:spacing w:after="0" w:line="240" w:lineRule="auto"/>
              <w:rPr>
                <w:sz w:val="18"/>
                <w:szCs w:val="18"/>
              </w:rPr>
            </w:pPr>
          </w:p>
        </w:tc>
        <w:tc>
          <w:tcPr>
            <w:tcW w:w="700" w:type="dxa"/>
          </w:tcPr>
          <w:p w14:paraId="4933DBE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2022</w:t>
            </w:r>
          </w:p>
        </w:tc>
        <w:tc>
          <w:tcPr>
            <w:tcW w:w="999" w:type="dxa"/>
          </w:tcPr>
          <w:p w14:paraId="6588B96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+0.079</w:t>
            </w:r>
          </w:p>
        </w:tc>
        <w:tc>
          <w:tcPr>
            <w:tcW w:w="1000" w:type="dxa"/>
          </w:tcPr>
          <w:p w14:paraId="493CDDD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+0.107</w:t>
            </w:r>
          </w:p>
        </w:tc>
        <w:tc>
          <w:tcPr>
            <w:tcW w:w="1000" w:type="dxa"/>
          </w:tcPr>
          <w:p w14:paraId="3F17308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+0.140</w:t>
            </w:r>
          </w:p>
        </w:tc>
        <w:tc>
          <w:tcPr>
            <w:tcW w:w="1000" w:type="dxa"/>
          </w:tcPr>
          <w:p w14:paraId="77ADD0C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−0.243</w:t>
            </w:r>
          </w:p>
        </w:tc>
        <w:tc>
          <w:tcPr>
            <w:tcW w:w="1100" w:type="dxa"/>
          </w:tcPr>
          <w:p w14:paraId="622F80C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21.3</w:t>
            </w:r>
          </w:p>
        </w:tc>
      </w:tr>
      <w:tr w:rsidR="00352D6A" w14:paraId="52AD6A8D" w14:textId="77777777">
        <w:tc>
          <w:tcPr>
            <w:tcW w:w="3400" w:type="dxa"/>
          </w:tcPr>
          <w:p w14:paraId="67A3A149" w14:textId="77777777" w:rsidR="00352D6A" w:rsidRDefault="00352D6A">
            <w:pPr>
              <w:widowControl w:val="0"/>
              <w:spacing w:after="0" w:line="240" w:lineRule="auto"/>
              <w:rPr>
                <w:sz w:val="18"/>
                <w:szCs w:val="18"/>
              </w:rPr>
            </w:pPr>
          </w:p>
        </w:tc>
        <w:tc>
          <w:tcPr>
            <w:tcW w:w="700" w:type="dxa"/>
          </w:tcPr>
          <w:p w14:paraId="0B6F5BE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2023</w:t>
            </w:r>
          </w:p>
        </w:tc>
        <w:tc>
          <w:tcPr>
            <w:tcW w:w="999" w:type="dxa"/>
          </w:tcPr>
          <w:p w14:paraId="4A2502A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+0.097</w:t>
            </w:r>
          </w:p>
        </w:tc>
        <w:tc>
          <w:tcPr>
            <w:tcW w:w="1000" w:type="dxa"/>
          </w:tcPr>
          <w:p w14:paraId="08E3D62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+0.161</w:t>
            </w:r>
          </w:p>
        </w:tc>
        <w:tc>
          <w:tcPr>
            <w:tcW w:w="1000" w:type="dxa"/>
          </w:tcPr>
          <w:p w14:paraId="279B57F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+0.092</w:t>
            </w:r>
          </w:p>
        </w:tc>
        <w:tc>
          <w:tcPr>
            <w:tcW w:w="1000" w:type="dxa"/>
          </w:tcPr>
          <w:p w14:paraId="0D8A17E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−0.249</w:t>
            </w:r>
          </w:p>
        </w:tc>
        <w:tc>
          <w:tcPr>
            <w:tcW w:w="1100" w:type="dxa"/>
          </w:tcPr>
          <w:p w14:paraId="05C4318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24.4</w:t>
            </w:r>
          </w:p>
        </w:tc>
      </w:tr>
      <w:tr w:rsidR="00352D6A" w14:paraId="46D2D2CC" w14:textId="77777777">
        <w:tc>
          <w:tcPr>
            <w:tcW w:w="3400" w:type="dxa"/>
          </w:tcPr>
          <w:p w14:paraId="61DD80E2" w14:textId="77777777" w:rsidR="00352D6A" w:rsidRDefault="00352D6A">
            <w:pPr>
              <w:widowControl w:val="0"/>
              <w:spacing w:after="0" w:line="240" w:lineRule="auto"/>
              <w:rPr>
                <w:sz w:val="18"/>
                <w:szCs w:val="18"/>
              </w:rPr>
            </w:pPr>
          </w:p>
        </w:tc>
        <w:tc>
          <w:tcPr>
            <w:tcW w:w="700" w:type="dxa"/>
          </w:tcPr>
          <w:p w14:paraId="09A639E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2024</w:t>
            </w:r>
          </w:p>
        </w:tc>
        <w:tc>
          <w:tcPr>
            <w:tcW w:w="999" w:type="dxa"/>
          </w:tcPr>
          <w:p w14:paraId="4907A6D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+0.092</w:t>
            </w:r>
          </w:p>
        </w:tc>
        <w:tc>
          <w:tcPr>
            <w:tcW w:w="1000" w:type="dxa"/>
          </w:tcPr>
          <w:p w14:paraId="4599274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+0.165</w:t>
            </w:r>
          </w:p>
        </w:tc>
        <w:tc>
          <w:tcPr>
            <w:tcW w:w="1000" w:type="dxa"/>
          </w:tcPr>
          <w:p w14:paraId="1F83C09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+0.118</w:t>
            </w:r>
          </w:p>
        </w:tc>
        <w:tc>
          <w:tcPr>
            <w:tcW w:w="1000" w:type="dxa"/>
          </w:tcPr>
          <w:p w14:paraId="1C7FD10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−0.277</w:t>
            </w:r>
          </w:p>
        </w:tc>
        <w:tc>
          <w:tcPr>
            <w:tcW w:w="1100" w:type="dxa"/>
          </w:tcPr>
          <w:p w14:paraId="6E8386A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27.8</w:t>
            </w:r>
          </w:p>
        </w:tc>
      </w:tr>
      <w:tr w:rsidR="00352D6A" w14:paraId="3EE1C61C" w14:textId="77777777">
        <w:tc>
          <w:tcPr>
            <w:tcW w:w="3400" w:type="dxa"/>
            <w:tcBorders>
              <w:bottom w:val="single" w:sz="8" w:space="0" w:color="000000"/>
            </w:tcBorders>
          </w:tcPr>
          <w:p w14:paraId="20EDB341" w14:textId="77777777" w:rsidR="00352D6A" w:rsidRDefault="00352D6A">
            <w:pPr>
              <w:widowControl w:val="0"/>
              <w:spacing w:after="0" w:line="240" w:lineRule="auto"/>
              <w:rPr>
                <w:sz w:val="18"/>
                <w:szCs w:val="18"/>
              </w:rPr>
            </w:pPr>
          </w:p>
        </w:tc>
        <w:tc>
          <w:tcPr>
            <w:tcW w:w="700" w:type="dxa"/>
            <w:tcBorders>
              <w:bottom w:val="single" w:sz="8" w:space="0" w:color="000000"/>
            </w:tcBorders>
          </w:tcPr>
          <w:p w14:paraId="5A0281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2025</w:t>
            </w:r>
          </w:p>
        </w:tc>
        <w:tc>
          <w:tcPr>
            <w:tcW w:w="999" w:type="dxa"/>
            <w:tcBorders>
              <w:bottom w:val="single" w:sz="8" w:space="0" w:color="000000"/>
            </w:tcBorders>
          </w:tcPr>
          <w:p w14:paraId="2D32EB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+0.086</w:t>
            </w:r>
          </w:p>
        </w:tc>
        <w:tc>
          <w:tcPr>
            <w:tcW w:w="1000" w:type="dxa"/>
            <w:tcBorders>
              <w:bottom w:val="single" w:sz="8" w:space="0" w:color="000000"/>
            </w:tcBorders>
          </w:tcPr>
          <w:p w14:paraId="15855A0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+0.185</w:t>
            </w:r>
          </w:p>
        </w:tc>
        <w:tc>
          <w:tcPr>
            <w:tcW w:w="1000" w:type="dxa"/>
            <w:tcBorders>
              <w:bottom w:val="single" w:sz="8" w:space="0" w:color="000000"/>
            </w:tcBorders>
          </w:tcPr>
          <w:p w14:paraId="37DC55C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+0.070</w:t>
            </w:r>
          </w:p>
        </w:tc>
        <w:tc>
          <w:tcPr>
            <w:tcW w:w="1000" w:type="dxa"/>
            <w:tcBorders>
              <w:bottom w:val="single" w:sz="8" w:space="0" w:color="000000"/>
            </w:tcBorders>
          </w:tcPr>
          <w:p w14:paraId="1AD4725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−0.251</w:t>
            </w:r>
          </w:p>
        </w:tc>
        <w:tc>
          <w:tcPr>
            <w:tcW w:w="1100" w:type="dxa"/>
            <w:tcBorders>
              <w:bottom w:val="single" w:sz="8" w:space="0" w:color="000000"/>
            </w:tcBorders>
          </w:tcPr>
          <w:p w14:paraId="6333376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27.9</w:t>
            </w:r>
          </w:p>
        </w:tc>
      </w:tr>
    </w:tbl>
    <w:p w14:paraId="7679E986"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Clear obs. is the mean number of cloud-free observations per lake pixel in the annual median composite.</w:t>
      </w:r>
    </w:p>
    <w:p w14:paraId="3E00B337" w14:textId="77777777" w:rsidR="00352D6A" w:rsidRDefault="00000000">
      <w:pPr>
        <w:spacing w:before="240" w:after="60" w:line="360" w:lineRule="auto"/>
      </w:pPr>
      <w:r>
        <w:rPr>
          <w:rFonts w:ascii="Times New Roman" w:hAnsi="Times New Roman" w:cs="Times New Roman"/>
          <w:b/>
          <w:bCs/>
          <w:sz w:val="20"/>
          <w:szCs w:val="20"/>
        </w:rPr>
        <w:t>Table 5</w:t>
      </w:r>
    </w:p>
    <w:p w14:paraId="3BE8106F" w14:textId="77777777" w:rsidR="00352D6A" w:rsidRDefault="00000000">
      <w:pPr>
        <w:spacing w:after="60" w:line="360" w:lineRule="auto"/>
      </w:pPr>
      <w:r>
        <w:rPr>
          <w:rFonts w:ascii="Times New Roman" w:hAnsi="Times New Roman" w:cs="Times New Roman"/>
          <w:i/>
          <w:iCs/>
          <w:sz w:val="20"/>
          <w:szCs w:val="20"/>
        </w:rPr>
        <w:t>Five highest-ranked analogs for each site</w:t>
      </w:r>
    </w:p>
    <w:tbl>
      <w:tblPr>
        <w:tblW w:w="10100" w:type="dxa"/>
        <w:tblLayout w:type="fixed"/>
        <w:tblLook w:val="04A0" w:firstRow="1" w:lastRow="0" w:firstColumn="1" w:lastColumn="0" w:noHBand="0" w:noVBand="1"/>
      </w:tblPr>
      <w:tblGrid>
        <w:gridCol w:w="992"/>
        <w:gridCol w:w="708"/>
        <w:gridCol w:w="1702"/>
        <w:gridCol w:w="1561"/>
        <w:gridCol w:w="849"/>
        <w:gridCol w:w="1418"/>
        <w:gridCol w:w="1072"/>
        <w:gridCol w:w="900"/>
        <w:gridCol w:w="898"/>
      </w:tblGrid>
      <w:tr w:rsidR="00352D6A" w14:paraId="484683CA" w14:textId="77777777">
        <w:trPr>
          <w:tblHeader/>
        </w:trPr>
        <w:tc>
          <w:tcPr>
            <w:tcW w:w="991" w:type="dxa"/>
            <w:tcBorders>
              <w:top w:val="single" w:sz="8" w:space="0" w:color="000000"/>
              <w:bottom w:val="single" w:sz="4" w:space="0" w:color="000000"/>
            </w:tcBorders>
          </w:tcPr>
          <w:p w14:paraId="50CB48CA" w14:textId="77777777" w:rsidR="00352D6A" w:rsidRDefault="00000000">
            <w:pPr>
              <w:widowControl w:val="0"/>
              <w:spacing w:after="0" w:line="240" w:lineRule="auto"/>
              <w:rPr>
                <w:sz w:val="18"/>
                <w:szCs w:val="18"/>
              </w:rPr>
            </w:pPr>
            <w:r>
              <w:rPr>
                <w:rFonts w:ascii="Times New Roman" w:hAnsi="Times New Roman" w:cs="Times New Roman"/>
                <w:b/>
                <w:bCs/>
                <w:sz w:val="18"/>
                <w:szCs w:val="18"/>
              </w:rPr>
              <w:t>Site</w:t>
            </w:r>
          </w:p>
        </w:tc>
        <w:tc>
          <w:tcPr>
            <w:tcW w:w="708" w:type="dxa"/>
            <w:tcBorders>
              <w:top w:val="single" w:sz="8" w:space="0" w:color="000000"/>
              <w:bottom w:val="single" w:sz="4" w:space="0" w:color="000000"/>
            </w:tcBorders>
          </w:tcPr>
          <w:p w14:paraId="21B45EC0"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Rank</w:t>
            </w:r>
          </w:p>
        </w:tc>
        <w:tc>
          <w:tcPr>
            <w:tcW w:w="1702" w:type="dxa"/>
            <w:tcBorders>
              <w:top w:val="single" w:sz="8" w:space="0" w:color="000000"/>
              <w:bottom w:val="single" w:sz="4" w:space="0" w:color="000000"/>
            </w:tcBorders>
          </w:tcPr>
          <w:p w14:paraId="1FA3BEC6"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Analog lake</w:t>
            </w:r>
          </w:p>
        </w:tc>
        <w:tc>
          <w:tcPr>
            <w:tcW w:w="1561" w:type="dxa"/>
            <w:tcBorders>
              <w:top w:val="single" w:sz="8" w:space="0" w:color="000000"/>
              <w:bottom w:val="single" w:sz="4" w:space="0" w:color="000000"/>
            </w:tcBorders>
          </w:tcPr>
          <w:p w14:paraId="67DA6F4B"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State</w:t>
            </w:r>
          </w:p>
        </w:tc>
        <w:tc>
          <w:tcPr>
            <w:tcW w:w="849" w:type="dxa"/>
            <w:tcBorders>
              <w:top w:val="single" w:sz="8" w:space="0" w:color="000000"/>
              <w:bottom w:val="single" w:sz="4" w:space="0" w:color="000000"/>
            </w:tcBorders>
          </w:tcPr>
          <w:p w14:paraId="41EC8762"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Area (km²)</w:t>
            </w:r>
          </w:p>
        </w:tc>
        <w:tc>
          <w:tcPr>
            <w:tcW w:w="1418" w:type="dxa"/>
            <w:tcBorders>
              <w:top w:val="single" w:sz="8" w:space="0" w:color="000000"/>
              <w:bottom w:val="single" w:sz="4" w:space="0" w:color="000000"/>
            </w:tcBorders>
          </w:tcPr>
          <w:p w14:paraId="2A128D19"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Raw cosine</w:t>
            </w:r>
          </w:p>
        </w:tc>
        <w:tc>
          <w:tcPr>
            <w:tcW w:w="1072" w:type="dxa"/>
            <w:tcBorders>
              <w:top w:val="single" w:sz="8" w:space="0" w:color="000000"/>
              <w:bottom w:val="single" w:sz="4" w:space="0" w:color="000000"/>
            </w:tcBorders>
          </w:tcPr>
          <w:p w14:paraId="24BBD166"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Matched window</w:t>
            </w:r>
          </w:p>
        </w:tc>
        <w:tc>
          <w:tcPr>
            <w:tcW w:w="900" w:type="dxa"/>
            <w:tcBorders>
              <w:top w:val="single" w:sz="8" w:space="0" w:color="000000"/>
              <w:bottom w:val="single" w:sz="4" w:space="0" w:color="000000"/>
            </w:tcBorders>
          </w:tcPr>
          <w:p w14:paraId="545CFD50"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Distance (km)</w:t>
            </w:r>
          </w:p>
        </w:tc>
        <w:tc>
          <w:tcPr>
            <w:tcW w:w="898" w:type="dxa"/>
            <w:tcBorders>
              <w:top w:val="single" w:sz="8" w:space="0" w:color="000000"/>
              <w:bottom w:val="single" w:sz="4" w:space="0" w:color="000000"/>
            </w:tcBorders>
          </w:tcPr>
          <w:p w14:paraId="0E6EB5F0"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Forecast analog</w:t>
            </w:r>
          </w:p>
        </w:tc>
      </w:tr>
      <w:tr w:rsidR="00352D6A" w14:paraId="11675CD9" w14:textId="77777777">
        <w:tc>
          <w:tcPr>
            <w:tcW w:w="991" w:type="dxa"/>
          </w:tcPr>
          <w:p w14:paraId="543AC0C9" w14:textId="77777777" w:rsidR="00352D6A" w:rsidRDefault="00000000">
            <w:pPr>
              <w:widowControl w:val="0"/>
              <w:spacing w:after="0" w:line="240" w:lineRule="auto"/>
              <w:rPr>
                <w:sz w:val="18"/>
                <w:szCs w:val="18"/>
              </w:rPr>
            </w:pPr>
            <w:r>
              <w:rPr>
                <w:rFonts w:ascii="Times New Roman" w:hAnsi="Times New Roman" w:cs="Times New Roman"/>
                <w:sz w:val="18"/>
                <w:szCs w:val="18"/>
              </w:rPr>
              <w:t>Chilika Lagoon</w:t>
            </w:r>
          </w:p>
        </w:tc>
        <w:tc>
          <w:tcPr>
            <w:tcW w:w="708" w:type="dxa"/>
          </w:tcPr>
          <w:p w14:paraId="6D02C82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1702" w:type="dxa"/>
          </w:tcPr>
          <w:p w14:paraId="1EC5073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Govind Ballabh Pant</w:t>
            </w:r>
          </w:p>
        </w:tc>
        <w:tc>
          <w:tcPr>
            <w:tcW w:w="1561" w:type="dxa"/>
          </w:tcPr>
          <w:p w14:paraId="07B27F7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Uttar Pradesh</w:t>
            </w:r>
          </w:p>
        </w:tc>
        <w:tc>
          <w:tcPr>
            <w:tcW w:w="849" w:type="dxa"/>
          </w:tcPr>
          <w:p w14:paraId="65D0610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398.8</w:t>
            </w:r>
          </w:p>
        </w:tc>
        <w:tc>
          <w:tcPr>
            <w:tcW w:w="1418" w:type="dxa"/>
          </w:tcPr>
          <w:p w14:paraId="0626315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0.99590</w:t>
            </w:r>
          </w:p>
        </w:tc>
        <w:tc>
          <w:tcPr>
            <w:tcW w:w="1072" w:type="dxa"/>
          </w:tcPr>
          <w:p w14:paraId="02409A0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0360A3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553</w:t>
            </w:r>
          </w:p>
        </w:tc>
        <w:tc>
          <w:tcPr>
            <w:tcW w:w="898" w:type="dxa"/>
          </w:tcPr>
          <w:p w14:paraId="2D7F8D9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6A19FDE5" w14:textId="77777777">
        <w:tc>
          <w:tcPr>
            <w:tcW w:w="991" w:type="dxa"/>
          </w:tcPr>
          <w:p w14:paraId="45619F40" w14:textId="77777777" w:rsidR="00352D6A" w:rsidRDefault="00352D6A">
            <w:pPr>
              <w:widowControl w:val="0"/>
              <w:spacing w:after="0" w:line="240" w:lineRule="auto"/>
              <w:rPr>
                <w:sz w:val="18"/>
                <w:szCs w:val="18"/>
              </w:rPr>
            </w:pPr>
          </w:p>
        </w:tc>
        <w:tc>
          <w:tcPr>
            <w:tcW w:w="708" w:type="dxa"/>
          </w:tcPr>
          <w:p w14:paraId="4D27351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c>
          <w:tcPr>
            <w:tcW w:w="1702" w:type="dxa"/>
          </w:tcPr>
          <w:p w14:paraId="742CF65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(1509)</w:t>
            </w:r>
          </w:p>
        </w:tc>
        <w:tc>
          <w:tcPr>
            <w:tcW w:w="1561" w:type="dxa"/>
          </w:tcPr>
          <w:p w14:paraId="7BF2736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Telangana</w:t>
            </w:r>
          </w:p>
        </w:tc>
        <w:tc>
          <w:tcPr>
            <w:tcW w:w="849" w:type="dxa"/>
          </w:tcPr>
          <w:p w14:paraId="1F41A7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335.8</w:t>
            </w:r>
          </w:p>
        </w:tc>
        <w:tc>
          <w:tcPr>
            <w:tcW w:w="1418" w:type="dxa"/>
          </w:tcPr>
          <w:p w14:paraId="34CF7A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0.99543</w:t>
            </w:r>
          </w:p>
        </w:tc>
        <w:tc>
          <w:tcPr>
            <w:tcW w:w="1072" w:type="dxa"/>
          </w:tcPr>
          <w:p w14:paraId="16884EF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064ACC2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754</w:t>
            </w:r>
          </w:p>
        </w:tc>
        <w:tc>
          <w:tcPr>
            <w:tcW w:w="898" w:type="dxa"/>
          </w:tcPr>
          <w:p w14:paraId="7E85B26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1FE5A1E1" w14:textId="77777777">
        <w:tc>
          <w:tcPr>
            <w:tcW w:w="991" w:type="dxa"/>
          </w:tcPr>
          <w:p w14:paraId="022E2A5D" w14:textId="77777777" w:rsidR="00352D6A" w:rsidRDefault="00352D6A">
            <w:pPr>
              <w:widowControl w:val="0"/>
              <w:spacing w:after="0" w:line="240" w:lineRule="auto"/>
              <w:rPr>
                <w:sz w:val="18"/>
                <w:szCs w:val="18"/>
              </w:rPr>
            </w:pPr>
          </w:p>
        </w:tc>
        <w:tc>
          <w:tcPr>
            <w:tcW w:w="708" w:type="dxa"/>
          </w:tcPr>
          <w:p w14:paraId="401BE20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c>
          <w:tcPr>
            <w:tcW w:w="1702" w:type="dxa"/>
          </w:tcPr>
          <w:p w14:paraId="08BB729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Gandhisagar Reservoir</w:t>
            </w:r>
          </w:p>
        </w:tc>
        <w:tc>
          <w:tcPr>
            <w:tcW w:w="1561" w:type="dxa"/>
          </w:tcPr>
          <w:p w14:paraId="1A27533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Madhya Pradesh</w:t>
            </w:r>
          </w:p>
        </w:tc>
        <w:tc>
          <w:tcPr>
            <w:tcW w:w="849" w:type="dxa"/>
          </w:tcPr>
          <w:p w14:paraId="71AF0D7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523.5</w:t>
            </w:r>
          </w:p>
        </w:tc>
        <w:tc>
          <w:tcPr>
            <w:tcW w:w="1418" w:type="dxa"/>
          </w:tcPr>
          <w:p w14:paraId="63A53EF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0.99524</w:t>
            </w:r>
          </w:p>
        </w:tc>
        <w:tc>
          <w:tcPr>
            <w:tcW w:w="1072" w:type="dxa"/>
          </w:tcPr>
          <w:p w14:paraId="556D596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5F0ABB4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1,142</w:t>
            </w:r>
          </w:p>
        </w:tc>
        <w:tc>
          <w:tcPr>
            <w:tcW w:w="898" w:type="dxa"/>
          </w:tcPr>
          <w:p w14:paraId="39C0436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53944C0E" w14:textId="77777777">
        <w:tc>
          <w:tcPr>
            <w:tcW w:w="991" w:type="dxa"/>
          </w:tcPr>
          <w:p w14:paraId="477FECB6" w14:textId="77777777" w:rsidR="00352D6A" w:rsidRDefault="00352D6A">
            <w:pPr>
              <w:widowControl w:val="0"/>
              <w:spacing w:after="0" w:line="240" w:lineRule="auto"/>
              <w:rPr>
                <w:sz w:val="18"/>
                <w:szCs w:val="18"/>
              </w:rPr>
            </w:pPr>
          </w:p>
        </w:tc>
        <w:tc>
          <w:tcPr>
            <w:tcW w:w="708" w:type="dxa"/>
          </w:tcPr>
          <w:p w14:paraId="11A8CFE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1702" w:type="dxa"/>
          </w:tcPr>
          <w:p w14:paraId="143C4C8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Beas</w:t>
            </w:r>
          </w:p>
        </w:tc>
        <w:tc>
          <w:tcPr>
            <w:tcW w:w="1561" w:type="dxa"/>
          </w:tcPr>
          <w:p w14:paraId="684F88D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Himachal Pradesh</w:t>
            </w:r>
          </w:p>
        </w:tc>
        <w:tc>
          <w:tcPr>
            <w:tcW w:w="849" w:type="dxa"/>
          </w:tcPr>
          <w:p w14:paraId="4E417EB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189.4</w:t>
            </w:r>
          </w:p>
        </w:tc>
        <w:tc>
          <w:tcPr>
            <w:tcW w:w="1418" w:type="dxa"/>
          </w:tcPr>
          <w:p w14:paraId="41A8024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0.99512</w:t>
            </w:r>
          </w:p>
        </w:tc>
        <w:tc>
          <w:tcPr>
            <w:tcW w:w="1072" w:type="dxa"/>
          </w:tcPr>
          <w:p w14:paraId="656D6EE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3243BA4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1,650</w:t>
            </w:r>
          </w:p>
        </w:tc>
        <w:tc>
          <w:tcPr>
            <w:tcW w:w="898" w:type="dxa"/>
          </w:tcPr>
          <w:p w14:paraId="6B4F12E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5221BC77" w14:textId="77777777">
        <w:tc>
          <w:tcPr>
            <w:tcW w:w="991" w:type="dxa"/>
          </w:tcPr>
          <w:p w14:paraId="7B369AE9" w14:textId="77777777" w:rsidR="00352D6A" w:rsidRDefault="00352D6A">
            <w:pPr>
              <w:widowControl w:val="0"/>
              <w:spacing w:after="0" w:line="240" w:lineRule="auto"/>
              <w:rPr>
                <w:sz w:val="18"/>
                <w:szCs w:val="18"/>
              </w:rPr>
            </w:pPr>
          </w:p>
        </w:tc>
        <w:tc>
          <w:tcPr>
            <w:tcW w:w="708" w:type="dxa"/>
          </w:tcPr>
          <w:p w14:paraId="78E1D71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w:t>
            </w:r>
          </w:p>
        </w:tc>
        <w:tc>
          <w:tcPr>
            <w:tcW w:w="1702" w:type="dxa"/>
          </w:tcPr>
          <w:p w14:paraId="0B04EC9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Ukal</w:t>
            </w:r>
          </w:p>
        </w:tc>
        <w:tc>
          <w:tcPr>
            <w:tcW w:w="1561" w:type="dxa"/>
          </w:tcPr>
          <w:p w14:paraId="56F60E7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Gujarat</w:t>
            </w:r>
          </w:p>
        </w:tc>
        <w:tc>
          <w:tcPr>
            <w:tcW w:w="849" w:type="dxa"/>
          </w:tcPr>
          <w:p w14:paraId="3896A7E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370.3</w:t>
            </w:r>
          </w:p>
        </w:tc>
        <w:tc>
          <w:tcPr>
            <w:tcW w:w="1418" w:type="dxa"/>
          </w:tcPr>
          <w:p w14:paraId="06B32D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0.99460</w:t>
            </w:r>
          </w:p>
        </w:tc>
        <w:tc>
          <w:tcPr>
            <w:tcW w:w="1072" w:type="dxa"/>
          </w:tcPr>
          <w:p w14:paraId="22EEA50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383E7AB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1,219</w:t>
            </w:r>
          </w:p>
        </w:tc>
        <w:tc>
          <w:tcPr>
            <w:tcW w:w="898" w:type="dxa"/>
          </w:tcPr>
          <w:p w14:paraId="4FF7025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1EA9B210" w14:textId="77777777">
        <w:tc>
          <w:tcPr>
            <w:tcW w:w="991" w:type="dxa"/>
          </w:tcPr>
          <w:p w14:paraId="7347FA8B" w14:textId="77777777" w:rsidR="00352D6A" w:rsidRDefault="00000000">
            <w:pPr>
              <w:widowControl w:val="0"/>
              <w:spacing w:after="0" w:line="240" w:lineRule="auto"/>
              <w:rPr>
                <w:sz w:val="18"/>
                <w:szCs w:val="18"/>
              </w:rPr>
            </w:pPr>
            <w:r>
              <w:rPr>
                <w:rFonts w:ascii="Times New Roman" w:hAnsi="Times New Roman" w:cs="Times New Roman"/>
                <w:sz w:val="18"/>
                <w:szCs w:val="18"/>
              </w:rPr>
              <w:t>Maharana Pratap Sagar (Beas)</w:t>
            </w:r>
          </w:p>
        </w:tc>
        <w:tc>
          <w:tcPr>
            <w:tcW w:w="708" w:type="dxa"/>
          </w:tcPr>
          <w:p w14:paraId="2B63941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1702" w:type="dxa"/>
          </w:tcPr>
          <w:p w14:paraId="263612D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Gandhisagar Reservoir</w:t>
            </w:r>
          </w:p>
        </w:tc>
        <w:tc>
          <w:tcPr>
            <w:tcW w:w="1561" w:type="dxa"/>
          </w:tcPr>
          <w:p w14:paraId="037DE16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Madhya Pradesh</w:t>
            </w:r>
          </w:p>
        </w:tc>
        <w:tc>
          <w:tcPr>
            <w:tcW w:w="849" w:type="dxa"/>
          </w:tcPr>
          <w:p w14:paraId="0F3D0C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523.5</w:t>
            </w:r>
          </w:p>
        </w:tc>
        <w:tc>
          <w:tcPr>
            <w:tcW w:w="1418" w:type="dxa"/>
          </w:tcPr>
          <w:p w14:paraId="341D188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0.99822</w:t>
            </w:r>
          </w:p>
        </w:tc>
        <w:tc>
          <w:tcPr>
            <w:tcW w:w="1072" w:type="dxa"/>
          </w:tcPr>
          <w:p w14:paraId="5B42C34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2B4ADC5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839</w:t>
            </w:r>
          </w:p>
        </w:tc>
        <w:tc>
          <w:tcPr>
            <w:tcW w:w="898" w:type="dxa"/>
          </w:tcPr>
          <w:p w14:paraId="71F3525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452786D6" w14:textId="77777777">
        <w:tc>
          <w:tcPr>
            <w:tcW w:w="991" w:type="dxa"/>
          </w:tcPr>
          <w:p w14:paraId="6F20D1F9" w14:textId="77777777" w:rsidR="00352D6A" w:rsidRDefault="00352D6A">
            <w:pPr>
              <w:widowControl w:val="0"/>
              <w:spacing w:after="0" w:line="240" w:lineRule="auto"/>
              <w:rPr>
                <w:sz w:val="18"/>
                <w:szCs w:val="18"/>
              </w:rPr>
            </w:pPr>
          </w:p>
        </w:tc>
        <w:tc>
          <w:tcPr>
            <w:tcW w:w="708" w:type="dxa"/>
          </w:tcPr>
          <w:p w14:paraId="5924263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c>
          <w:tcPr>
            <w:tcW w:w="1702" w:type="dxa"/>
          </w:tcPr>
          <w:p w14:paraId="5ADA96B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Bansagar Lake</w:t>
            </w:r>
          </w:p>
        </w:tc>
        <w:tc>
          <w:tcPr>
            <w:tcW w:w="1561" w:type="dxa"/>
          </w:tcPr>
          <w:p w14:paraId="0ED4038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Madhya Pradesh</w:t>
            </w:r>
          </w:p>
        </w:tc>
        <w:tc>
          <w:tcPr>
            <w:tcW w:w="849" w:type="dxa"/>
          </w:tcPr>
          <w:p w14:paraId="76983C3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384.2</w:t>
            </w:r>
          </w:p>
        </w:tc>
        <w:tc>
          <w:tcPr>
            <w:tcW w:w="1418" w:type="dxa"/>
          </w:tcPr>
          <w:p w14:paraId="494AF29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0.99663</w:t>
            </w:r>
          </w:p>
        </w:tc>
        <w:tc>
          <w:tcPr>
            <w:tcW w:w="1072" w:type="dxa"/>
          </w:tcPr>
          <w:p w14:paraId="5B49077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2018–2022</w:t>
            </w:r>
          </w:p>
        </w:tc>
        <w:tc>
          <w:tcPr>
            <w:tcW w:w="900" w:type="dxa"/>
          </w:tcPr>
          <w:p w14:paraId="1BB0F33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1,005</w:t>
            </w:r>
          </w:p>
        </w:tc>
        <w:tc>
          <w:tcPr>
            <w:tcW w:w="898" w:type="dxa"/>
          </w:tcPr>
          <w:p w14:paraId="6E6F76A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3F873801" w14:textId="77777777">
        <w:tc>
          <w:tcPr>
            <w:tcW w:w="991" w:type="dxa"/>
          </w:tcPr>
          <w:p w14:paraId="186C92FE" w14:textId="77777777" w:rsidR="00352D6A" w:rsidRDefault="00352D6A">
            <w:pPr>
              <w:widowControl w:val="0"/>
              <w:spacing w:after="0" w:line="240" w:lineRule="auto"/>
              <w:rPr>
                <w:sz w:val="18"/>
                <w:szCs w:val="18"/>
              </w:rPr>
            </w:pPr>
          </w:p>
        </w:tc>
        <w:tc>
          <w:tcPr>
            <w:tcW w:w="708" w:type="dxa"/>
          </w:tcPr>
          <w:p w14:paraId="184FC62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c>
          <w:tcPr>
            <w:tcW w:w="1702" w:type="dxa"/>
          </w:tcPr>
          <w:p w14:paraId="4772BD7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Hirakud Reservoir</w:t>
            </w:r>
          </w:p>
        </w:tc>
        <w:tc>
          <w:tcPr>
            <w:tcW w:w="1561" w:type="dxa"/>
          </w:tcPr>
          <w:p w14:paraId="17DC11A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Odisha</w:t>
            </w:r>
          </w:p>
        </w:tc>
        <w:tc>
          <w:tcPr>
            <w:tcW w:w="849" w:type="dxa"/>
          </w:tcPr>
          <w:p w14:paraId="709E9BD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500.8</w:t>
            </w:r>
          </w:p>
        </w:tc>
        <w:tc>
          <w:tcPr>
            <w:tcW w:w="1418" w:type="dxa"/>
          </w:tcPr>
          <w:p w14:paraId="0FCE902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0.99634</w:t>
            </w:r>
          </w:p>
        </w:tc>
        <w:tc>
          <w:tcPr>
            <w:tcW w:w="1072" w:type="dxa"/>
          </w:tcPr>
          <w:p w14:paraId="027E0A5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2018–2022</w:t>
            </w:r>
          </w:p>
        </w:tc>
        <w:tc>
          <w:tcPr>
            <w:tcW w:w="900" w:type="dxa"/>
          </w:tcPr>
          <w:p w14:paraId="3860102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1,384</w:t>
            </w:r>
          </w:p>
        </w:tc>
        <w:tc>
          <w:tcPr>
            <w:tcW w:w="898" w:type="dxa"/>
          </w:tcPr>
          <w:p w14:paraId="5857E8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4086B37D" w14:textId="77777777">
        <w:tc>
          <w:tcPr>
            <w:tcW w:w="991" w:type="dxa"/>
          </w:tcPr>
          <w:p w14:paraId="417C4672" w14:textId="77777777" w:rsidR="00352D6A" w:rsidRDefault="00352D6A">
            <w:pPr>
              <w:widowControl w:val="0"/>
              <w:spacing w:after="0" w:line="240" w:lineRule="auto"/>
              <w:rPr>
                <w:sz w:val="18"/>
                <w:szCs w:val="18"/>
              </w:rPr>
            </w:pPr>
          </w:p>
        </w:tc>
        <w:tc>
          <w:tcPr>
            <w:tcW w:w="708" w:type="dxa"/>
          </w:tcPr>
          <w:p w14:paraId="57A7533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1702" w:type="dxa"/>
          </w:tcPr>
          <w:p w14:paraId="4930299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Rana Pratap</w:t>
            </w:r>
          </w:p>
        </w:tc>
        <w:tc>
          <w:tcPr>
            <w:tcW w:w="1561" w:type="dxa"/>
          </w:tcPr>
          <w:p w14:paraId="57B9548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Rajasthan</w:t>
            </w:r>
          </w:p>
        </w:tc>
        <w:tc>
          <w:tcPr>
            <w:tcW w:w="849" w:type="dxa"/>
          </w:tcPr>
          <w:p w14:paraId="7BEDDAB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171.4</w:t>
            </w:r>
          </w:p>
        </w:tc>
        <w:tc>
          <w:tcPr>
            <w:tcW w:w="1418" w:type="dxa"/>
          </w:tcPr>
          <w:p w14:paraId="6EEBDC5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0.99623</w:t>
            </w:r>
          </w:p>
        </w:tc>
        <w:tc>
          <w:tcPr>
            <w:tcW w:w="1072" w:type="dxa"/>
          </w:tcPr>
          <w:p w14:paraId="697000C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08DB3ED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802</w:t>
            </w:r>
          </w:p>
        </w:tc>
        <w:tc>
          <w:tcPr>
            <w:tcW w:w="898" w:type="dxa"/>
          </w:tcPr>
          <w:p w14:paraId="5E06A8C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5B3757B6" w14:textId="77777777">
        <w:tc>
          <w:tcPr>
            <w:tcW w:w="991" w:type="dxa"/>
          </w:tcPr>
          <w:p w14:paraId="0AA09549" w14:textId="77777777" w:rsidR="00352D6A" w:rsidRDefault="00352D6A">
            <w:pPr>
              <w:widowControl w:val="0"/>
              <w:spacing w:after="0" w:line="240" w:lineRule="auto"/>
              <w:rPr>
                <w:sz w:val="18"/>
                <w:szCs w:val="18"/>
              </w:rPr>
            </w:pPr>
          </w:p>
        </w:tc>
        <w:tc>
          <w:tcPr>
            <w:tcW w:w="708" w:type="dxa"/>
          </w:tcPr>
          <w:p w14:paraId="4D8BC0F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w:t>
            </w:r>
          </w:p>
        </w:tc>
        <w:tc>
          <w:tcPr>
            <w:tcW w:w="1702" w:type="dxa"/>
          </w:tcPr>
          <w:p w14:paraId="0576034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(1509)</w:t>
            </w:r>
          </w:p>
        </w:tc>
        <w:tc>
          <w:tcPr>
            <w:tcW w:w="1561" w:type="dxa"/>
          </w:tcPr>
          <w:p w14:paraId="1B6925F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Telangana</w:t>
            </w:r>
          </w:p>
        </w:tc>
        <w:tc>
          <w:tcPr>
            <w:tcW w:w="849" w:type="dxa"/>
          </w:tcPr>
          <w:p w14:paraId="2BE361A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335.8</w:t>
            </w:r>
          </w:p>
        </w:tc>
        <w:tc>
          <w:tcPr>
            <w:tcW w:w="1418" w:type="dxa"/>
          </w:tcPr>
          <w:p w14:paraId="4D254DF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0.99593</w:t>
            </w:r>
          </w:p>
        </w:tc>
        <w:tc>
          <w:tcPr>
            <w:tcW w:w="1072" w:type="dxa"/>
          </w:tcPr>
          <w:p w14:paraId="2B2C7C2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64A2ECC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1,463</w:t>
            </w:r>
          </w:p>
        </w:tc>
        <w:tc>
          <w:tcPr>
            <w:tcW w:w="898" w:type="dxa"/>
          </w:tcPr>
          <w:p w14:paraId="59638D7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07AE1FD1" w14:textId="77777777">
        <w:tc>
          <w:tcPr>
            <w:tcW w:w="991" w:type="dxa"/>
          </w:tcPr>
          <w:p w14:paraId="752CCB83" w14:textId="77777777" w:rsidR="00352D6A" w:rsidRDefault="00000000">
            <w:pPr>
              <w:widowControl w:val="0"/>
              <w:spacing w:after="0" w:line="240" w:lineRule="auto"/>
              <w:rPr>
                <w:sz w:val="18"/>
                <w:szCs w:val="18"/>
              </w:rPr>
            </w:pPr>
            <w:r>
              <w:rPr>
                <w:rFonts w:ascii="Times New Roman" w:hAnsi="Times New Roman" w:cs="Times New Roman"/>
                <w:sz w:val="18"/>
                <w:szCs w:val="18"/>
              </w:rPr>
              <w:t>Tawa Reservoir</w:t>
            </w:r>
          </w:p>
        </w:tc>
        <w:tc>
          <w:tcPr>
            <w:tcW w:w="708" w:type="dxa"/>
          </w:tcPr>
          <w:p w14:paraId="52885E1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1702" w:type="dxa"/>
          </w:tcPr>
          <w:p w14:paraId="548EA22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(15616)</w:t>
            </w:r>
          </w:p>
        </w:tc>
        <w:tc>
          <w:tcPr>
            <w:tcW w:w="1561" w:type="dxa"/>
          </w:tcPr>
          <w:p w14:paraId="7EEF671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Maharashtra</w:t>
            </w:r>
          </w:p>
        </w:tc>
        <w:tc>
          <w:tcPr>
            <w:tcW w:w="849" w:type="dxa"/>
          </w:tcPr>
          <w:p w14:paraId="4151DA2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39.9</w:t>
            </w:r>
          </w:p>
        </w:tc>
        <w:tc>
          <w:tcPr>
            <w:tcW w:w="1418" w:type="dxa"/>
          </w:tcPr>
          <w:p w14:paraId="7C2B086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0.99856</w:t>
            </w:r>
          </w:p>
        </w:tc>
        <w:tc>
          <w:tcPr>
            <w:tcW w:w="1072" w:type="dxa"/>
          </w:tcPr>
          <w:p w14:paraId="19EEF38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2017–2021</w:t>
            </w:r>
          </w:p>
        </w:tc>
        <w:tc>
          <w:tcPr>
            <w:tcW w:w="900" w:type="dxa"/>
          </w:tcPr>
          <w:p w14:paraId="7F02134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295</w:t>
            </w:r>
          </w:p>
        </w:tc>
        <w:tc>
          <w:tcPr>
            <w:tcW w:w="898" w:type="dxa"/>
          </w:tcPr>
          <w:p w14:paraId="0DAB823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41BE42E3" w14:textId="77777777">
        <w:tc>
          <w:tcPr>
            <w:tcW w:w="991" w:type="dxa"/>
          </w:tcPr>
          <w:p w14:paraId="3E074721" w14:textId="77777777" w:rsidR="00352D6A" w:rsidRDefault="00352D6A">
            <w:pPr>
              <w:widowControl w:val="0"/>
              <w:spacing w:after="0" w:line="240" w:lineRule="auto"/>
              <w:rPr>
                <w:sz w:val="18"/>
                <w:szCs w:val="18"/>
              </w:rPr>
            </w:pPr>
          </w:p>
        </w:tc>
        <w:tc>
          <w:tcPr>
            <w:tcW w:w="708" w:type="dxa"/>
          </w:tcPr>
          <w:p w14:paraId="38408B4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c>
          <w:tcPr>
            <w:tcW w:w="1702" w:type="dxa"/>
          </w:tcPr>
          <w:p w14:paraId="1F2C689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Ravishankar Sagar</w:t>
            </w:r>
          </w:p>
        </w:tc>
        <w:tc>
          <w:tcPr>
            <w:tcW w:w="1561" w:type="dxa"/>
          </w:tcPr>
          <w:p w14:paraId="05B5CA2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Chhattisgarh</w:t>
            </w:r>
          </w:p>
        </w:tc>
        <w:tc>
          <w:tcPr>
            <w:tcW w:w="849" w:type="dxa"/>
          </w:tcPr>
          <w:p w14:paraId="2A198E8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79.4</w:t>
            </w:r>
          </w:p>
        </w:tc>
        <w:tc>
          <w:tcPr>
            <w:tcW w:w="1418" w:type="dxa"/>
          </w:tcPr>
          <w:p w14:paraId="317D2EF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0.99775</w:t>
            </w:r>
          </w:p>
        </w:tc>
        <w:tc>
          <w:tcPr>
            <w:tcW w:w="1072" w:type="dxa"/>
          </w:tcPr>
          <w:p w14:paraId="2A7F07A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2017–2021</w:t>
            </w:r>
          </w:p>
        </w:tc>
        <w:tc>
          <w:tcPr>
            <w:tcW w:w="900" w:type="dxa"/>
          </w:tcPr>
          <w:p w14:paraId="66566B2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425</w:t>
            </w:r>
          </w:p>
        </w:tc>
        <w:tc>
          <w:tcPr>
            <w:tcW w:w="898" w:type="dxa"/>
          </w:tcPr>
          <w:p w14:paraId="1C59F2A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704552E9" w14:textId="77777777">
        <w:tc>
          <w:tcPr>
            <w:tcW w:w="991" w:type="dxa"/>
          </w:tcPr>
          <w:p w14:paraId="3B18D8FB" w14:textId="77777777" w:rsidR="00352D6A" w:rsidRDefault="00352D6A">
            <w:pPr>
              <w:widowControl w:val="0"/>
              <w:spacing w:after="0" w:line="240" w:lineRule="auto"/>
              <w:rPr>
                <w:sz w:val="18"/>
                <w:szCs w:val="18"/>
              </w:rPr>
            </w:pPr>
          </w:p>
        </w:tc>
        <w:tc>
          <w:tcPr>
            <w:tcW w:w="708" w:type="dxa"/>
          </w:tcPr>
          <w:p w14:paraId="4348D8D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c>
          <w:tcPr>
            <w:tcW w:w="1702" w:type="dxa"/>
          </w:tcPr>
          <w:p w14:paraId="5CB3B12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Erai Reservoir</w:t>
            </w:r>
          </w:p>
        </w:tc>
        <w:tc>
          <w:tcPr>
            <w:tcW w:w="1561" w:type="dxa"/>
          </w:tcPr>
          <w:p w14:paraId="749F36F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Maharashtra</w:t>
            </w:r>
          </w:p>
        </w:tc>
        <w:tc>
          <w:tcPr>
            <w:tcW w:w="849" w:type="dxa"/>
          </w:tcPr>
          <w:p w14:paraId="1B0BDAB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24.5</w:t>
            </w:r>
          </w:p>
        </w:tc>
        <w:tc>
          <w:tcPr>
            <w:tcW w:w="1418" w:type="dxa"/>
          </w:tcPr>
          <w:p w14:paraId="30D1D76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0.99745</w:t>
            </w:r>
          </w:p>
        </w:tc>
        <w:tc>
          <w:tcPr>
            <w:tcW w:w="1072" w:type="dxa"/>
          </w:tcPr>
          <w:p w14:paraId="7D40494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2647121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294</w:t>
            </w:r>
          </w:p>
        </w:tc>
        <w:tc>
          <w:tcPr>
            <w:tcW w:w="898" w:type="dxa"/>
          </w:tcPr>
          <w:p w14:paraId="0F8EB1B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3B8777F9" w14:textId="77777777">
        <w:tc>
          <w:tcPr>
            <w:tcW w:w="991" w:type="dxa"/>
          </w:tcPr>
          <w:p w14:paraId="2E8A97C7" w14:textId="77777777" w:rsidR="00352D6A" w:rsidRDefault="00352D6A">
            <w:pPr>
              <w:widowControl w:val="0"/>
              <w:spacing w:after="0" w:line="240" w:lineRule="auto"/>
              <w:rPr>
                <w:sz w:val="18"/>
                <w:szCs w:val="18"/>
              </w:rPr>
            </w:pPr>
          </w:p>
        </w:tc>
        <w:tc>
          <w:tcPr>
            <w:tcW w:w="708" w:type="dxa"/>
          </w:tcPr>
          <w:p w14:paraId="15ED6CC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1702" w:type="dxa"/>
          </w:tcPr>
          <w:p w14:paraId="5072228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(15613)</w:t>
            </w:r>
          </w:p>
        </w:tc>
        <w:tc>
          <w:tcPr>
            <w:tcW w:w="1561" w:type="dxa"/>
          </w:tcPr>
          <w:p w14:paraId="45A4270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Chhattisgarh</w:t>
            </w:r>
          </w:p>
        </w:tc>
        <w:tc>
          <w:tcPr>
            <w:tcW w:w="849" w:type="dxa"/>
          </w:tcPr>
          <w:p w14:paraId="457B27E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19.1</w:t>
            </w:r>
          </w:p>
        </w:tc>
        <w:tc>
          <w:tcPr>
            <w:tcW w:w="1418" w:type="dxa"/>
          </w:tcPr>
          <w:p w14:paraId="20B62D9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0.99743</w:t>
            </w:r>
          </w:p>
        </w:tc>
        <w:tc>
          <w:tcPr>
            <w:tcW w:w="1072" w:type="dxa"/>
          </w:tcPr>
          <w:p w14:paraId="07FF086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2019–2023</w:t>
            </w:r>
          </w:p>
        </w:tc>
        <w:tc>
          <w:tcPr>
            <w:tcW w:w="900" w:type="dxa"/>
          </w:tcPr>
          <w:p w14:paraId="5DF2A43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362</w:t>
            </w:r>
          </w:p>
        </w:tc>
        <w:tc>
          <w:tcPr>
            <w:tcW w:w="898" w:type="dxa"/>
          </w:tcPr>
          <w:p w14:paraId="4091FC4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40DB0037" w14:textId="77777777">
        <w:tc>
          <w:tcPr>
            <w:tcW w:w="991" w:type="dxa"/>
          </w:tcPr>
          <w:p w14:paraId="571258EF" w14:textId="77777777" w:rsidR="00352D6A" w:rsidRDefault="00352D6A">
            <w:pPr>
              <w:widowControl w:val="0"/>
              <w:spacing w:after="0" w:line="240" w:lineRule="auto"/>
              <w:rPr>
                <w:sz w:val="18"/>
                <w:szCs w:val="18"/>
              </w:rPr>
            </w:pPr>
          </w:p>
        </w:tc>
        <w:tc>
          <w:tcPr>
            <w:tcW w:w="708" w:type="dxa"/>
          </w:tcPr>
          <w:p w14:paraId="75EA9B9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w:t>
            </w:r>
          </w:p>
        </w:tc>
        <w:tc>
          <w:tcPr>
            <w:tcW w:w="1702" w:type="dxa"/>
          </w:tcPr>
          <w:p w14:paraId="4460F1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(15532)</w:t>
            </w:r>
          </w:p>
        </w:tc>
        <w:tc>
          <w:tcPr>
            <w:tcW w:w="1561" w:type="dxa"/>
          </w:tcPr>
          <w:p w14:paraId="5620E4A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Jharkhand</w:t>
            </w:r>
          </w:p>
        </w:tc>
        <w:tc>
          <w:tcPr>
            <w:tcW w:w="849" w:type="dxa"/>
          </w:tcPr>
          <w:p w14:paraId="46EFC5D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32.7</w:t>
            </w:r>
          </w:p>
        </w:tc>
        <w:tc>
          <w:tcPr>
            <w:tcW w:w="1418" w:type="dxa"/>
          </w:tcPr>
          <w:p w14:paraId="77866CC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0.99742</w:t>
            </w:r>
          </w:p>
        </w:tc>
        <w:tc>
          <w:tcPr>
            <w:tcW w:w="1072" w:type="dxa"/>
          </w:tcPr>
          <w:p w14:paraId="7B08D32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1C9A7C5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810</w:t>
            </w:r>
          </w:p>
        </w:tc>
        <w:tc>
          <w:tcPr>
            <w:tcW w:w="898" w:type="dxa"/>
          </w:tcPr>
          <w:p w14:paraId="6DA07CA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34369318" w14:textId="77777777">
        <w:tc>
          <w:tcPr>
            <w:tcW w:w="991" w:type="dxa"/>
          </w:tcPr>
          <w:p w14:paraId="2CA40709" w14:textId="77777777" w:rsidR="00352D6A" w:rsidRDefault="00000000">
            <w:pPr>
              <w:widowControl w:val="0"/>
              <w:spacing w:after="0" w:line="240" w:lineRule="auto"/>
              <w:rPr>
                <w:sz w:val="18"/>
                <w:szCs w:val="18"/>
              </w:rPr>
            </w:pPr>
            <w:r>
              <w:rPr>
                <w:rFonts w:ascii="Times New Roman" w:hAnsi="Times New Roman" w:cs="Times New Roman"/>
                <w:sz w:val="18"/>
                <w:szCs w:val="18"/>
              </w:rPr>
              <w:t>Tso Morari</w:t>
            </w:r>
          </w:p>
        </w:tc>
        <w:tc>
          <w:tcPr>
            <w:tcW w:w="708" w:type="dxa"/>
          </w:tcPr>
          <w:p w14:paraId="2BAEC1E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1702" w:type="dxa"/>
          </w:tcPr>
          <w:p w14:paraId="6A52A33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Pangong</w:t>
            </w:r>
          </w:p>
        </w:tc>
        <w:tc>
          <w:tcPr>
            <w:tcW w:w="1561" w:type="dxa"/>
          </w:tcPr>
          <w:p w14:paraId="7F4D954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Ladakh</w:t>
            </w:r>
          </w:p>
        </w:tc>
        <w:tc>
          <w:tcPr>
            <w:tcW w:w="849" w:type="dxa"/>
          </w:tcPr>
          <w:p w14:paraId="5E64CC7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285.5</w:t>
            </w:r>
          </w:p>
        </w:tc>
        <w:tc>
          <w:tcPr>
            <w:tcW w:w="1418" w:type="dxa"/>
          </w:tcPr>
          <w:p w14:paraId="5C05AF7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0.99721</w:t>
            </w:r>
          </w:p>
        </w:tc>
        <w:tc>
          <w:tcPr>
            <w:tcW w:w="1072" w:type="dxa"/>
          </w:tcPr>
          <w:p w14:paraId="6128B90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724F0A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105</w:t>
            </w:r>
          </w:p>
        </w:tc>
        <w:tc>
          <w:tcPr>
            <w:tcW w:w="898" w:type="dxa"/>
          </w:tcPr>
          <w:p w14:paraId="5D5C2C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648EDC3C" w14:textId="77777777">
        <w:tc>
          <w:tcPr>
            <w:tcW w:w="991" w:type="dxa"/>
          </w:tcPr>
          <w:p w14:paraId="2CB5C780" w14:textId="77777777" w:rsidR="00352D6A" w:rsidRDefault="00352D6A">
            <w:pPr>
              <w:widowControl w:val="0"/>
              <w:spacing w:after="0" w:line="240" w:lineRule="auto"/>
              <w:rPr>
                <w:sz w:val="18"/>
                <w:szCs w:val="18"/>
              </w:rPr>
            </w:pPr>
          </w:p>
        </w:tc>
        <w:tc>
          <w:tcPr>
            <w:tcW w:w="708" w:type="dxa"/>
          </w:tcPr>
          <w:p w14:paraId="54B353C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c>
          <w:tcPr>
            <w:tcW w:w="1702" w:type="dxa"/>
          </w:tcPr>
          <w:p w14:paraId="7EA2417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(175002)</w:t>
            </w:r>
          </w:p>
        </w:tc>
        <w:tc>
          <w:tcPr>
            <w:tcW w:w="1561" w:type="dxa"/>
          </w:tcPr>
          <w:p w14:paraId="31B7B28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Ladakh</w:t>
            </w:r>
          </w:p>
        </w:tc>
        <w:tc>
          <w:tcPr>
            <w:tcW w:w="849" w:type="dxa"/>
          </w:tcPr>
          <w:p w14:paraId="6F48B59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w:t>
            </w:r>
          </w:p>
        </w:tc>
        <w:tc>
          <w:tcPr>
            <w:tcW w:w="1418" w:type="dxa"/>
          </w:tcPr>
          <w:p w14:paraId="536B45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0.98351</w:t>
            </w:r>
          </w:p>
        </w:tc>
        <w:tc>
          <w:tcPr>
            <w:tcW w:w="1072" w:type="dxa"/>
          </w:tcPr>
          <w:p w14:paraId="5561FC0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2B0E6C9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47</w:t>
            </w:r>
          </w:p>
        </w:tc>
        <w:tc>
          <w:tcPr>
            <w:tcW w:w="898" w:type="dxa"/>
          </w:tcPr>
          <w:p w14:paraId="6369953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6FC6478B" w14:textId="77777777">
        <w:tc>
          <w:tcPr>
            <w:tcW w:w="991" w:type="dxa"/>
          </w:tcPr>
          <w:p w14:paraId="57A3E7E6" w14:textId="77777777" w:rsidR="00352D6A" w:rsidRDefault="00352D6A">
            <w:pPr>
              <w:widowControl w:val="0"/>
              <w:spacing w:after="0" w:line="240" w:lineRule="auto"/>
              <w:rPr>
                <w:sz w:val="18"/>
                <w:szCs w:val="18"/>
              </w:rPr>
            </w:pPr>
          </w:p>
        </w:tc>
        <w:tc>
          <w:tcPr>
            <w:tcW w:w="708" w:type="dxa"/>
          </w:tcPr>
          <w:p w14:paraId="4604574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c>
          <w:tcPr>
            <w:tcW w:w="1702" w:type="dxa"/>
          </w:tcPr>
          <w:p w14:paraId="2F95B1F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Rana Pratap</w:t>
            </w:r>
          </w:p>
        </w:tc>
        <w:tc>
          <w:tcPr>
            <w:tcW w:w="1561" w:type="dxa"/>
          </w:tcPr>
          <w:p w14:paraId="1CD807E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Rajasthan</w:t>
            </w:r>
          </w:p>
        </w:tc>
        <w:tc>
          <w:tcPr>
            <w:tcW w:w="849" w:type="dxa"/>
          </w:tcPr>
          <w:p w14:paraId="26B4CA5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171.4</w:t>
            </w:r>
          </w:p>
        </w:tc>
        <w:tc>
          <w:tcPr>
            <w:tcW w:w="1418" w:type="dxa"/>
          </w:tcPr>
          <w:p w14:paraId="00C445A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0.98345</w:t>
            </w:r>
          </w:p>
        </w:tc>
        <w:tc>
          <w:tcPr>
            <w:tcW w:w="1072" w:type="dxa"/>
          </w:tcPr>
          <w:p w14:paraId="04AFDDE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69E1758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941</w:t>
            </w:r>
          </w:p>
        </w:tc>
        <w:tc>
          <w:tcPr>
            <w:tcW w:w="898" w:type="dxa"/>
          </w:tcPr>
          <w:p w14:paraId="0967D79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060F0584" w14:textId="77777777">
        <w:tc>
          <w:tcPr>
            <w:tcW w:w="991" w:type="dxa"/>
          </w:tcPr>
          <w:p w14:paraId="24B3863A" w14:textId="77777777" w:rsidR="00352D6A" w:rsidRDefault="00352D6A">
            <w:pPr>
              <w:widowControl w:val="0"/>
              <w:spacing w:after="0" w:line="240" w:lineRule="auto"/>
              <w:rPr>
                <w:sz w:val="18"/>
                <w:szCs w:val="18"/>
              </w:rPr>
            </w:pPr>
          </w:p>
        </w:tc>
        <w:tc>
          <w:tcPr>
            <w:tcW w:w="708" w:type="dxa"/>
          </w:tcPr>
          <w:p w14:paraId="163113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1702" w:type="dxa"/>
          </w:tcPr>
          <w:p w14:paraId="73CF547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Matatila</w:t>
            </w:r>
          </w:p>
        </w:tc>
        <w:tc>
          <w:tcPr>
            <w:tcW w:w="1561" w:type="dxa"/>
          </w:tcPr>
          <w:p w14:paraId="73E8170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Uttar Pradesh</w:t>
            </w:r>
          </w:p>
        </w:tc>
        <w:tc>
          <w:tcPr>
            <w:tcW w:w="849" w:type="dxa"/>
          </w:tcPr>
          <w:p w14:paraId="29C8FBA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65.6</w:t>
            </w:r>
          </w:p>
        </w:tc>
        <w:tc>
          <w:tcPr>
            <w:tcW w:w="1418" w:type="dxa"/>
          </w:tcPr>
          <w:p w14:paraId="1E6B1CD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0.98281</w:t>
            </w:r>
          </w:p>
        </w:tc>
        <w:tc>
          <w:tcPr>
            <w:tcW w:w="1072" w:type="dxa"/>
          </w:tcPr>
          <w:p w14:paraId="0E3E68E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2018–2022</w:t>
            </w:r>
          </w:p>
        </w:tc>
        <w:tc>
          <w:tcPr>
            <w:tcW w:w="900" w:type="dxa"/>
          </w:tcPr>
          <w:p w14:paraId="0B4A547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870</w:t>
            </w:r>
          </w:p>
        </w:tc>
        <w:tc>
          <w:tcPr>
            <w:tcW w:w="898" w:type="dxa"/>
          </w:tcPr>
          <w:p w14:paraId="3D97DD3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2BFE8A78" w14:textId="77777777">
        <w:tc>
          <w:tcPr>
            <w:tcW w:w="991" w:type="dxa"/>
          </w:tcPr>
          <w:p w14:paraId="09534DB5" w14:textId="77777777" w:rsidR="00352D6A" w:rsidRDefault="00352D6A">
            <w:pPr>
              <w:widowControl w:val="0"/>
              <w:spacing w:after="0" w:line="240" w:lineRule="auto"/>
              <w:rPr>
                <w:sz w:val="18"/>
                <w:szCs w:val="18"/>
              </w:rPr>
            </w:pPr>
          </w:p>
        </w:tc>
        <w:tc>
          <w:tcPr>
            <w:tcW w:w="708" w:type="dxa"/>
          </w:tcPr>
          <w:p w14:paraId="5BD8C76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w:t>
            </w:r>
          </w:p>
        </w:tc>
        <w:tc>
          <w:tcPr>
            <w:tcW w:w="1702" w:type="dxa"/>
          </w:tcPr>
          <w:p w14:paraId="2667CD6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(15736)</w:t>
            </w:r>
          </w:p>
        </w:tc>
        <w:tc>
          <w:tcPr>
            <w:tcW w:w="1561" w:type="dxa"/>
          </w:tcPr>
          <w:p w14:paraId="773EFD3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Karnataka</w:t>
            </w:r>
          </w:p>
        </w:tc>
        <w:tc>
          <w:tcPr>
            <w:tcW w:w="849" w:type="dxa"/>
          </w:tcPr>
          <w:p w14:paraId="468443C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89.7</w:t>
            </w:r>
          </w:p>
        </w:tc>
        <w:tc>
          <w:tcPr>
            <w:tcW w:w="1418" w:type="dxa"/>
          </w:tcPr>
          <w:p w14:paraId="5B28F04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0.98255</w:t>
            </w:r>
          </w:p>
        </w:tc>
        <w:tc>
          <w:tcPr>
            <w:tcW w:w="1072" w:type="dxa"/>
          </w:tcPr>
          <w:p w14:paraId="4C95A19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2365E02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1,999</w:t>
            </w:r>
          </w:p>
        </w:tc>
        <w:tc>
          <w:tcPr>
            <w:tcW w:w="898" w:type="dxa"/>
          </w:tcPr>
          <w:p w14:paraId="1653E82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1607EF5F" w14:textId="77777777">
        <w:tc>
          <w:tcPr>
            <w:tcW w:w="991" w:type="dxa"/>
          </w:tcPr>
          <w:p w14:paraId="5F12F70E" w14:textId="77777777" w:rsidR="00352D6A" w:rsidRDefault="00000000">
            <w:pPr>
              <w:widowControl w:val="0"/>
              <w:spacing w:after="0" w:line="240" w:lineRule="auto"/>
              <w:rPr>
                <w:sz w:val="18"/>
                <w:szCs w:val="18"/>
              </w:rPr>
            </w:pPr>
            <w:r>
              <w:rPr>
                <w:rFonts w:ascii="Times New Roman" w:hAnsi="Times New Roman" w:cs="Times New Roman"/>
                <w:sz w:val="18"/>
                <w:szCs w:val="18"/>
              </w:rPr>
              <w:t>Sasthamcotta Lake</w:t>
            </w:r>
          </w:p>
        </w:tc>
        <w:tc>
          <w:tcPr>
            <w:tcW w:w="708" w:type="dxa"/>
          </w:tcPr>
          <w:p w14:paraId="759CCFA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1</w:t>
            </w:r>
          </w:p>
        </w:tc>
        <w:tc>
          <w:tcPr>
            <w:tcW w:w="1702" w:type="dxa"/>
          </w:tcPr>
          <w:p w14:paraId="1BD6B49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(179945)</w:t>
            </w:r>
          </w:p>
        </w:tc>
        <w:tc>
          <w:tcPr>
            <w:tcW w:w="1561" w:type="dxa"/>
          </w:tcPr>
          <w:p w14:paraId="16DA37C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Kerala</w:t>
            </w:r>
          </w:p>
        </w:tc>
        <w:tc>
          <w:tcPr>
            <w:tcW w:w="849" w:type="dxa"/>
          </w:tcPr>
          <w:p w14:paraId="4C99C47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2.5</w:t>
            </w:r>
          </w:p>
        </w:tc>
        <w:tc>
          <w:tcPr>
            <w:tcW w:w="1418" w:type="dxa"/>
          </w:tcPr>
          <w:p w14:paraId="42133C3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0.99437</w:t>
            </w:r>
          </w:p>
        </w:tc>
        <w:tc>
          <w:tcPr>
            <w:tcW w:w="1072" w:type="dxa"/>
          </w:tcPr>
          <w:p w14:paraId="76FAA14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080B59E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29</w:t>
            </w:r>
          </w:p>
        </w:tc>
        <w:tc>
          <w:tcPr>
            <w:tcW w:w="898" w:type="dxa"/>
          </w:tcPr>
          <w:p w14:paraId="36848C5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651D8799" w14:textId="77777777">
        <w:tc>
          <w:tcPr>
            <w:tcW w:w="991" w:type="dxa"/>
          </w:tcPr>
          <w:p w14:paraId="4976D139" w14:textId="77777777" w:rsidR="00352D6A" w:rsidRDefault="00352D6A">
            <w:pPr>
              <w:widowControl w:val="0"/>
              <w:spacing w:after="0" w:line="240" w:lineRule="auto"/>
              <w:rPr>
                <w:sz w:val="18"/>
                <w:szCs w:val="18"/>
              </w:rPr>
            </w:pPr>
          </w:p>
        </w:tc>
        <w:tc>
          <w:tcPr>
            <w:tcW w:w="708" w:type="dxa"/>
          </w:tcPr>
          <w:p w14:paraId="6E455D0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w:t>
            </w:r>
          </w:p>
        </w:tc>
        <w:tc>
          <w:tcPr>
            <w:tcW w:w="1702" w:type="dxa"/>
          </w:tcPr>
          <w:p w14:paraId="760E05B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(179645)</w:t>
            </w:r>
          </w:p>
        </w:tc>
        <w:tc>
          <w:tcPr>
            <w:tcW w:w="1561" w:type="dxa"/>
          </w:tcPr>
          <w:p w14:paraId="12FF392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Kerala</w:t>
            </w:r>
          </w:p>
        </w:tc>
        <w:tc>
          <w:tcPr>
            <w:tcW w:w="849" w:type="dxa"/>
          </w:tcPr>
          <w:p w14:paraId="6440024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5.7</w:t>
            </w:r>
          </w:p>
        </w:tc>
        <w:tc>
          <w:tcPr>
            <w:tcW w:w="1418" w:type="dxa"/>
          </w:tcPr>
          <w:p w14:paraId="06A5373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0.99391</w:t>
            </w:r>
          </w:p>
        </w:tc>
        <w:tc>
          <w:tcPr>
            <w:tcW w:w="1072" w:type="dxa"/>
          </w:tcPr>
          <w:p w14:paraId="0B43FA6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2019–2023</w:t>
            </w:r>
          </w:p>
        </w:tc>
        <w:tc>
          <w:tcPr>
            <w:tcW w:w="900" w:type="dxa"/>
          </w:tcPr>
          <w:p w14:paraId="49E9BE1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280</w:t>
            </w:r>
          </w:p>
        </w:tc>
        <w:tc>
          <w:tcPr>
            <w:tcW w:w="898" w:type="dxa"/>
          </w:tcPr>
          <w:p w14:paraId="272F856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243F2944" w14:textId="77777777">
        <w:tc>
          <w:tcPr>
            <w:tcW w:w="991" w:type="dxa"/>
          </w:tcPr>
          <w:p w14:paraId="38E7E7DA" w14:textId="77777777" w:rsidR="00352D6A" w:rsidRDefault="00352D6A">
            <w:pPr>
              <w:widowControl w:val="0"/>
              <w:spacing w:after="0" w:line="240" w:lineRule="auto"/>
              <w:rPr>
                <w:sz w:val="18"/>
                <w:szCs w:val="18"/>
              </w:rPr>
            </w:pPr>
          </w:p>
        </w:tc>
        <w:tc>
          <w:tcPr>
            <w:tcW w:w="708" w:type="dxa"/>
          </w:tcPr>
          <w:p w14:paraId="33B665E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w:t>
            </w:r>
          </w:p>
        </w:tc>
        <w:tc>
          <w:tcPr>
            <w:tcW w:w="1702" w:type="dxa"/>
          </w:tcPr>
          <w:p w14:paraId="7770CC6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(179552)</w:t>
            </w:r>
          </w:p>
        </w:tc>
        <w:tc>
          <w:tcPr>
            <w:tcW w:w="1561" w:type="dxa"/>
          </w:tcPr>
          <w:p w14:paraId="3D5E51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Kerala</w:t>
            </w:r>
          </w:p>
        </w:tc>
        <w:tc>
          <w:tcPr>
            <w:tcW w:w="849" w:type="dxa"/>
          </w:tcPr>
          <w:p w14:paraId="6671288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4.2</w:t>
            </w:r>
          </w:p>
        </w:tc>
        <w:tc>
          <w:tcPr>
            <w:tcW w:w="1418" w:type="dxa"/>
          </w:tcPr>
          <w:p w14:paraId="1E2D91F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0.99360</w:t>
            </w:r>
          </w:p>
        </w:tc>
        <w:tc>
          <w:tcPr>
            <w:tcW w:w="1072" w:type="dxa"/>
          </w:tcPr>
          <w:p w14:paraId="5545D4B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2020–2024</w:t>
            </w:r>
          </w:p>
        </w:tc>
        <w:tc>
          <w:tcPr>
            <w:tcW w:w="900" w:type="dxa"/>
          </w:tcPr>
          <w:p w14:paraId="72FF94A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345</w:t>
            </w:r>
          </w:p>
        </w:tc>
        <w:tc>
          <w:tcPr>
            <w:tcW w:w="898" w:type="dxa"/>
          </w:tcPr>
          <w:p w14:paraId="51F7A34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Yes</w:t>
            </w:r>
          </w:p>
        </w:tc>
      </w:tr>
      <w:tr w:rsidR="00352D6A" w14:paraId="705777DB" w14:textId="77777777">
        <w:tc>
          <w:tcPr>
            <w:tcW w:w="991" w:type="dxa"/>
          </w:tcPr>
          <w:p w14:paraId="261EED12" w14:textId="77777777" w:rsidR="00352D6A" w:rsidRDefault="00352D6A">
            <w:pPr>
              <w:widowControl w:val="0"/>
              <w:spacing w:after="0" w:line="240" w:lineRule="auto"/>
              <w:rPr>
                <w:sz w:val="18"/>
                <w:szCs w:val="18"/>
              </w:rPr>
            </w:pPr>
          </w:p>
        </w:tc>
        <w:tc>
          <w:tcPr>
            <w:tcW w:w="708" w:type="dxa"/>
          </w:tcPr>
          <w:p w14:paraId="0B799D7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4</w:t>
            </w:r>
          </w:p>
        </w:tc>
        <w:tc>
          <w:tcPr>
            <w:tcW w:w="1702" w:type="dxa"/>
          </w:tcPr>
          <w:p w14:paraId="5399999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(175567)</w:t>
            </w:r>
          </w:p>
        </w:tc>
        <w:tc>
          <w:tcPr>
            <w:tcW w:w="1561" w:type="dxa"/>
          </w:tcPr>
          <w:p w14:paraId="46A72AA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Punjab</w:t>
            </w:r>
          </w:p>
        </w:tc>
        <w:tc>
          <w:tcPr>
            <w:tcW w:w="849" w:type="dxa"/>
          </w:tcPr>
          <w:p w14:paraId="161B090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3.1</w:t>
            </w:r>
          </w:p>
        </w:tc>
        <w:tc>
          <w:tcPr>
            <w:tcW w:w="1418" w:type="dxa"/>
          </w:tcPr>
          <w:p w14:paraId="26352CC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0.99358</w:t>
            </w:r>
          </w:p>
        </w:tc>
        <w:tc>
          <w:tcPr>
            <w:tcW w:w="1072" w:type="dxa"/>
          </w:tcPr>
          <w:p w14:paraId="610397B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Pr>
          <w:p w14:paraId="61E06E5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2,487</w:t>
            </w:r>
          </w:p>
        </w:tc>
        <w:tc>
          <w:tcPr>
            <w:tcW w:w="898" w:type="dxa"/>
          </w:tcPr>
          <w:p w14:paraId="79F6138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r w:rsidR="00352D6A" w14:paraId="7DD215DA" w14:textId="77777777">
        <w:tc>
          <w:tcPr>
            <w:tcW w:w="991" w:type="dxa"/>
            <w:tcBorders>
              <w:bottom w:val="single" w:sz="8" w:space="0" w:color="000000"/>
            </w:tcBorders>
          </w:tcPr>
          <w:p w14:paraId="669E02B8" w14:textId="77777777" w:rsidR="00352D6A" w:rsidRDefault="00352D6A">
            <w:pPr>
              <w:widowControl w:val="0"/>
              <w:spacing w:after="0" w:line="240" w:lineRule="auto"/>
              <w:rPr>
                <w:sz w:val="18"/>
                <w:szCs w:val="18"/>
              </w:rPr>
            </w:pPr>
          </w:p>
        </w:tc>
        <w:tc>
          <w:tcPr>
            <w:tcW w:w="708" w:type="dxa"/>
            <w:tcBorders>
              <w:bottom w:val="single" w:sz="8" w:space="0" w:color="000000"/>
            </w:tcBorders>
          </w:tcPr>
          <w:p w14:paraId="56DB37E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w:t>
            </w:r>
          </w:p>
        </w:tc>
        <w:tc>
          <w:tcPr>
            <w:tcW w:w="1702" w:type="dxa"/>
            <w:tcBorders>
              <w:bottom w:val="single" w:sz="8" w:space="0" w:color="000000"/>
            </w:tcBorders>
          </w:tcPr>
          <w:p w14:paraId="32FCFB8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Unnamed (179981)</w:t>
            </w:r>
          </w:p>
        </w:tc>
        <w:tc>
          <w:tcPr>
            <w:tcW w:w="1561" w:type="dxa"/>
            <w:tcBorders>
              <w:bottom w:val="single" w:sz="8" w:space="0" w:color="000000"/>
            </w:tcBorders>
          </w:tcPr>
          <w:p w14:paraId="2E49422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Kerala</w:t>
            </w:r>
          </w:p>
        </w:tc>
        <w:tc>
          <w:tcPr>
            <w:tcW w:w="849" w:type="dxa"/>
            <w:tcBorders>
              <w:bottom w:val="single" w:sz="8" w:space="0" w:color="000000"/>
            </w:tcBorders>
          </w:tcPr>
          <w:p w14:paraId="4B7AC3A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2.6</w:t>
            </w:r>
          </w:p>
        </w:tc>
        <w:tc>
          <w:tcPr>
            <w:tcW w:w="1418" w:type="dxa"/>
            <w:tcBorders>
              <w:bottom w:val="single" w:sz="8" w:space="0" w:color="000000"/>
            </w:tcBorders>
          </w:tcPr>
          <w:p w14:paraId="3FB0CB7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0.99303</w:t>
            </w:r>
          </w:p>
        </w:tc>
        <w:tc>
          <w:tcPr>
            <w:tcW w:w="1072" w:type="dxa"/>
            <w:tcBorders>
              <w:bottom w:val="single" w:sz="8" w:space="0" w:color="000000"/>
            </w:tcBorders>
          </w:tcPr>
          <w:p w14:paraId="7C79657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2021–2025</w:t>
            </w:r>
          </w:p>
        </w:tc>
        <w:tc>
          <w:tcPr>
            <w:tcW w:w="900" w:type="dxa"/>
            <w:tcBorders>
              <w:bottom w:val="single" w:sz="8" w:space="0" w:color="000000"/>
            </w:tcBorders>
          </w:tcPr>
          <w:p w14:paraId="5837A2D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52</w:t>
            </w:r>
          </w:p>
        </w:tc>
        <w:tc>
          <w:tcPr>
            <w:tcW w:w="898" w:type="dxa"/>
            <w:tcBorders>
              <w:bottom w:val="single" w:sz="8" w:space="0" w:color="000000"/>
            </w:tcBorders>
          </w:tcPr>
          <w:p w14:paraId="696FB72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No</w:t>
            </w:r>
          </w:p>
        </w:tc>
      </w:tr>
    </w:tbl>
    <w:p w14:paraId="7F9D3F5B"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Unnamed lakes are identified by their HydroLAKES lake_id. Distance is between polygon centroids. A candidate whose matched window ends in 2025 has no later observations and cannot be a forecast analog.</w:t>
      </w:r>
    </w:p>
    <w:p w14:paraId="4E948D4E" w14:textId="77777777" w:rsidR="00352D6A" w:rsidRDefault="00000000">
      <w:pPr>
        <w:spacing w:before="240" w:after="60" w:line="360" w:lineRule="auto"/>
      </w:pPr>
      <w:r>
        <w:rPr>
          <w:rFonts w:ascii="Times New Roman" w:hAnsi="Times New Roman" w:cs="Times New Roman"/>
          <w:b/>
          <w:bCs/>
          <w:sz w:val="20"/>
          <w:szCs w:val="20"/>
        </w:rPr>
        <w:t>Table 6</w:t>
      </w:r>
    </w:p>
    <w:p w14:paraId="33FDBDEE" w14:textId="77777777" w:rsidR="00352D6A" w:rsidRDefault="00000000">
      <w:pPr>
        <w:spacing w:after="60" w:line="360" w:lineRule="auto"/>
      </w:pPr>
      <w:r>
        <w:rPr>
          <w:rFonts w:ascii="Times New Roman" w:hAnsi="Times New Roman" w:cs="Times New Roman"/>
          <w:i/>
          <w:iCs/>
          <w:sz w:val="20"/>
          <w:szCs w:val="20"/>
        </w:rPr>
        <w:t>Directional forecasts for 2026–2028 (anchor year 2025)</w:t>
      </w:r>
    </w:p>
    <w:tbl>
      <w:tblPr>
        <w:tblW w:w="9400" w:type="dxa"/>
        <w:tblLayout w:type="fixed"/>
        <w:tblLook w:val="04A0" w:firstRow="1" w:lastRow="0" w:firstColumn="1" w:lastColumn="0" w:noHBand="0" w:noVBand="1"/>
      </w:tblPr>
      <w:tblGrid>
        <w:gridCol w:w="2198"/>
        <w:gridCol w:w="1500"/>
        <w:gridCol w:w="1900"/>
        <w:gridCol w:w="1902"/>
        <w:gridCol w:w="1900"/>
      </w:tblGrid>
      <w:tr w:rsidR="00352D6A" w14:paraId="08E41CD5" w14:textId="77777777">
        <w:trPr>
          <w:tblHeader/>
        </w:trPr>
        <w:tc>
          <w:tcPr>
            <w:tcW w:w="2198" w:type="dxa"/>
            <w:tcBorders>
              <w:top w:val="single" w:sz="8" w:space="0" w:color="000000"/>
              <w:bottom w:val="single" w:sz="4" w:space="0" w:color="000000"/>
            </w:tcBorders>
          </w:tcPr>
          <w:p w14:paraId="286C3013" w14:textId="77777777" w:rsidR="00352D6A" w:rsidRDefault="00000000">
            <w:pPr>
              <w:widowControl w:val="0"/>
              <w:spacing w:after="0" w:line="240" w:lineRule="auto"/>
              <w:rPr>
                <w:sz w:val="18"/>
                <w:szCs w:val="18"/>
              </w:rPr>
            </w:pPr>
            <w:r>
              <w:rPr>
                <w:rFonts w:ascii="Times New Roman" w:hAnsi="Times New Roman" w:cs="Times New Roman"/>
                <w:b/>
                <w:bCs/>
                <w:sz w:val="18"/>
                <w:szCs w:val="18"/>
              </w:rPr>
              <w:t>Site</w:t>
            </w:r>
          </w:p>
        </w:tc>
        <w:tc>
          <w:tcPr>
            <w:tcW w:w="1500" w:type="dxa"/>
            <w:tcBorders>
              <w:top w:val="single" w:sz="8" w:space="0" w:color="000000"/>
              <w:bottom w:val="single" w:sz="4" w:space="0" w:color="000000"/>
            </w:tcBorders>
          </w:tcPr>
          <w:p w14:paraId="597D0FDC"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Index</w:t>
            </w:r>
          </w:p>
        </w:tc>
        <w:tc>
          <w:tcPr>
            <w:tcW w:w="1900" w:type="dxa"/>
            <w:tcBorders>
              <w:top w:val="single" w:sz="8" w:space="0" w:color="000000"/>
              <w:bottom w:val="single" w:sz="4" w:space="0" w:color="000000"/>
            </w:tcBorders>
          </w:tcPr>
          <w:p w14:paraId="2DD64549"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2026</w:t>
            </w:r>
          </w:p>
        </w:tc>
        <w:tc>
          <w:tcPr>
            <w:tcW w:w="1902" w:type="dxa"/>
            <w:tcBorders>
              <w:top w:val="single" w:sz="8" w:space="0" w:color="000000"/>
              <w:bottom w:val="single" w:sz="4" w:space="0" w:color="000000"/>
            </w:tcBorders>
          </w:tcPr>
          <w:p w14:paraId="102CDD9C"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2027</w:t>
            </w:r>
          </w:p>
        </w:tc>
        <w:tc>
          <w:tcPr>
            <w:tcW w:w="1900" w:type="dxa"/>
            <w:tcBorders>
              <w:top w:val="single" w:sz="8" w:space="0" w:color="000000"/>
              <w:bottom w:val="single" w:sz="4" w:space="0" w:color="000000"/>
            </w:tcBorders>
          </w:tcPr>
          <w:p w14:paraId="243E6637" w14:textId="77777777" w:rsidR="00352D6A" w:rsidRDefault="00000000">
            <w:pPr>
              <w:widowControl w:val="0"/>
              <w:spacing w:after="0" w:line="240" w:lineRule="auto"/>
              <w:jc w:val="center"/>
              <w:rPr>
                <w:sz w:val="18"/>
                <w:szCs w:val="18"/>
              </w:rPr>
            </w:pPr>
            <w:r>
              <w:rPr>
                <w:rFonts w:ascii="Times New Roman" w:hAnsi="Times New Roman" w:cs="Times New Roman"/>
                <w:b/>
                <w:bCs/>
                <w:sz w:val="18"/>
                <w:szCs w:val="18"/>
              </w:rPr>
              <w:t>2028</w:t>
            </w:r>
          </w:p>
        </w:tc>
      </w:tr>
      <w:tr w:rsidR="00352D6A" w14:paraId="35354738" w14:textId="77777777">
        <w:tc>
          <w:tcPr>
            <w:tcW w:w="2198" w:type="dxa"/>
          </w:tcPr>
          <w:p w14:paraId="3232CA7B" w14:textId="77777777" w:rsidR="00352D6A" w:rsidRDefault="00000000">
            <w:pPr>
              <w:widowControl w:val="0"/>
              <w:spacing w:after="0" w:line="240" w:lineRule="auto"/>
              <w:rPr>
                <w:sz w:val="18"/>
                <w:szCs w:val="18"/>
              </w:rPr>
            </w:pPr>
            <w:r>
              <w:rPr>
                <w:rFonts w:ascii="Times New Roman" w:hAnsi="Times New Roman" w:cs="Times New Roman"/>
                <w:sz w:val="18"/>
                <w:szCs w:val="18"/>
              </w:rPr>
              <w:t>Chilika Lagoon</w:t>
            </w:r>
          </w:p>
        </w:tc>
        <w:tc>
          <w:tcPr>
            <w:tcW w:w="1500" w:type="dxa"/>
          </w:tcPr>
          <w:p w14:paraId="618EA5E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NDCI</w:t>
            </w:r>
          </w:p>
        </w:tc>
        <w:tc>
          <w:tcPr>
            <w:tcW w:w="1900" w:type="dxa"/>
          </w:tcPr>
          <w:p w14:paraId="387E705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+0.0034 (n=5)</w:t>
            </w:r>
          </w:p>
        </w:tc>
        <w:tc>
          <w:tcPr>
            <w:tcW w:w="1902" w:type="dxa"/>
          </w:tcPr>
          <w:p w14:paraId="65A9B8D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−0.0040 (n=2)</w:t>
            </w:r>
          </w:p>
        </w:tc>
        <w:tc>
          <w:tcPr>
            <w:tcW w:w="1900" w:type="dxa"/>
          </w:tcPr>
          <w:p w14:paraId="3B25D3A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−0.0036 (n=2)</w:t>
            </w:r>
          </w:p>
        </w:tc>
      </w:tr>
      <w:tr w:rsidR="00352D6A" w14:paraId="5727BF49" w14:textId="77777777">
        <w:tc>
          <w:tcPr>
            <w:tcW w:w="2198" w:type="dxa"/>
          </w:tcPr>
          <w:p w14:paraId="57FA06DC" w14:textId="77777777" w:rsidR="00352D6A" w:rsidRDefault="00352D6A">
            <w:pPr>
              <w:widowControl w:val="0"/>
              <w:spacing w:after="0" w:line="240" w:lineRule="auto"/>
              <w:rPr>
                <w:sz w:val="18"/>
                <w:szCs w:val="18"/>
              </w:rPr>
            </w:pPr>
          </w:p>
        </w:tc>
        <w:tc>
          <w:tcPr>
            <w:tcW w:w="1500" w:type="dxa"/>
          </w:tcPr>
          <w:p w14:paraId="2DE605C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NDVI</w:t>
            </w:r>
          </w:p>
        </w:tc>
        <w:tc>
          <w:tcPr>
            <w:tcW w:w="1900" w:type="dxa"/>
          </w:tcPr>
          <w:p w14:paraId="6C77A32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+0.0419 (n=5)</w:t>
            </w:r>
          </w:p>
        </w:tc>
        <w:tc>
          <w:tcPr>
            <w:tcW w:w="1902" w:type="dxa"/>
          </w:tcPr>
          <w:p w14:paraId="44BB6B3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+0.0043 (n=2)</w:t>
            </w:r>
          </w:p>
        </w:tc>
        <w:tc>
          <w:tcPr>
            <w:tcW w:w="1900" w:type="dxa"/>
          </w:tcPr>
          <w:p w14:paraId="650DA2B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+0.0264 (n=2)</w:t>
            </w:r>
          </w:p>
        </w:tc>
      </w:tr>
      <w:tr w:rsidR="00352D6A" w14:paraId="4DA2C83B" w14:textId="77777777">
        <w:tc>
          <w:tcPr>
            <w:tcW w:w="2198" w:type="dxa"/>
          </w:tcPr>
          <w:p w14:paraId="2AE242F1" w14:textId="77777777" w:rsidR="00352D6A" w:rsidRDefault="00352D6A">
            <w:pPr>
              <w:widowControl w:val="0"/>
              <w:spacing w:after="0" w:line="240" w:lineRule="auto"/>
              <w:rPr>
                <w:sz w:val="18"/>
                <w:szCs w:val="18"/>
              </w:rPr>
            </w:pPr>
          </w:p>
        </w:tc>
        <w:tc>
          <w:tcPr>
            <w:tcW w:w="1500" w:type="dxa"/>
          </w:tcPr>
          <w:p w14:paraId="452ECED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NDWI</w:t>
            </w:r>
          </w:p>
        </w:tc>
        <w:tc>
          <w:tcPr>
            <w:tcW w:w="1900" w:type="dxa"/>
          </w:tcPr>
          <w:p w14:paraId="2FC2369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−0.0331 (n=5)</w:t>
            </w:r>
          </w:p>
        </w:tc>
        <w:tc>
          <w:tcPr>
            <w:tcW w:w="1902" w:type="dxa"/>
          </w:tcPr>
          <w:p w14:paraId="48B638C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−0.0010 (n=2)</w:t>
            </w:r>
          </w:p>
        </w:tc>
        <w:tc>
          <w:tcPr>
            <w:tcW w:w="1900" w:type="dxa"/>
          </w:tcPr>
          <w:p w14:paraId="11ADA51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−0.0251 (n=2)</w:t>
            </w:r>
          </w:p>
        </w:tc>
      </w:tr>
      <w:tr w:rsidR="00352D6A" w14:paraId="03EEF106" w14:textId="77777777">
        <w:tc>
          <w:tcPr>
            <w:tcW w:w="2198" w:type="dxa"/>
          </w:tcPr>
          <w:p w14:paraId="78E862B6" w14:textId="77777777" w:rsidR="00352D6A" w:rsidRDefault="00352D6A">
            <w:pPr>
              <w:widowControl w:val="0"/>
              <w:spacing w:after="0" w:line="240" w:lineRule="auto"/>
              <w:rPr>
                <w:sz w:val="18"/>
                <w:szCs w:val="18"/>
              </w:rPr>
            </w:pPr>
          </w:p>
        </w:tc>
        <w:tc>
          <w:tcPr>
            <w:tcW w:w="1500" w:type="dxa"/>
          </w:tcPr>
          <w:p w14:paraId="061FD3C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NDTI</w:t>
            </w:r>
          </w:p>
        </w:tc>
        <w:tc>
          <w:tcPr>
            <w:tcW w:w="1900" w:type="dxa"/>
          </w:tcPr>
          <w:p w14:paraId="0E0D711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−0.0076 (n=5)</w:t>
            </w:r>
          </w:p>
        </w:tc>
        <w:tc>
          <w:tcPr>
            <w:tcW w:w="1902" w:type="dxa"/>
          </w:tcPr>
          <w:p w14:paraId="34B7238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−0.0029 (n=2)</w:t>
            </w:r>
          </w:p>
        </w:tc>
        <w:tc>
          <w:tcPr>
            <w:tcW w:w="1900" w:type="dxa"/>
          </w:tcPr>
          <w:p w14:paraId="70DA5B5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0.0004 (n=2)</w:t>
            </w:r>
          </w:p>
        </w:tc>
      </w:tr>
      <w:tr w:rsidR="00352D6A" w14:paraId="45EA5BB7" w14:textId="77777777">
        <w:tc>
          <w:tcPr>
            <w:tcW w:w="2198" w:type="dxa"/>
          </w:tcPr>
          <w:p w14:paraId="00A1338C" w14:textId="77777777" w:rsidR="00352D6A" w:rsidRDefault="00000000">
            <w:pPr>
              <w:widowControl w:val="0"/>
              <w:spacing w:after="0" w:line="240" w:lineRule="auto"/>
              <w:rPr>
                <w:sz w:val="18"/>
                <w:szCs w:val="18"/>
              </w:rPr>
            </w:pPr>
            <w:r>
              <w:rPr>
                <w:rFonts w:ascii="Times New Roman" w:hAnsi="Times New Roman" w:cs="Times New Roman"/>
                <w:sz w:val="18"/>
                <w:szCs w:val="18"/>
              </w:rPr>
              <w:t>Maharana Pratap Sagar (Beas)</w:t>
            </w:r>
          </w:p>
        </w:tc>
        <w:tc>
          <w:tcPr>
            <w:tcW w:w="1500" w:type="dxa"/>
          </w:tcPr>
          <w:p w14:paraId="4343367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NDCI</w:t>
            </w:r>
          </w:p>
        </w:tc>
        <w:tc>
          <w:tcPr>
            <w:tcW w:w="1900" w:type="dxa"/>
          </w:tcPr>
          <w:p w14:paraId="048D13F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+0.0054 (n=5)</w:t>
            </w:r>
          </w:p>
        </w:tc>
        <w:tc>
          <w:tcPr>
            <w:tcW w:w="1902" w:type="dxa"/>
          </w:tcPr>
          <w:p w14:paraId="33442B3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+0.0157 (n=4)</w:t>
            </w:r>
          </w:p>
        </w:tc>
        <w:tc>
          <w:tcPr>
            <w:tcW w:w="1900" w:type="dxa"/>
          </w:tcPr>
          <w:p w14:paraId="593AF58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−0.0090 (n=4)</w:t>
            </w:r>
          </w:p>
        </w:tc>
      </w:tr>
      <w:tr w:rsidR="00352D6A" w14:paraId="3F6C5B45" w14:textId="77777777">
        <w:tc>
          <w:tcPr>
            <w:tcW w:w="2198" w:type="dxa"/>
          </w:tcPr>
          <w:p w14:paraId="4ACD583E" w14:textId="77777777" w:rsidR="00352D6A" w:rsidRDefault="00352D6A">
            <w:pPr>
              <w:widowControl w:val="0"/>
              <w:spacing w:after="0" w:line="240" w:lineRule="auto"/>
              <w:rPr>
                <w:sz w:val="18"/>
                <w:szCs w:val="18"/>
              </w:rPr>
            </w:pPr>
          </w:p>
        </w:tc>
        <w:tc>
          <w:tcPr>
            <w:tcW w:w="1500" w:type="dxa"/>
          </w:tcPr>
          <w:p w14:paraId="42BF176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NDVI</w:t>
            </w:r>
          </w:p>
        </w:tc>
        <w:tc>
          <w:tcPr>
            <w:tcW w:w="1900" w:type="dxa"/>
          </w:tcPr>
          <w:p w14:paraId="37F235F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+0.0047 (n=5)</w:t>
            </w:r>
          </w:p>
        </w:tc>
        <w:tc>
          <w:tcPr>
            <w:tcW w:w="1902" w:type="dxa"/>
          </w:tcPr>
          <w:p w14:paraId="620E2E1C"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+0.0060 (n=4)</w:t>
            </w:r>
          </w:p>
        </w:tc>
        <w:tc>
          <w:tcPr>
            <w:tcW w:w="1900" w:type="dxa"/>
          </w:tcPr>
          <w:p w14:paraId="550BC40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−0.0166 (n=4)</w:t>
            </w:r>
          </w:p>
        </w:tc>
      </w:tr>
      <w:tr w:rsidR="00352D6A" w14:paraId="5BED4193" w14:textId="77777777">
        <w:tc>
          <w:tcPr>
            <w:tcW w:w="2198" w:type="dxa"/>
          </w:tcPr>
          <w:p w14:paraId="3AF64347" w14:textId="77777777" w:rsidR="00352D6A" w:rsidRDefault="00352D6A">
            <w:pPr>
              <w:widowControl w:val="0"/>
              <w:spacing w:after="0" w:line="240" w:lineRule="auto"/>
              <w:rPr>
                <w:sz w:val="18"/>
                <w:szCs w:val="18"/>
              </w:rPr>
            </w:pPr>
          </w:p>
        </w:tc>
        <w:tc>
          <w:tcPr>
            <w:tcW w:w="1500" w:type="dxa"/>
          </w:tcPr>
          <w:p w14:paraId="147FD32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NDWI</w:t>
            </w:r>
          </w:p>
        </w:tc>
        <w:tc>
          <w:tcPr>
            <w:tcW w:w="1900" w:type="dxa"/>
          </w:tcPr>
          <w:p w14:paraId="06D39F1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+0.0006 (n=5)</w:t>
            </w:r>
          </w:p>
        </w:tc>
        <w:tc>
          <w:tcPr>
            <w:tcW w:w="1902" w:type="dxa"/>
          </w:tcPr>
          <w:p w14:paraId="7F8BD44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−0.0457 (n=4)</w:t>
            </w:r>
          </w:p>
        </w:tc>
        <w:tc>
          <w:tcPr>
            <w:tcW w:w="1900" w:type="dxa"/>
          </w:tcPr>
          <w:p w14:paraId="325AAEB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+0.0126 (n=4)</w:t>
            </w:r>
          </w:p>
        </w:tc>
      </w:tr>
      <w:tr w:rsidR="00352D6A" w14:paraId="1A145329" w14:textId="77777777">
        <w:tc>
          <w:tcPr>
            <w:tcW w:w="2198" w:type="dxa"/>
          </w:tcPr>
          <w:p w14:paraId="37F98CDA" w14:textId="77777777" w:rsidR="00352D6A" w:rsidRDefault="00352D6A">
            <w:pPr>
              <w:widowControl w:val="0"/>
              <w:spacing w:after="0" w:line="240" w:lineRule="auto"/>
              <w:rPr>
                <w:sz w:val="18"/>
                <w:szCs w:val="18"/>
              </w:rPr>
            </w:pPr>
          </w:p>
        </w:tc>
        <w:tc>
          <w:tcPr>
            <w:tcW w:w="1500" w:type="dxa"/>
          </w:tcPr>
          <w:p w14:paraId="7B9D68F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NDTI</w:t>
            </w:r>
          </w:p>
        </w:tc>
        <w:tc>
          <w:tcPr>
            <w:tcW w:w="1900" w:type="dxa"/>
          </w:tcPr>
          <w:p w14:paraId="60D11A3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−0.0052 (n=5)</w:t>
            </w:r>
          </w:p>
        </w:tc>
        <w:tc>
          <w:tcPr>
            <w:tcW w:w="1902" w:type="dxa"/>
          </w:tcPr>
          <w:p w14:paraId="50E83A5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+0.0408 (n=4)</w:t>
            </w:r>
          </w:p>
        </w:tc>
        <w:tc>
          <w:tcPr>
            <w:tcW w:w="1900" w:type="dxa"/>
          </w:tcPr>
          <w:p w14:paraId="78135E4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+0.0045 (n=4)</w:t>
            </w:r>
          </w:p>
        </w:tc>
      </w:tr>
      <w:tr w:rsidR="00352D6A" w14:paraId="034CC017" w14:textId="77777777">
        <w:tc>
          <w:tcPr>
            <w:tcW w:w="2198" w:type="dxa"/>
          </w:tcPr>
          <w:p w14:paraId="18C71A7F" w14:textId="77777777" w:rsidR="00352D6A" w:rsidRDefault="00000000">
            <w:pPr>
              <w:widowControl w:val="0"/>
              <w:spacing w:after="0" w:line="240" w:lineRule="auto"/>
              <w:rPr>
                <w:sz w:val="18"/>
                <w:szCs w:val="18"/>
              </w:rPr>
            </w:pPr>
            <w:r>
              <w:rPr>
                <w:rFonts w:ascii="Times New Roman" w:hAnsi="Times New Roman" w:cs="Times New Roman"/>
                <w:sz w:val="18"/>
                <w:szCs w:val="18"/>
              </w:rPr>
              <w:t>Tawa Reservoir</w:t>
            </w:r>
          </w:p>
        </w:tc>
        <w:tc>
          <w:tcPr>
            <w:tcW w:w="1500" w:type="dxa"/>
          </w:tcPr>
          <w:p w14:paraId="2950425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NDCI</w:t>
            </w:r>
          </w:p>
        </w:tc>
        <w:tc>
          <w:tcPr>
            <w:tcW w:w="1900" w:type="dxa"/>
          </w:tcPr>
          <w:p w14:paraId="070EEDE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+0.0045 (n=5)</w:t>
            </w:r>
          </w:p>
        </w:tc>
        <w:tc>
          <w:tcPr>
            <w:tcW w:w="1902" w:type="dxa"/>
          </w:tcPr>
          <w:p w14:paraId="62C8D9D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+0.0021 (n=5)</w:t>
            </w:r>
          </w:p>
        </w:tc>
        <w:tc>
          <w:tcPr>
            <w:tcW w:w="1900" w:type="dxa"/>
          </w:tcPr>
          <w:p w14:paraId="4E5A8FD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+0.0250 (n=3)</w:t>
            </w:r>
          </w:p>
        </w:tc>
      </w:tr>
      <w:tr w:rsidR="00352D6A" w14:paraId="191D842F" w14:textId="77777777">
        <w:tc>
          <w:tcPr>
            <w:tcW w:w="2198" w:type="dxa"/>
          </w:tcPr>
          <w:p w14:paraId="3271E070" w14:textId="77777777" w:rsidR="00352D6A" w:rsidRDefault="00352D6A">
            <w:pPr>
              <w:widowControl w:val="0"/>
              <w:spacing w:after="0" w:line="240" w:lineRule="auto"/>
              <w:rPr>
                <w:sz w:val="18"/>
                <w:szCs w:val="18"/>
              </w:rPr>
            </w:pPr>
          </w:p>
        </w:tc>
        <w:tc>
          <w:tcPr>
            <w:tcW w:w="1500" w:type="dxa"/>
          </w:tcPr>
          <w:p w14:paraId="55BBF75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NDVI</w:t>
            </w:r>
          </w:p>
        </w:tc>
        <w:tc>
          <w:tcPr>
            <w:tcW w:w="1900" w:type="dxa"/>
          </w:tcPr>
          <w:p w14:paraId="270D90F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+0.0128 (n=5)</w:t>
            </w:r>
          </w:p>
        </w:tc>
        <w:tc>
          <w:tcPr>
            <w:tcW w:w="1902" w:type="dxa"/>
          </w:tcPr>
          <w:p w14:paraId="4E800A7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+0.0289 (n=5)</w:t>
            </w:r>
          </w:p>
        </w:tc>
        <w:tc>
          <w:tcPr>
            <w:tcW w:w="1900" w:type="dxa"/>
          </w:tcPr>
          <w:p w14:paraId="211E0E7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+0.0965 (n=3)</w:t>
            </w:r>
          </w:p>
        </w:tc>
      </w:tr>
      <w:tr w:rsidR="00352D6A" w14:paraId="2E01E13F" w14:textId="77777777">
        <w:tc>
          <w:tcPr>
            <w:tcW w:w="2198" w:type="dxa"/>
          </w:tcPr>
          <w:p w14:paraId="1C64C536" w14:textId="77777777" w:rsidR="00352D6A" w:rsidRDefault="00352D6A">
            <w:pPr>
              <w:widowControl w:val="0"/>
              <w:spacing w:after="0" w:line="240" w:lineRule="auto"/>
              <w:rPr>
                <w:sz w:val="18"/>
                <w:szCs w:val="18"/>
              </w:rPr>
            </w:pPr>
          </w:p>
        </w:tc>
        <w:tc>
          <w:tcPr>
            <w:tcW w:w="1500" w:type="dxa"/>
          </w:tcPr>
          <w:p w14:paraId="60EE5CB1"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NDWI</w:t>
            </w:r>
          </w:p>
        </w:tc>
        <w:tc>
          <w:tcPr>
            <w:tcW w:w="1900" w:type="dxa"/>
          </w:tcPr>
          <w:p w14:paraId="3366D55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−0.0101 (n=5)</w:t>
            </w:r>
          </w:p>
        </w:tc>
        <w:tc>
          <w:tcPr>
            <w:tcW w:w="1902" w:type="dxa"/>
          </w:tcPr>
          <w:p w14:paraId="0B13E2D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−0.0238 (n=5)</w:t>
            </w:r>
          </w:p>
        </w:tc>
        <w:tc>
          <w:tcPr>
            <w:tcW w:w="1900" w:type="dxa"/>
          </w:tcPr>
          <w:p w14:paraId="14F249B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−0.1258 (n=3)</w:t>
            </w:r>
          </w:p>
        </w:tc>
      </w:tr>
      <w:tr w:rsidR="00352D6A" w14:paraId="6FACA0BA" w14:textId="77777777">
        <w:tc>
          <w:tcPr>
            <w:tcW w:w="2198" w:type="dxa"/>
          </w:tcPr>
          <w:p w14:paraId="192AEE7A" w14:textId="77777777" w:rsidR="00352D6A" w:rsidRDefault="00352D6A">
            <w:pPr>
              <w:widowControl w:val="0"/>
              <w:spacing w:after="0" w:line="240" w:lineRule="auto"/>
              <w:rPr>
                <w:sz w:val="18"/>
                <w:szCs w:val="18"/>
              </w:rPr>
            </w:pPr>
          </w:p>
        </w:tc>
        <w:tc>
          <w:tcPr>
            <w:tcW w:w="1500" w:type="dxa"/>
          </w:tcPr>
          <w:p w14:paraId="1F0B87D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NDTI</w:t>
            </w:r>
          </w:p>
        </w:tc>
        <w:tc>
          <w:tcPr>
            <w:tcW w:w="1900" w:type="dxa"/>
          </w:tcPr>
          <w:p w14:paraId="18668AC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−0.0017 (n=5)</w:t>
            </w:r>
          </w:p>
        </w:tc>
        <w:tc>
          <w:tcPr>
            <w:tcW w:w="1902" w:type="dxa"/>
          </w:tcPr>
          <w:p w14:paraId="30E61DE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−0.0038 (n=5)</w:t>
            </w:r>
          </w:p>
        </w:tc>
        <w:tc>
          <w:tcPr>
            <w:tcW w:w="1900" w:type="dxa"/>
          </w:tcPr>
          <w:p w14:paraId="0715F034"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+0.0311 (n=3)</w:t>
            </w:r>
          </w:p>
        </w:tc>
      </w:tr>
      <w:tr w:rsidR="00352D6A" w14:paraId="5F71D350" w14:textId="77777777">
        <w:tc>
          <w:tcPr>
            <w:tcW w:w="2198" w:type="dxa"/>
          </w:tcPr>
          <w:p w14:paraId="4C9EF55B" w14:textId="77777777" w:rsidR="00352D6A" w:rsidRDefault="00000000">
            <w:pPr>
              <w:widowControl w:val="0"/>
              <w:spacing w:after="0" w:line="240" w:lineRule="auto"/>
              <w:rPr>
                <w:sz w:val="18"/>
                <w:szCs w:val="18"/>
              </w:rPr>
            </w:pPr>
            <w:r>
              <w:rPr>
                <w:rFonts w:ascii="Times New Roman" w:hAnsi="Times New Roman" w:cs="Times New Roman"/>
                <w:sz w:val="18"/>
                <w:szCs w:val="18"/>
              </w:rPr>
              <w:t>Tso Morari</w:t>
            </w:r>
          </w:p>
        </w:tc>
        <w:tc>
          <w:tcPr>
            <w:tcW w:w="1500" w:type="dxa"/>
          </w:tcPr>
          <w:p w14:paraId="09379295"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NDCI</w:t>
            </w:r>
          </w:p>
        </w:tc>
        <w:tc>
          <w:tcPr>
            <w:tcW w:w="1900" w:type="dxa"/>
          </w:tcPr>
          <w:p w14:paraId="33FF0E8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+0.0171 (n=5)</w:t>
            </w:r>
          </w:p>
        </w:tc>
        <w:tc>
          <w:tcPr>
            <w:tcW w:w="1902" w:type="dxa"/>
          </w:tcPr>
          <w:p w14:paraId="5ADD5E4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+0.0105 (n=3)</w:t>
            </w:r>
          </w:p>
        </w:tc>
        <w:tc>
          <w:tcPr>
            <w:tcW w:w="1900" w:type="dxa"/>
          </w:tcPr>
          <w:p w14:paraId="7976D90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0.0008 (n=2)</w:t>
            </w:r>
          </w:p>
        </w:tc>
      </w:tr>
      <w:tr w:rsidR="00352D6A" w14:paraId="073978DA" w14:textId="77777777">
        <w:tc>
          <w:tcPr>
            <w:tcW w:w="2198" w:type="dxa"/>
          </w:tcPr>
          <w:p w14:paraId="2CC48D30" w14:textId="77777777" w:rsidR="00352D6A" w:rsidRDefault="00352D6A">
            <w:pPr>
              <w:widowControl w:val="0"/>
              <w:spacing w:after="0" w:line="240" w:lineRule="auto"/>
              <w:rPr>
                <w:sz w:val="18"/>
                <w:szCs w:val="18"/>
              </w:rPr>
            </w:pPr>
          </w:p>
        </w:tc>
        <w:tc>
          <w:tcPr>
            <w:tcW w:w="1500" w:type="dxa"/>
          </w:tcPr>
          <w:p w14:paraId="0B693E3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NDVI</w:t>
            </w:r>
          </w:p>
        </w:tc>
        <w:tc>
          <w:tcPr>
            <w:tcW w:w="1900" w:type="dxa"/>
          </w:tcPr>
          <w:p w14:paraId="5F8453F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+0.0072 (n=5)</w:t>
            </w:r>
          </w:p>
        </w:tc>
        <w:tc>
          <w:tcPr>
            <w:tcW w:w="1902" w:type="dxa"/>
          </w:tcPr>
          <w:p w14:paraId="72951279"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+0.0037 (n=3)</w:t>
            </w:r>
          </w:p>
        </w:tc>
        <w:tc>
          <w:tcPr>
            <w:tcW w:w="1900" w:type="dxa"/>
          </w:tcPr>
          <w:p w14:paraId="5BF2A89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+0.0161 (n=2)</w:t>
            </w:r>
          </w:p>
        </w:tc>
      </w:tr>
      <w:tr w:rsidR="00352D6A" w14:paraId="559D479D" w14:textId="77777777">
        <w:tc>
          <w:tcPr>
            <w:tcW w:w="2198" w:type="dxa"/>
          </w:tcPr>
          <w:p w14:paraId="42DE032F" w14:textId="77777777" w:rsidR="00352D6A" w:rsidRDefault="00352D6A">
            <w:pPr>
              <w:widowControl w:val="0"/>
              <w:spacing w:after="0" w:line="240" w:lineRule="auto"/>
              <w:rPr>
                <w:sz w:val="18"/>
                <w:szCs w:val="18"/>
              </w:rPr>
            </w:pPr>
          </w:p>
        </w:tc>
        <w:tc>
          <w:tcPr>
            <w:tcW w:w="1500" w:type="dxa"/>
          </w:tcPr>
          <w:p w14:paraId="5A2D008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NDWI</w:t>
            </w:r>
          </w:p>
        </w:tc>
        <w:tc>
          <w:tcPr>
            <w:tcW w:w="1900" w:type="dxa"/>
          </w:tcPr>
          <w:p w14:paraId="0B7B49A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−0.0071 (n=5)</w:t>
            </w:r>
          </w:p>
        </w:tc>
        <w:tc>
          <w:tcPr>
            <w:tcW w:w="1902" w:type="dxa"/>
          </w:tcPr>
          <w:p w14:paraId="13C5BED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+0.0053 (n=3)</w:t>
            </w:r>
          </w:p>
        </w:tc>
        <w:tc>
          <w:tcPr>
            <w:tcW w:w="1900" w:type="dxa"/>
          </w:tcPr>
          <w:p w14:paraId="243663B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+0.0001 (n=2)</w:t>
            </w:r>
          </w:p>
        </w:tc>
      </w:tr>
      <w:tr w:rsidR="00352D6A" w14:paraId="63954A31" w14:textId="77777777">
        <w:tc>
          <w:tcPr>
            <w:tcW w:w="2198" w:type="dxa"/>
          </w:tcPr>
          <w:p w14:paraId="0DD138D7" w14:textId="77777777" w:rsidR="00352D6A" w:rsidRDefault="00352D6A">
            <w:pPr>
              <w:widowControl w:val="0"/>
              <w:spacing w:after="0" w:line="240" w:lineRule="auto"/>
              <w:rPr>
                <w:sz w:val="18"/>
                <w:szCs w:val="18"/>
              </w:rPr>
            </w:pPr>
          </w:p>
        </w:tc>
        <w:tc>
          <w:tcPr>
            <w:tcW w:w="1500" w:type="dxa"/>
          </w:tcPr>
          <w:p w14:paraId="2E7E4BA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NDTI</w:t>
            </w:r>
          </w:p>
        </w:tc>
        <w:tc>
          <w:tcPr>
            <w:tcW w:w="1900" w:type="dxa"/>
          </w:tcPr>
          <w:p w14:paraId="3E29EED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+0.0003 (n=5)</w:t>
            </w:r>
          </w:p>
        </w:tc>
        <w:tc>
          <w:tcPr>
            <w:tcW w:w="1902" w:type="dxa"/>
          </w:tcPr>
          <w:p w14:paraId="69BC4A0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−0.0107 (n=3)</w:t>
            </w:r>
          </w:p>
        </w:tc>
        <w:tc>
          <w:tcPr>
            <w:tcW w:w="1900" w:type="dxa"/>
          </w:tcPr>
          <w:p w14:paraId="7771CB68"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−0.0173 (n=2)</w:t>
            </w:r>
          </w:p>
        </w:tc>
      </w:tr>
      <w:tr w:rsidR="00352D6A" w14:paraId="44B3E1ED" w14:textId="77777777">
        <w:tc>
          <w:tcPr>
            <w:tcW w:w="2198" w:type="dxa"/>
          </w:tcPr>
          <w:p w14:paraId="714C2BEA" w14:textId="77777777" w:rsidR="00352D6A" w:rsidRDefault="00000000">
            <w:pPr>
              <w:widowControl w:val="0"/>
              <w:spacing w:after="0" w:line="240" w:lineRule="auto"/>
              <w:rPr>
                <w:sz w:val="18"/>
                <w:szCs w:val="18"/>
              </w:rPr>
            </w:pPr>
            <w:r>
              <w:rPr>
                <w:rFonts w:ascii="Times New Roman" w:hAnsi="Times New Roman" w:cs="Times New Roman"/>
                <w:sz w:val="18"/>
                <w:szCs w:val="18"/>
              </w:rPr>
              <w:t>Sasthamcotta Lake</w:t>
            </w:r>
          </w:p>
        </w:tc>
        <w:tc>
          <w:tcPr>
            <w:tcW w:w="1500" w:type="dxa"/>
          </w:tcPr>
          <w:p w14:paraId="123DA25A"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NDCI</w:t>
            </w:r>
          </w:p>
        </w:tc>
        <w:tc>
          <w:tcPr>
            <w:tcW w:w="1900" w:type="dxa"/>
          </w:tcPr>
          <w:p w14:paraId="618A115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+0.0229 (n=5)</w:t>
            </w:r>
          </w:p>
        </w:tc>
        <w:tc>
          <w:tcPr>
            <w:tcW w:w="1902" w:type="dxa"/>
          </w:tcPr>
          <w:p w14:paraId="08C8FF3F"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+0.0011 (n=3)</w:t>
            </w:r>
          </w:p>
        </w:tc>
        <w:tc>
          <w:tcPr>
            <w:tcW w:w="1900" w:type="dxa"/>
          </w:tcPr>
          <w:p w14:paraId="21F4BAE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(n=1)</w:t>
            </w:r>
          </w:p>
        </w:tc>
      </w:tr>
      <w:tr w:rsidR="00352D6A" w14:paraId="13E019CD" w14:textId="77777777">
        <w:tc>
          <w:tcPr>
            <w:tcW w:w="2198" w:type="dxa"/>
          </w:tcPr>
          <w:p w14:paraId="43EF140B" w14:textId="77777777" w:rsidR="00352D6A" w:rsidRDefault="00352D6A">
            <w:pPr>
              <w:widowControl w:val="0"/>
              <w:spacing w:after="0" w:line="240" w:lineRule="auto"/>
              <w:rPr>
                <w:sz w:val="18"/>
                <w:szCs w:val="18"/>
              </w:rPr>
            </w:pPr>
          </w:p>
        </w:tc>
        <w:tc>
          <w:tcPr>
            <w:tcW w:w="1500" w:type="dxa"/>
          </w:tcPr>
          <w:p w14:paraId="45E0C6C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NDVI</w:t>
            </w:r>
          </w:p>
        </w:tc>
        <w:tc>
          <w:tcPr>
            <w:tcW w:w="1900" w:type="dxa"/>
          </w:tcPr>
          <w:p w14:paraId="5B35D55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+0.0761 (n=5)</w:t>
            </w:r>
          </w:p>
        </w:tc>
        <w:tc>
          <w:tcPr>
            <w:tcW w:w="1902" w:type="dxa"/>
          </w:tcPr>
          <w:p w14:paraId="3B476FA2"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+0.0196 (n=3)</w:t>
            </w:r>
          </w:p>
        </w:tc>
        <w:tc>
          <w:tcPr>
            <w:tcW w:w="1900" w:type="dxa"/>
          </w:tcPr>
          <w:p w14:paraId="3E9276B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(n=1)</w:t>
            </w:r>
          </w:p>
        </w:tc>
      </w:tr>
      <w:tr w:rsidR="00352D6A" w14:paraId="199A4EDA" w14:textId="77777777">
        <w:tc>
          <w:tcPr>
            <w:tcW w:w="2198" w:type="dxa"/>
          </w:tcPr>
          <w:p w14:paraId="174A9B7A" w14:textId="77777777" w:rsidR="00352D6A" w:rsidRDefault="00352D6A">
            <w:pPr>
              <w:widowControl w:val="0"/>
              <w:spacing w:after="0" w:line="240" w:lineRule="auto"/>
              <w:rPr>
                <w:sz w:val="18"/>
                <w:szCs w:val="18"/>
              </w:rPr>
            </w:pPr>
          </w:p>
        </w:tc>
        <w:tc>
          <w:tcPr>
            <w:tcW w:w="1500" w:type="dxa"/>
          </w:tcPr>
          <w:p w14:paraId="243B4E2B"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NDWI</w:t>
            </w:r>
          </w:p>
        </w:tc>
        <w:tc>
          <w:tcPr>
            <w:tcW w:w="1900" w:type="dxa"/>
          </w:tcPr>
          <w:p w14:paraId="12329FF7"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−0.0997 (n=5)</w:t>
            </w:r>
          </w:p>
        </w:tc>
        <w:tc>
          <w:tcPr>
            <w:tcW w:w="1902" w:type="dxa"/>
          </w:tcPr>
          <w:p w14:paraId="3B2F8020"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−0.0245 (n=3)</w:t>
            </w:r>
          </w:p>
        </w:tc>
        <w:tc>
          <w:tcPr>
            <w:tcW w:w="1900" w:type="dxa"/>
          </w:tcPr>
          <w:p w14:paraId="28532AB6"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(n=1)</w:t>
            </w:r>
          </w:p>
        </w:tc>
      </w:tr>
      <w:tr w:rsidR="00352D6A" w14:paraId="1061ABAE" w14:textId="77777777">
        <w:tc>
          <w:tcPr>
            <w:tcW w:w="2198" w:type="dxa"/>
            <w:tcBorders>
              <w:bottom w:val="single" w:sz="8" w:space="0" w:color="000000"/>
            </w:tcBorders>
          </w:tcPr>
          <w:p w14:paraId="4FCFC6A7" w14:textId="77777777" w:rsidR="00352D6A" w:rsidRDefault="00352D6A">
            <w:pPr>
              <w:widowControl w:val="0"/>
              <w:spacing w:after="0" w:line="240" w:lineRule="auto"/>
              <w:rPr>
                <w:sz w:val="18"/>
                <w:szCs w:val="18"/>
              </w:rPr>
            </w:pPr>
          </w:p>
        </w:tc>
        <w:tc>
          <w:tcPr>
            <w:tcW w:w="1500" w:type="dxa"/>
            <w:tcBorders>
              <w:bottom w:val="single" w:sz="8" w:space="0" w:color="000000"/>
            </w:tcBorders>
          </w:tcPr>
          <w:p w14:paraId="7104DD1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NDTI</w:t>
            </w:r>
          </w:p>
        </w:tc>
        <w:tc>
          <w:tcPr>
            <w:tcW w:w="1900" w:type="dxa"/>
            <w:tcBorders>
              <w:bottom w:val="single" w:sz="8" w:space="0" w:color="000000"/>
            </w:tcBorders>
          </w:tcPr>
          <w:p w14:paraId="62A3A9AE"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+0.0316 (n=5)</w:t>
            </w:r>
          </w:p>
        </w:tc>
        <w:tc>
          <w:tcPr>
            <w:tcW w:w="1902" w:type="dxa"/>
            <w:tcBorders>
              <w:bottom w:val="single" w:sz="8" w:space="0" w:color="000000"/>
            </w:tcBorders>
          </w:tcPr>
          <w:p w14:paraId="3BB153B3"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+0.0060 (n=3)</w:t>
            </w:r>
          </w:p>
        </w:tc>
        <w:tc>
          <w:tcPr>
            <w:tcW w:w="1900" w:type="dxa"/>
            <w:tcBorders>
              <w:bottom w:val="single" w:sz="8" w:space="0" w:color="000000"/>
            </w:tcBorders>
          </w:tcPr>
          <w:p w14:paraId="1CE4CB8D" w14:textId="77777777" w:rsidR="00352D6A" w:rsidRDefault="00000000">
            <w:pPr>
              <w:widowControl w:val="0"/>
              <w:spacing w:after="0" w:line="240" w:lineRule="auto"/>
              <w:jc w:val="center"/>
              <w:rPr>
                <w:sz w:val="18"/>
                <w:szCs w:val="18"/>
              </w:rPr>
            </w:pPr>
            <w:r>
              <w:rPr>
                <w:rFonts w:ascii="Times New Roman" w:hAnsi="Times New Roman" w:cs="Times New Roman"/>
                <w:sz w:val="18"/>
                <w:szCs w:val="18"/>
              </w:rPr>
              <w:t>? (n=1)</w:t>
            </w:r>
          </w:p>
        </w:tc>
      </w:tr>
    </w:tbl>
    <w:p w14:paraId="0E03E251" w14:textId="77777777" w:rsidR="00352D6A" w:rsidRDefault="00000000">
      <w:pPr>
        <w:spacing w:before="60" w:after="120"/>
        <w:jc w:val="both"/>
      </w:pPr>
      <w:r>
        <w:rPr>
          <w:rFonts w:ascii="Times New Roman" w:hAnsi="Times New Roman" w:cs="Times New Roman"/>
          <w:i/>
          <w:iCs/>
          <w:sz w:val="18"/>
          <w:szCs w:val="18"/>
        </w:rPr>
        <w:t xml:space="preserve">Note. </w:t>
      </w:r>
      <w:r>
        <w:rPr>
          <w:rFonts w:ascii="Times New Roman" w:hAnsi="Times New Roman" w:cs="Times New Roman"/>
          <w:sz w:val="18"/>
          <w:szCs w:val="18"/>
        </w:rPr>
        <w:t>Each cell gives the direction (↑ increase, ↓ decrease, → stable, ? uncertain), the rank-weighted change Σ, and the number of contributing analogs n. The threshold τ is specific to each index and horizon (half the cohort median absolute change over that horizon); τ for 2026/2027/2028: NDCI 0.011/0.013/0.014; NDVI 0.029/0.033/0.037; NDWI 0.035/0.042/0.045; NDTI 0.015/0.017/0.017. Fewer than two analogs gives an uncertain classification. Totals: 10 ↑, 3 ↓, 43 →, 4 ? (60 cells).</w:t>
      </w:r>
    </w:p>
    <w:p w14:paraId="460E086E" w14:textId="77777777" w:rsidR="00352D6A" w:rsidRDefault="00352D6A">
      <w:pPr>
        <w:spacing w:before="360"/>
        <w:jc w:val="center"/>
        <w:rPr>
          <w:rFonts w:ascii="Times New Roman" w:hAnsi="Times New Roman" w:cs="Times New Roman"/>
          <w:b/>
          <w:bCs/>
          <w:sz w:val="20"/>
          <w:szCs w:val="20"/>
        </w:rPr>
      </w:pPr>
    </w:p>
    <w:p w14:paraId="71B30190" w14:textId="77777777" w:rsidR="001203CD" w:rsidRDefault="001203CD" w:rsidP="001203CD">
      <w:pPr>
        <w:spacing w:before="360"/>
        <w:rPr>
          <w:rFonts w:ascii="Times New Roman" w:hAnsi="Times New Roman" w:cs="Times New Roman"/>
          <w:b/>
          <w:bCs/>
          <w:sz w:val="20"/>
          <w:szCs w:val="20"/>
        </w:rPr>
      </w:pPr>
    </w:p>
    <w:p w14:paraId="06A6C7C9" w14:textId="1E605BEB" w:rsidR="00352D6A" w:rsidRDefault="00000000" w:rsidP="001203CD">
      <w:pPr>
        <w:spacing w:before="360"/>
        <w:jc w:val="center"/>
      </w:pPr>
      <w:r>
        <w:rPr>
          <w:rFonts w:ascii="Times New Roman" w:hAnsi="Times New Roman" w:cs="Times New Roman"/>
          <w:b/>
          <w:bCs/>
          <w:sz w:val="20"/>
          <w:szCs w:val="20"/>
        </w:rPr>
        <w:lastRenderedPageBreak/>
        <w:t>Figure Captions</w:t>
      </w:r>
    </w:p>
    <w:p w14:paraId="474B1627" w14:textId="77777777" w:rsidR="00352D6A" w:rsidRDefault="00000000">
      <w:pPr>
        <w:keepNext/>
        <w:spacing w:after="120"/>
        <w:jc w:val="center"/>
      </w:pPr>
      <w:r>
        <w:rPr>
          <w:noProof/>
        </w:rPr>
        <w:drawing>
          <wp:inline distT="0" distB="0" distL="0" distR="0" wp14:anchorId="13298A84" wp14:editId="3BB3975C">
            <wp:extent cx="5206365" cy="7456805"/>
            <wp:effectExtent l="0" t="0" r="0" b="0"/>
            <wp:docPr id="1" name="Figure 1" descr="EcoTwin offline processing workflow applied to a synthetic lake: lake synchronisation, imagery acquisition, tile merging, embedding generation, embedding re-blending, and lake-featur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EcoTwin offline processing workflow applied to a synthetic lake: lake synchronisation, imagery acquisition, tile merging, embedding generation, embedding re-blending, and lake-feature generation."/>
                    <pic:cNvPicPr>
                      <a:picLocks noChangeAspect="1" noChangeArrowheads="1"/>
                    </pic:cNvPicPr>
                  </pic:nvPicPr>
                  <pic:blipFill>
                    <a:blip r:embed="rId31"/>
                    <a:stretch>
                      <a:fillRect/>
                    </a:stretch>
                  </pic:blipFill>
                  <pic:spPr bwMode="auto">
                    <a:xfrm>
                      <a:off x="0" y="0"/>
                      <a:ext cx="5206365" cy="7456805"/>
                    </a:xfrm>
                    <a:prstGeom prst="rect">
                      <a:avLst/>
                    </a:prstGeom>
                  </pic:spPr>
                </pic:pic>
              </a:graphicData>
            </a:graphic>
          </wp:inline>
        </w:drawing>
      </w:r>
    </w:p>
    <w:p w14:paraId="269DAF7C" w14:textId="77777777" w:rsidR="00352D6A" w:rsidRDefault="00000000">
      <w:pPr>
        <w:spacing w:before="60" w:after="120"/>
        <w:jc w:val="both"/>
      </w:pPr>
      <w:r>
        <w:rPr>
          <w:rFonts w:ascii="Times New Roman" w:hAnsi="Times New Roman" w:cs="Times New Roman"/>
          <w:b/>
          <w:bCs/>
          <w:sz w:val="20"/>
          <w:szCs w:val="20"/>
        </w:rPr>
        <w:t xml:space="preserve">Figure 1. </w:t>
      </w:r>
      <w:r>
        <w:rPr>
          <w:rFonts w:ascii="Times New Roman" w:hAnsi="Times New Roman" w:cs="Times New Roman"/>
          <w:sz w:val="20"/>
          <w:szCs w:val="20"/>
        </w:rPr>
        <w:t>EcoTwin offline processing workflow: lake synchronisation, imagery acquisition, tile merging, embedding generation, embedding re-blending, and lake-feature generation.</w:t>
      </w:r>
    </w:p>
    <w:p w14:paraId="0A61EF4F" w14:textId="77777777" w:rsidR="00352D6A" w:rsidRDefault="00000000">
      <w:pPr>
        <w:keepNext/>
        <w:spacing w:after="120"/>
        <w:jc w:val="center"/>
      </w:pPr>
      <w:r>
        <w:rPr>
          <w:noProof/>
        </w:rPr>
        <w:lastRenderedPageBreak/>
        <w:drawing>
          <wp:inline distT="0" distB="0" distL="0" distR="0" wp14:anchorId="73C2811B" wp14:editId="07DFDD1A">
            <wp:extent cx="5731510" cy="3474720"/>
            <wp:effectExtent l="0" t="0" r="0" b="0"/>
            <wp:docPr id="2" name="Figure 3" descr="EcoTwin system components and their communication: React frontend, FastAPI backend with online analysis services and offline pipeline background tasks, GeoTIFF file store, in-process Prithvi encoder, Google Earth Engine, and PostgreSQL with PostGIS and pg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3" descr="EcoTwin system components and their communication: React frontend, FastAPI backend with online analysis services and offline pipeline background tasks, GeoTIFF file store, in-process Prithvi encoder, Google Earth Engine, and PostgreSQL with PostGIS and pgvector."/>
                    <pic:cNvPicPr>
                      <a:picLocks noChangeAspect="1" noChangeArrowheads="1"/>
                    </pic:cNvPicPr>
                  </pic:nvPicPr>
                  <pic:blipFill>
                    <a:blip r:embed="rId32"/>
                    <a:stretch>
                      <a:fillRect/>
                    </a:stretch>
                  </pic:blipFill>
                  <pic:spPr bwMode="auto">
                    <a:xfrm>
                      <a:off x="0" y="0"/>
                      <a:ext cx="5731510" cy="3474720"/>
                    </a:xfrm>
                    <a:prstGeom prst="rect">
                      <a:avLst/>
                    </a:prstGeom>
                  </pic:spPr>
                </pic:pic>
              </a:graphicData>
            </a:graphic>
          </wp:inline>
        </w:drawing>
      </w:r>
    </w:p>
    <w:p w14:paraId="6A265335" w14:textId="77777777" w:rsidR="00352D6A" w:rsidRDefault="00000000">
      <w:pPr>
        <w:spacing w:before="60" w:after="120"/>
        <w:jc w:val="both"/>
        <w:rPr>
          <w:rFonts w:ascii="Times New Roman" w:hAnsi="Times New Roman" w:cs="Times New Roman"/>
          <w:sz w:val="20"/>
          <w:szCs w:val="20"/>
        </w:rPr>
      </w:pPr>
      <w:r>
        <w:rPr>
          <w:rFonts w:ascii="Times New Roman" w:hAnsi="Times New Roman" w:cs="Times New Roman"/>
          <w:b/>
          <w:bCs/>
          <w:sz w:val="20"/>
          <w:szCs w:val="20"/>
        </w:rPr>
        <w:t xml:space="preserve">Figure 2. </w:t>
      </w:r>
      <w:r>
        <w:rPr>
          <w:rFonts w:ascii="Times New Roman" w:hAnsi="Times New Roman" w:cs="Times New Roman"/>
          <w:sz w:val="20"/>
          <w:szCs w:val="20"/>
        </w:rPr>
        <w:t>Principal system components (frontend, FastAPI backend, PostgreSQL with PostGIS and pgvector, Google Earth Engine, and the Prithvi encoder) and their communication.</w:t>
      </w:r>
    </w:p>
    <w:p w14:paraId="420B8811" w14:textId="77777777" w:rsidR="001203CD" w:rsidRDefault="001203CD">
      <w:pPr>
        <w:spacing w:before="60" w:after="120"/>
        <w:jc w:val="both"/>
        <w:rPr>
          <w:rFonts w:ascii="Times New Roman" w:hAnsi="Times New Roman" w:cs="Times New Roman"/>
          <w:sz w:val="20"/>
          <w:szCs w:val="20"/>
        </w:rPr>
      </w:pPr>
    </w:p>
    <w:p w14:paraId="0E9888A1" w14:textId="77777777" w:rsidR="001203CD" w:rsidRDefault="001203CD">
      <w:pPr>
        <w:spacing w:before="60" w:after="120"/>
        <w:jc w:val="both"/>
        <w:rPr>
          <w:rFonts w:ascii="Times New Roman" w:hAnsi="Times New Roman" w:cs="Times New Roman"/>
          <w:sz w:val="20"/>
          <w:szCs w:val="20"/>
        </w:rPr>
      </w:pPr>
    </w:p>
    <w:p w14:paraId="5B530A38" w14:textId="77777777" w:rsidR="00352D6A" w:rsidRDefault="00000000">
      <w:pPr>
        <w:spacing w:before="60" w:after="120"/>
        <w:jc w:val="center"/>
      </w:pPr>
      <w:r>
        <w:rPr>
          <w:noProof/>
        </w:rPr>
        <w:drawing>
          <wp:inline distT="0" distB="0" distL="0" distR="0" wp14:anchorId="3231DE53" wp14:editId="3E2AF29D">
            <wp:extent cx="4445000" cy="274574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33"/>
                    <a:srcRect t="16022"/>
                    <a:stretch>
                      <a:fillRect/>
                    </a:stretch>
                  </pic:blipFill>
                  <pic:spPr bwMode="auto">
                    <a:xfrm>
                      <a:off x="0" y="0"/>
                      <a:ext cx="4445000" cy="2745740"/>
                    </a:xfrm>
                    <a:prstGeom prst="rect">
                      <a:avLst/>
                    </a:prstGeom>
                  </pic:spPr>
                </pic:pic>
              </a:graphicData>
            </a:graphic>
          </wp:inline>
        </w:drawing>
      </w:r>
    </w:p>
    <w:p w14:paraId="1BBBEAC0" w14:textId="77777777" w:rsidR="00352D6A" w:rsidRDefault="00000000">
      <w:pPr>
        <w:spacing w:before="60" w:after="120"/>
        <w:jc w:val="both"/>
      </w:pPr>
      <w:r>
        <w:rPr>
          <w:rFonts w:ascii="Times New Roman" w:hAnsi="Times New Roman" w:cs="Times New Roman"/>
          <w:b/>
          <w:bCs/>
          <w:sz w:val="20"/>
          <w:szCs w:val="20"/>
        </w:rPr>
        <w:t xml:space="preserve">Figure 3. </w:t>
      </w:r>
      <w:r>
        <w:rPr>
          <w:rFonts w:ascii="Times New Roman" w:hAnsi="Times New Roman" w:cs="Times New Roman"/>
          <w:sz w:val="20"/>
          <w:szCs w:val="20"/>
        </w:rPr>
        <w:t>Chilika Lake boundary in the EcoTwin application.</w:t>
      </w:r>
    </w:p>
    <w:sectPr w:rsidR="00352D6A">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6A"/>
    <w:rsid w:val="000F7DAA"/>
    <w:rsid w:val="001203CD"/>
    <w:rsid w:val="00352D6A"/>
    <w:rsid w:val="00945BED"/>
    <w:rsid w:val="00E63FD2"/>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E10E"/>
  <w15:docId w15:val="{0D4D181A-4957-4D90-B456-27CCA821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D96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6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6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96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qFormat/>
    <w:rsid w:val="00D96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D96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96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96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96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96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96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96F0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96F0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96F0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96F07"/>
    <w:rPr>
      <w:i/>
      <w:iCs/>
      <w:color w:val="404040" w:themeColor="text1" w:themeTint="BF"/>
    </w:rPr>
  </w:style>
  <w:style w:type="character" w:styleId="IntenseEmphasis">
    <w:name w:val="Intense Emphasis"/>
    <w:basedOn w:val="DefaultParagraphFont"/>
    <w:uiPriority w:val="21"/>
    <w:qFormat/>
    <w:rsid w:val="00D96F07"/>
    <w:rPr>
      <w:i/>
      <w:iCs/>
      <w:color w:val="0F4761" w:themeColor="accent1" w:themeShade="BF"/>
    </w:rPr>
  </w:style>
  <w:style w:type="character" w:customStyle="1" w:styleId="IntenseQuoteChar">
    <w:name w:val="Intense Quote Char"/>
    <w:basedOn w:val="DefaultParagraphFont"/>
    <w:link w:val="IntenseQuote"/>
    <w:uiPriority w:val="30"/>
    <w:qFormat/>
    <w:rsid w:val="00D96F07"/>
    <w:rPr>
      <w:i/>
      <w:iCs/>
      <w:color w:val="0F4761" w:themeColor="accent1" w:themeShade="BF"/>
    </w:rPr>
  </w:style>
  <w:style w:type="character" w:styleId="IntenseReference">
    <w:name w:val="Intense Reference"/>
    <w:basedOn w:val="DefaultParagraphFont"/>
    <w:uiPriority w:val="32"/>
    <w:qFormat/>
    <w:rsid w:val="00D96F07"/>
    <w:rPr>
      <w:b/>
      <w:bCs/>
      <w:smallCaps/>
      <w:color w:val="0F4761" w:themeColor="accent1" w:themeShade="BF"/>
      <w:spacing w:val="5"/>
    </w:rPr>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D96F0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96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F07"/>
    <w:pPr>
      <w:spacing w:before="160"/>
      <w:jc w:val="center"/>
    </w:pPr>
    <w:rPr>
      <w:i/>
      <w:iCs/>
      <w:color w:val="404040" w:themeColor="text1" w:themeTint="BF"/>
    </w:rPr>
  </w:style>
  <w:style w:type="paragraph" w:styleId="ListParagraph">
    <w:name w:val="List Paragraph"/>
    <w:basedOn w:val="Normal"/>
    <w:uiPriority w:val="34"/>
    <w:qFormat/>
    <w:rsid w:val="00D96F07"/>
    <w:pPr>
      <w:ind w:left="720"/>
      <w:contextualSpacing/>
    </w:pPr>
  </w:style>
  <w:style w:type="paragraph" w:styleId="IntenseQuote">
    <w:name w:val="Intense Quote"/>
    <w:basedOn w:val="Normal"/>
    <w:next w:val="Normal"/>
    <w:link w:val="IntenseQuoteChar"/>
    <w:uiPriority w:val="30"/>
    <w:qFormat/>
    <w:rsid w:val="00D96F07"/>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customStyle="1" w:styleId="APAEquation">
    <w:name w:val="APA Equation"/>
    <w:basedOn w:val="Normal"/>
    <w:qFormat/>
    <w:rsid w:val="00C863A1"/>
    <w:pPr>
      <w:spacing w:before="120" w:after="120" w:line="240" w:lineRule="auto"/>
      <w:jc w:val="center"/>
    </w:pPr>
    <w:rPr>
      <w:rFonts w:ascii="Times New Roman" w:eastAsia="Times New Roman" w:hAnsi="Times New Roman"/>
      <w:kern w:val="0"/>
      <w:szCs w:val="22"/>
      <w:lang w:val="en-US"/>
      <w14:ligatures w14:val="none"/>
    </w:rPr>
  </w:style>
  <w:style w:type="paragraph" w:styleId="NormalWeb">
    <w:name w:val="Normal (Web)"/>
    <w:basedOn w:val="Normal"/>
    <w:uiPriority w:val="99"/>
    <w:semiHidden/>
    <w:unhideWhenUsed/>
    <w:qFormat/>
    <w:rsid w:val="005002E9"/>
    <w:rPr>
      <w:rFonts w:ascii="Times New Roman" w:hAnsi="Times New Roman" w:cs="Times New Roman"/>
    </w:rPr>
  </w:style>
  <w:style w:type="paragraph" w:customStyle="1" w:styleId="APAH1">
    <w:name w:val="APA H1"/>
    <w:basedOn w:val="Normal"/>
    <w:qFormat/>
    <w:rsid w:val="001F6B11"/>
    <w:pPr>
      <w:keepNext/>
      <w:spacing w:after="0" w:line="480" w:lineRule="auto"/>
      <w:jc w:val="center"/>
    </w:pPr>
    <w:rPr>
      <w:rFonts w:ascii="Times New Roman" w:eastAsia="Times New Roman" w:hAnsi="Times New Roman"/>
      <w:b/>
      <w:kern w:val="0"/>
      <w:szCs w:val="22"/>
      <w:lang w:val="en-US"/>
      <w14:ligatures w14:val="none"/>
    </w:rPr>
  </w:style>
  <w:style w:type="paragraph" w:customStyle="1" w:styleId="APABodyNoIndent">
    <w:name w:val="APA Body NoIndent"/>
    <w:basedOn w:val="Normal"/>
    <w:qFormat/>
    <w:rsid w:val="001F6B11"/>
    <w:pPr>
      <w:spacing w:after="0" w:line="480" w:lineRule="auto"/>
    </w:pPr>
    <w:rPr>
      <w:rFonts w:ascii="Times New Roman" w:eastAsia="Times New Roman" w:hAnsi="Times New Roman"/>
      <w:kern w:val="0"/>
      <w:szCs w:val="22"/>
      <w:lang w:val="en-US"/>
      <w14:ligatures w14:val="none"/>
    </w:rPr>
  </w:style>
  <w:style w:type="paragraph" w:customStyle="1" w:styleId="APABody">
    <w:name w:val="APA Body"/>
    <w:basedOn w:val="Normal"/>
    <w:qFormat/>
    <w:rsid w:val="001F6B11"/>
    <w:pPr>
      <w:spacing w:after="0" w:line="480" w:lineRule="auto"/>
      <w:ind w:firstLine="720"/>
    </w:pPr>
    <w:rPr>
      <w:rFonts w:ascii="Times New Roman" w:eastAsia="Times New Roman" w:hAnsi="Times New Roman"/>
      <w:kern w:val="0"/>
      <w:szCs w:val="22"/>
      <w:lang w:val="en-US"/>
      <w14:ligatures w14:val="none"/>
    </w:rPr>
  </w:style>
  <w:style w:type="paragraph" w:customStyle="1" w:styleId="Notesoncontributors">
    <w:name w:val="Notes on contributors"/>
    <w:basedOn w:val="Normal"/>
    <w:qFormat/>
    <w:rsid w:val="001F6B11"/>
    <w:pPr>
      <w:spacing w:before="240" w:after="0" w:line="360" w:lineRule="auto"/>
    </w:pPr>
    <w:rPr>
      <w:rFonts w:ascii="Times New Roman" w:eastAsia="Times New Roman" w:hAnsi="Times New Roman" w:cs="Times New Roman"/>
      <w:kern w:val="0"/>
      <w:sz w:val="22"/>
      <w:lang w:val="en-GB" w:eastAsia="en-GB"/>
      <w14:ligatures w14:val="none"/>
    </w:rPr>
  </w:style>
  <w:style w:type="paragraph" w:styleId="CommentText">
    <w:name w:val="annotation text"/>
    <w:basedOn w:val="Normal"/>
    <w:link w:val="CommentTextChar"/>
    <w:uiPriority w:val="99"/>
    <w:semiHidden/>
    <w:unhideWhenUsed/>
    <w:qFormat/>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rse.2006.07.012" TargetMode="External"/><Relationship Id="rId18" Type="http://schemas.openxmlformats.org/officeDocument/2006/relationships/hyperlink" Target="https://doi.org/10.1127/fal/2014/0664" TargetMode="External"/><Relationship Id="rId26" Type="http://schemas.openxmlformats.org/officeDocument/2006/relationships/hyperlink" Target="https://doi.org/10.1371/journal.pone.0231866" TargetMode="External"/><Relationship Id="rId3" Type="http://schemas.openxmlformats.org/officeDocument/2006/relationships/webSettings" Target="webSettings.xml"/><Relationship Id="rId21" Type="http://schemas.openxmlformats.org/officeDocument/2006/relationships/hyperlink" Target="https://doi.org/10.1016/j.tree.2005.05.011" TargetMode="External"/><Relationship Id="rId34" Type="http://schemas.openxmlformats.org/officeDocument/2006/relationships/fontTable" Target="fontTable.xml"/><Relationship Id="rId7" Type="http://schemas.openxmlformats.org/officeDocument/2006/relationships/hyperlink" Target="https://doi.org/10.1016/j.rse.2017.06.031" TargetMode="External"/><Relationship Id="rId12" Type="http://schemas.openxmlformats.org/officeDocument/2006/relationships/hyperlink" Target="https://www.chilika.com/pdf/Macrophytes%20Workshop%2017-18%20Jan%202011%20Background%20Paper.pdf" TargetMode="External"/><Relationship Id="rId17" Type="http://schemas.openxmlformats.org/officeDocument/2006/relationships/hyperlink" Target="https://pib.gov.in/PressReleasePage.aspx?PRID=2045232" TargetMode="External"/><Relationship Id="rId25" Type="http://schemas.openxmlformats.org/officeDocument/2006/relationships/hyperlink" Target="https://rsis.ramsar.org/ris/2547" TargetMode="External"/><Relationship Id="rId33"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hyperlink" Target="https://doi.org/10.1038/ncomms13603" TargetMode="External"/><Relationship Id="rId20" Type="http://schemas.openxmlformats.org/officeDocument/2006/relationships/hyperlink" Target="https://huggingface.co/ibm-nasa-geospatial/Prithvi-EO-1.0-100M" TargetMode="External"/><Relationship Id="rId29" Type="http://schemas.openxmlformats.org/officeDocument/2006/relationships/hyperlink" Target="https://doi.org/10.1175/1520-0493(1989)117%3c2230:ANLAWF%3e2.0.CO;2" TargetMode="External"/><Relationship Id="rId1" Type="http://schemas.openxmlformats.org/officeDocument/2006/relationships/styles" Target="styles.xml"/><Relationship Id="rId6" Type="http://schemas.openxmlformats.org/officeDocument/2006/relationships/hyperlink" Target="https://sentiwiki.copernicus.eu/web/s2-mission" TargetMode="External"/><Relationship Id="rId11" Type="http://schemas.openxmlformats.org/officeDocument/2006/relationships/hyperlink" Target="https://doi.org/10.1038/s41586-021-03436-z" TargetMode="External"/><Relationship Id="rId24" Type="http://schemas.openxmlformats.org/officeDocument/2006/relationships/hyperlink" Target="https://rsis.ramsar.org/ris/1212" TargetMode="External"/><Relationship Id="rId32" Type="http://schemas.openxmlformats.org/officeDocument/2006/relationships/image" Target="media/image2.png"/><Relationship Id="rId5" Type="http://schemas.openxmlformats.org/officeDocument/2006/relationships/hyperlink" Target="https://www.ijeat.org/wp-content/uploads/papers/v7i3/C5315027318.pdf" TargetMode="External"/><Relationship Id="rId15" Type="http://schemas.openxmlformats.org/officeDocument/2006/relationships/hyperlink" Target="https://doi.org/10.1080/01431169608948714" TargetMode="External"/><Relationship Id="rId23" Type="http://schemas.openxmlformats.org/officeDocument/2006/relationships/hyperlink" Target="https://rsis.ramsar.org/ris/1211" TargetMode="External"/><Relationship Id="rId28" Type="http://schemas.openxmlformats.org/officeDocument/2006/relationships/hyperlink" Target="https://doi.org/10.48550/arXiv.2412.02732" TargetMode="External"/><Relationship Id="rId10" Type="http://schemas.openxmlformats.org/officeDocument/2006/relationships/hyperlink" Target="https://doi.org/10.1016/S0034-4257(02)00096-2" TargetMode="External"/><Relationship Id="rId19" Type="http://schemas.openxmlformats.org/officeDocument/2006/relationships/hyperlink" Target="https://doi.org/10.1016/j.rse.2011.10.016" TargetMode="External"/><Relationship Id="rId31" Type="http://schemas.openxmlformats.org/officeDocument/2006/relationships/image" Target="media/image1.png"/><Relationship Id="rId4" Type="http://schemas.openxmlformats.org/officeDocument/2006/relationships/hyperlink" Target="https://www.chilika.com/visit-chilika.php" TargetMode="External"/><Relationship Id="rId9" Type="http://schemas.openxmlformats.org/officeDocument/2006/relationships/hyperlink" Target="https://doi.org/10.48550/arXiv.2409.00489" TargetMode="External"/><Relationship Id="rId14" Type="http://schemas.openxmlformats.org/officeDocument/2006/relationships/hyperlink" Target="https://doi.org/10.1175/1520-0469(1969)26%3c636:APARBN%3e2.0.CO;2" TargetMode="External"/><Relationship Id="rId22" Type="http://schemas.openxmlformats.org/officeDocument/2006/relationships/hyperlink" Target="https://moef.gov.in/uploads/2019/12/gwo_e.pdf" TargetMode="External"/><Relationship Id="rId27" Type="http://schemas.openxmlformats.org/officeDocument/2006/relationships/hyperlink" Target="https://doi.org/10.3390/rs18020293" TargetMode="External"/><Relationship Id="rId30" Type="http://schemas.openxmlformats.org/officeDocument/2006/relationships/hyperlink" Target="https://doi.org/10.3402/tellusa.v46i3.15481" TargetMode="External"/><Relationship Id="rId35" Type="http://schemas.openxmlformats.org/officeDocument/2006/relationships/theme" Target="theme/theme1.xml"/><Relationship Id="rId8" Type="http://schemas.openxmlformats.org/officeDocument/2006/relationships/hyperlink" Target="https://doi.org/10.1016/j.ijforecast.2007.05.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26</Pages>
  <Words>11836</Words>
  <Characters>67469</Characters>
  <Application>Microsoft Office Word</Application>
  <DocSecurity>0</DocSecurity>
  <Lines>562</Lines>
  <Paragraphs>158</Paragraphs>
  <ScaleCrop>false</ScaleCrop>
  <Company/>
  <LinksUpToDate>false</LinksUpToDate>
  <CharactersWithSpaces>79147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Ramachandra Prasad</dc:creator>
  <dc:description/>
  <cp:lastModifiedBy>VIKASH KUMAR</cp:lastModifiedBy>
  <cp:revision>20</cp:revision>
  <dcterms:created xsi:type="dcterms:W3CDTF">2026-10-17T11:21:00Z</dcterms:created>
  <dcterms:modified xsi:type="dcterms:W3CDTF">2026-10-30T18:30:00Z</dcterms:modified>
  <dc:language>en-IN</dc:language>
</cp:coreProperties>
</file>