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after="0"/>
        <w:ind w:firstLine="0"/>
        <w:jc w:val="center"/>
      </w:pPr>
      <w:r>
        <w:rPr>
          <w:rFonts w:ascii="Times New Roman" w:hAnsi="Times New Roman"/>
          <w:b/>
          <w:i w:val="0"/>
          <w:sz w:val="28"/>
        </w:rPr>
        <w:t>EcoTwin: Ecosystem Analog Search and Forecasting Using</w:t>
      </w:r>
    </w:p>
    <w:p>
      <w:pPr>
        <w:spacing w:line="480" w:lineRule="auto" w:after="0"/>
        <w:ind w:firstLine="0"/>
        <w:jc w:val="center"/>
      </w:pPr>
      <w:r>
        <w:rPr>
          <w:rFonts w:ascii="Times New Roman" w:hAnsi="Times New Roman"/>
          <w:b/>
          <w:i w:val="0"/>
          <w:sz w:val="28"/>
        </w:rPr>
        <w:t>Geospatial Foundation Models</w:t>
      </w:r>
    </w:p>
    <w:p/>
    <w:p>
      <w:pPr>
        <w:spacing w:line="480" w:lineRule="auto" w:after="0"/>
        <w:ind w:firstLine="0"/>
        <w:jc w:val="center"/>
      </w:pPr>
      <w:r>
        <w:rPr>
          <w:rFonts w:ascii="Times New Roman" w:hAnsi="Times New Roman"/>
          <w:b w:val="0"/>
          <w:i w:val="0"/>
          <w:sz w:val="24"/>
        </w:rPr>
        <w:t>Ankit Kumar (2025201022), Peeyush Kumar (2025201102), and Vikash Kumar (2025201012)</w:t>
      </w:r>
    </w:p>
    <w:p>
      <w:pPr>
        <w:spacing w:line="480" w:lineRule="auto" w:after="0"/>
        <w:ind w:firstLine="0"/>
        <w:jc w:val="center"/>
      </w:pPr>
      <w:r>
        <w:rPr>
          <w:rFonts w:ascii="Times New Roman" w:hAnsi="Times New Roman"/>
          <w:b w:val="0"/>
          <w:i w:val="0"/>
          <w:sz w:val="24"/>
        </w:rPr>
        <w:t>Department of Computer Science and Engineering,</w:t>
      </w:r>
    </w:p>
    <w:p>
      <w:pPr>
        <w:spacing w:line="480" w:lineRule="auto" w:after="0"/>
        <w:ind w:firstLine="0"/>
        <w:jc w:val="center"/>
      </w:pPr>
      <w:r>
        <w:rPr>
          <w:rFonts w:ascii="Times New Roman" w:hAnsi="Times New Roman"/>
          <w:b w:val="0"/>
          <w:i w:val="0"/>
          <w:sz w:val="24"/>
        </w:rPr>
        <w:t>International Institute of Information Technology Hyderabad</w:t>
      </w:r>
    </w:p>
    <w:p/>
    <w:p>
      <w:pPr>
        <w:spacing w:line="480" w:lineRule="auto" w:after="0"/>
        <w:ind w:firstLine="0"/>
        <w:jc w:val="center"/>
      </w:pPr>
      <w:r>
        <w:rPr>
          <w:rFonts w:ascii="Times New Roman" w:hAnsi="Times New Roman"/>
          <w:b w:val="0"/>
          <w:i w:val="0"/>
          <w:sz w:val="24"/>
        </w:rPr>
        <w:t>Project Report</w:t>
      </w:r>
    </w:p>
    <w:p>
      <w:pPr>
        <w:spacing w:line="480" w:lineRule="auto" w:after="0"/>
        <w:ind w:firstLine="0"/>
        <w:jc w:val="center"/>
      </w:pPr>
      <w:r>
        <w:rPr>
          <w:rFonts w:ascii="Times New Roman" w:hAnsi="Times New Roman"/>
          <w:b w:val="0"/>
          <w:i w:val="0"/>
          <w:sz w:val="24"/>
        </w:rPr>
        <w:t>Submitted under the guidance of Ramachandra Prasad P</w:t>
      </w:r>
    </w:p>
    <w:p>
      <w:pPr>
        <w:spacing w:line="480" w:lineRule="auto" w:after="0"/>
        <w:ind w:firstLine="0"/>
        <w:jc w:val="center"/>
      </w:pPr>
      <w:r>
        <w:rPr>
          <w:rFonts w:ascii="Times New Roman" w:hAnsi="Times New Roman"/>
          <w:b w:val="0"/>
          <w:i w:val="0"/>
          <w:sz w:val="24"/>
        </w:rPr>
        <w:t>2026</w:t>
      </w:r>
    </w:p>
    <w:p>
      <w:r>
        <w:br w:type="page"/>
      </w:r>
    </w:p>
    <w:p>
      <w:pPr>
        <w:pStyle w:val="APAH1"/>
      </w:pPr>
      <w:r>
        <w:t>Abstract</w:t>
      </w:r>
    </w:p>
    <w:p>
      <w:pPr>
        <w:pStyle w:val="APABodyNoIndent"/>
      </w:pPr>
      <w:r>
        <w:t xml:space="preserve">EcoTwin is an end-to-end geospatial ecosystem analog discovery platform designed around the question: </w:t>
      </w:r>
      <w:r>
        <w:rPr>
          <w:i/>
        </w:rPr>
        <w:t>which ecosystems elsewhere exhibit similar spatial structure, and what can their historical trajectories tell us about a target ecosystem?</w:t>
      </w:r>
      <w:r>
        <w:t xml:space="preserve"> HydroLAKES polygons provide ecosystem boundaries; a buffered, tiled Sentinel-2 acquisition pipeline through Google Earth Engine yields one-kilometre analysis cells, converted into six-band Prithvi embeddings, coverage-pooled to one 768-dimensional lake-year vector and indexed in PostgreSQL/pgvector. A query ecosystem is compared as a </w:t>
      </w:r>
      <w:r>
        <w:rPr>
          <w:i/>
        </w:rPr>
        <w:t>five-year trajectory</w:t>
      </w:r>
      <w:r>
        <w:t xml:space="preserve"> rather than a single snapshot, sliding across each candidate's history to find its best-matching window, and the ranked results are exposed through an interactive map and profile views with historical index trajectories. The deployed system holds a complete, fully processed cohort — </w:t>
      </w:r>
      <w:r>
        <w:rPr>
          <w:b/>
        </w:rPr>
        <w:t>829 active lakes across 26 Indian states</w:t>
      </w:r>
      <w:r>
        <w:t xml:space="preserve">, ten consecutive years (2016–2025), </w:t>
      </w:r>
      <w:r>
        <w:rPr>
          <w:b/>
        </w:rPr>
        <w:t>8,227 lake-year embeddings</w:t>
      </w:r>
      <w:r>
        <w:t xml:space="preserve">, </w:t>
      </w:r>
      <w:r>
        <w:rPr>
          <w:b/>
        </w:rPr>
        <w:t>19,046</w:t>
      </w:r>
      <w:r>
        <w:t xml:space="preserve"> imagery tiles, and </w:t>
      </w:r>
      <w:r>
        <w:rPr>
          <w:b/>
        </w:rPr>
        <w:t>233,002</w:t>
      </w:r>
      <w:r>
        <w:t xml:space="preserve"> analysis cells, with no outstanding failures at any pipeline stage. The forecasting layer is analog-based and non-parametric: rather than decoding an embedding back into reflectance, it uses the embedding space only to </w:t>
      </w:r>
      <w:r>
        <w:rPr>
          <w:i/>
        </w:rPr>
        <w:t>rank</w:t>
      </w:r>
      <w:r>
        <w:t xml:space="preserve"> analogs, then transfers their measured year-on-year changes onto the target as a rank-weighted directional forecast, traceable to the specific lakes, years, and deltas that produced it. The system is demonstrated on five Ramsar-designated wetlands and reservoirs — Chilika, Maharana Pratap Sagar (Beas/Pong Dam), Tawa Reservoir, Tso Morari, and Sasthamcotta.</w:t>
      </w:r>
    </w:p>
    <w:p>
      <w:pPr>
        <w:pStyle w:val="APABody"/>
        <w:ind w:firstLine="720"/>
      </w:pPr>
      <w:r>
        <w:rPr>
          <w:i/>
        </w:rPr>
        <w:t xml:space="preserve">Keywords: </w:t>
      </w:r>
      <w:r>
        <w:t>Geospatial Foundation Models, Prithvi, Remote Sensing, Sentinel-2, HydroLAKES, Ecosystem Analogs, Vector Search, pgvector, NDCI, Red-Edge Indices, Ramsar Wetlands, Trajectory Similarity</w:t>
      </w:r>
    </w:p>
    <w:p>
      <w:r>
        <w:br w:type="page"/>
      </w:r>
    </w:p>
    <w:p>
      <w:pPr>
        <w:pStyle w:val="APAH1"/>
      </w:pPr>
      <w:r>
        <w:t>Introduction</w:t>
      </w:r>
    </w:p>
    <w:p>
      <w:pPr>
        <w:pStyle w:val="APAH2"/>
      </w:pPr>
      <w:r>
        <w:t>Background and Problem Statement</w:t>
      </w:r>
    </w:p>
    <w:p>
      <w:pPr>
        <w:pStyle w:val="APABody"/>
      </w:pPr>
      <w:r>
        <w:t>Earth observation satellites provide repeated measurements of ecosystems at scales infeasible through field observation alone, and Sentinel-2's multispectral imagery suits vegetation, water, and surface-condition analysis. Rather than beginning with a specific question such as vegetation change, EcoTwin treats ecosystem comparison as a retrieval problem: satellite observations are converted into learned feature vectors and indexed, so a lake can be compared against a large reference collection without reprocessing raw imagery each time, asking whether another ecosystem looks similar in its spatial-spectral representation.</w:t>
      </w:r>
    </w:p>
    <w:p>
      <w:pPr>
        <w:pStyle w:val="APABody"/>
      </w:pPr>
      <w:r>
        <w:t>Several engineering constraints shape the solution: lake boundaries are irregular polygons rather than fixed-size squares, so large ecosystems require multiple image tiles; historical Sentinel-2 collections do not expose identical quality bands across all years, so cloud masking must be collection-aware; every embedding must stay associated with its source geometry and lake/year metadata; and similarity search must be substantially cheaper than recomputing embeddings from scratch.</w:t>
      </w:r>
    </w:p>
    <w:p>
      <w:pPr>
        <w:pStyle w:val="APAH2"/>
      </w:pPr>
      <w:r>
        <w:t>Core EcoTwin Hypothesis</w:t>
      </w:r>
    </w:p>
    <w:p>
      <w:pPr>
        <w:pStyle w:val="APABody"/>
      </w:pPr>
      <w:r>
        <w:t>EcoTwin is based on the operational hypothesis:</w:t>
      </w:r>
    </w:p>
    <w:p>
      <w:pPr>
        <w:pStyle w:val="APAQuote"/>
      </w:pPr>
      <w:r>
        <w:rPr>
          <w:i/>
        </w:rPr>
        <w:t>Ecosystems elsewhere that are structurally similar in geospatial feature space can provide useful analogs for understanding the spatial and historical behaviour of a target ecosystem.</w:t>
      </w:r>
    </w:p>
    <w:p>
      <w:pPr>
        <w:pStyle w:val="APABody"/>
      </w:pPr>
      <w:r>
        <w:t xml:space="preserve">The hypothesis separates two tasks. The first is </w:t>
      </w:r>
      <w:r>
        <w:rPr>
          <w:b/>
        </w:rPr>
        <w:t>analog discovery</w:t>
      </w:r>
      <w:r>
        <w:t xml:space="preserve">: finding ecosystems that resemble the target in the learned spatial-spectral representation. The second is </w:t>
      </w:r>
      <w:r>
        <w:rPr>
          <w:b/>
        </w:rPr>
        <w:t>trajectory analysis</w:t>
      </w:r>
      <w:r>
        <w:t>: comparing the historical environmental indicators of the target against those of its discovered analogs.</w:t>
      </w:r>
    </w:p>
    <w:p>
      <w:pPr>
        <w:pStyle w:val="APAH2"/>
      </w:pPr>
      <w:r>
        <w:t>Project Evolution and Contributions</w:t>
      </w:r>
    </w:p>
    <w:p>
      <w:pPr>
        <w:pStyle w:val="APABody"/>
      </w:pPr>
      <w:r>
        <w:t xml:space="preserve">The implementation evolved from standardized 5×5 km ecosystem blocks toward a lake-centred buffered imagery stage, local raster merging, and 1×1 km analysis cells, letting large lakes be processed without forcing the foundation model onto irregular polygons. A further pivot shaped the final system: </w:t>
      </w:r>
      <w:r>
        <w:rPr>
          <w:b/>
        </w:rPr>
        <w:t>snapshot similarity gave way to trajectory similarity</w:t>
      </w:r>
      <w:r>
        <w:t xml:space="preserve"> — comparing single embeddings proved too weak a notion of resemblance, since two lakes can coincide in one year and diverge over a decade, so the system instead compares a five-year trajectory against every sliding window in each candidate's history (see </w:t>
      </w:r>
      <w:r>
        <w:rPr>
          <w:i/>
        </w:rPr>
        <w:t>Trajectory Similarity Search</w:t>
      </w:r>
      <w:r>
        <w:t>, below).</w:t>
      </w:r>
    </w:p>
    <w:p>
      <w:pPr>
        <w:pStyle w:val="APABody"/>
      </w:pPr>
      <w:r>
        <w:t>The project's contribution is the resulting end-to-end lake-to-embedding-to-analog pipeline, executed over an 829-lake, ten-year cohort with no residual failures: Earth-Engine-based satellite acquisition with polygon-aware subdivision; Prithvi-based six-band representations with coverage-weighted pooling, persisted as 768-dimensional vectors; the forecasting method described later in this report; a band-honest ecological index set; and a FastAPI/React-Leaflet application with automated PDF reporting, evaluated on five Ramsar-designated wetlands and reservoirs.</w:t>
      </w:r>
    </w:p>
    <w:p>
      <w:pPr>
        <w:pStyle w:val="APAH2"/>
      </w:pPr>
      <w:r>
        <w:t>Related Work</w:t>
      </w:r>
    </w:p>
    <w:p>
      <w:pPr>
        <w:pStyle w:val="APABody"/>
      </w:pPr>
      <w:r>
        <w:t xml:space="preserve">EcoTwin combines three established but, to the authors' knowledge, not previously combined threads. </w:t>
      </w:r>
      <w:r>
        <w:rPr>
          <w:b/>
        </w:rPr>
        <w:t>Analog-based forecasting</w:t>
      </w:r>
      <w:r>
        <w:t xml:space="preserve"> is classically meteorological: Lorenz (1969) matched historical pressure-field states as analog pairs, and van den Dool (1989) extended this to operational forecasting while noting how vast a library true analogs require — the same problem EcoTwin's trajectory matching and cross-lake pooling (828 candidate histories, not one lake's own past) are structural attempts to work around. </w:t>
      </w:r>
      <w:r>
        <w:rPr>
          <w:b/>
        </w:rPr>
        <w:t>Geospatial foundation models</w:t>
      </w:r>
      <w:r>
        <w:t xml:space="preserve">: Prithvi-EO-2.0 reports state-of-the-art downstream performance across benchmark tasks (Szwarcman et al., 2024), and recent work applying Google DeepMind's AlphaEarth embeddings to wetland classification independently validates the premise that a modern GeoFM's embedding space encodes ecologically meaningful structure exploitable by similarity operations alone, without forecasting or trajectory matching (Ryan et al., 2026). </w:t>
      </w:r>
      <w:r>
        <w:rPr>
          <w:b/>
        </w:rPr>
        <w:t>Index validation</w:t>
      </w:r>
      <w:r>
        <w:t xml:space="preserve">: NDCI, EcoTwin's chlorophyll-a proxy, is corroborated by a 2026 review of 122 Sentinel-2 chlorophyll-a studies reporting good agreement in eutrophic waters but reduced reliability in clear, oligotrophic water such as Tso Morari (Goodrich et al., 2026); NDVI and NDWI rest on the older, widely-adopted vegetation-index literature already in this report's reference list. None of this validates EcoTwin's forecasts directly — that requires the hindcasting protocol described in the </w:t>
      </w:r>
      <w:r>
        <w:rPr>
          <w:i/>
        </w:rPr>
        <w:t>Hindcasting Protocol</w:t>
      </w:r>
      <w:r>
        <w:t xml:space="preserve"> section — but it grounds the two components the forecast is built from: analog reasoning as an established paradigm, and the foundation model and index formulas as independently vetted.</w:t>
      </w:r>
    </w:p>
    <w:p>
      <w:r>
        <w:br w:type="page"/>
      </w:r>
    </w:p>
    <w:p>
      <w:pPr>
        <w:pStyle w:val="APAH1"/>
      </w:pPr>
      <w:r>
        <w:t>Data Sources and Data Engineering</w:t>
      </w:r>
    </w:p>
    <w:p>
      <w:pPr>
        <w:pStyle w:val="APAH2"/>
      </w:pPr>
      <w:r>
        <w:t>Overview</w:t>
      </w:r>
    </w:p>
    <w:p>
      <w:pPr>
        <w:pStyle w:val="APABody"/>
      </w:pPr>
      <w:r>
        <w:t xml:space="preserve">EcoTwin combines static geographic information (HydroLAKES polygons and metadata) with repeated satellite observations (Sentinel-2): the static layer defines </w:t>
      </w:r>
      <w:r>
        <w:rPr>
          <w:i/>
        </w:rPr>
        <w:t>where</w:t>
      </w:r>
      <w:r>
        <w:t xml:space="preserve"> an ecosystem is, the satellite layer defines </w:t>
      </w:r>
      <w:r>
        <w:rPr>
          <w:i/>
        </w:rPr>
        <w:t>what it looks like through time</w:t>
      </w:r>
      <w:r>
        <w:t>. The database retains the fields needed downstream — identifier, name, country, geometry, area, elevation, pour-point, type, depth, volume, and watershed area (Table 1) — and the pipeline was narrowed from the full HydroLAKES inventory to a selected 829-lake cohort so multi-year imagery and embeddings could be generated within storage, Earth Engine, and compute budgets.</w:t>
      </w:r>
    </w:p>
    <w:p>
      <w:pPr>
        <w:pStyle w:val="APACaptionLabel"/>
      </w:pPr>
      <w:r>
        <w:t>Table 1</w:t>
      </w:r>
    </w:p>
    <w:p>
      <w:pPr>
        <w:pStyle w:val="APACaptionTitle"/>
      </w:pPr>
      <w:r>
        <w:t>HydroLAKES-derived information used by EcoTwin.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2304"/>
            <w:tcBorders>
              <w:top w:val="single" w:sz="6" w:color="000000"/>
              <w:bottom w:val="single" w:sz="6" w:color="000000"/>
            </w:tcBorders>
          </w:tcPr>
          <w:p>
            <w:pPr>
              <w:spacing w:line="240" w:lineRule="auto" w:after="40"/>
              <w:ind w:firstLine="0"/>
              <w:jc w:val="left"/>
            </w:pPr>
            <w:r>
              <w:rPr>
                <w:sz w:val="21"/>
              </w:rPr>
              <w:t>Field</w:t>
            </w:r>
          </w:p>
        </w:tc>
        <w:tc>
          <w:tcPr>
            <w:tcW w:type="dxa" w:w="1872"/>
            <w:tcBorders>
              <w:top w:val="single" w:sz="6" w:color="000000"/>
              <w:bottom w:val="single" w:sz="6" w:color="000000"/>
            </w:tcBorders>
          </w:tcPr>
          <w:p>
            <w:pPr>
              <w:spacing w:line="240" w:lineRule="auto" w:after="40"/>
              <w:ind w:firstLine="0"/>
              <w:jc w:val="left"/>
            </w:pPr>
            <w:r>
              <w:rPr>
                <w:sz w:val="21"/>
              </w:rPr>
              <w:t>Type</w:t>
            </w:r>
          </w:p>
        </w:tc>
        <w:tc>
          <w:tcPr>
            <w:tcW w:type="dxa" w:w="4464"/>
            <w:tcBorders>
              <w:top w:val="single" w:sz="6" w:color="000000"/>
              <w:bottom w:val="single" w:sz="6" w:color="000000"/>
            </w:tcBorders>
          </w:tcPr>
          <w:p>
            <w:pPr>
              <w:spacing w:line="240" w:lineRule="auto" w:after="40"/>
              <w:ind w:firstLine="0"/>
              <w:jc w:val="left"/>
            </w:pPr>
            <w:r>
              <w:rPr>
                <w:sz w:val="21"/>
              </w:rPr>
              <w:t>Role in EcoTwin</w:t>
            </w:r>
          </w:p>
        </w:tc>
      </w:tr>
      <w:tr>
        <w:tc>
          <w:tcPr>
            <w:tcW w:type="dxa" w:w="2304"/>
          </w:tcPr>
          <w:p>
            <w:pPr>
              <w:spacing w:line="240" w:lineRule="auto" w:after="40"/>
              <w:ind w:firstLine="0"/>
              <w:jc w:val="left"/>
            </w:pPr>
            <w:r>
              <w:rPr>
                <w:sz w:val="21"/>
              </w:rPr>
              <w:t>Lake ID</w:t>
            </w:r>
          </w:p>
        </w:tc>
        <w:tc>
          <w:tcPr>
            <w:tcW w:type="dxa" w:w="1872"/>
          </w:tcPr>
          <w:p>
            <w:pPr>
              <w:spacing w:line="240" w:lineRule="auto" w:after="40"/>
              <w:ind w:firstLine="0"/>
              <w:jc w:val="right"/>
            </w:pPr>
            <w:r>
              <w:rPr>
                <w:sz w:val="21"/>
              </w:rPr>
              <w:t>Integer</w:t>
            </w:r>
          </w:p>
        </w:tc>
        <w:tc>
          <w:tcPr>
            <w:tcW w:type="dxa" w:w="4464"/>
          </w:tcPr>
          <w:p>
            <w:pPr>
              <w:spacing w:line="240" w:lineRule="auto" w:after="40"/>
              <w:ind w:firstLine="0"/>
              <w:jc w:val="right"/>
            </w:pPr>
            <w:r>
              <w:rPr>
                <w:sz w:val="21"/>
              </w:rPr>
              <w:t>Primary ecosystem identifier</w:t>
            </w:r>
          </w:p>
        </w:tc>
      </w:tr>
      <w:tr>
        <w:tc>
          <w:tcPr>
            <w:tcW w:type="dxa" w:w="2304"/>
          </w:tcPr>
          <w:p>
            <w:pPr>
              <w:spacing w:line="240" w:lineRule="auto" w:after="40"/>
              <w:ind w:firstLine="0"/>
              <w:jc w:val="left"/>
            </w:pPr>
            <w:r>
              <w:rPr>
                <w:sz w:val="21"/>
              </w:rPr>
              <w:t>Lake name</w:t>
            </w:r>
          </w:p>
        </w:tc>
        <w:tc>
          <w:tcPr>
            <w:tcW w:type="dxa" w:w="1872"/>
          </w:tcPr>
          <w:p>
            <w:pPr>
              <w:spacing w:line="240" w:lineRule="auto" w:after="40"/>
              <w:ind w:firstLine="0"/>
              <w:jc w:val="right"/>
            </w:pPr>
            <w:r>
              <w:rPr>
                <w:sz w:val="21"/>
              </w:rPr>
              <w:t>Text</w:t>
            </w:r>
          </w:p>
        </w:tc>
        <w:tc>
          <w:tcPr>
            <w:tcW w:type="dxa" w:w="4464"/>
          </w:tcPr>
          <w:p>
            <w:pPr>
              <w:spacing w:line="240" w:lineRule="auto" w:after="40"/>
              <w:ind w:firstLine="0"/>
              <w:jc w:val="right"/>
            </w:pPr>
            <w:r>
              <w:rPr>
                <w:sz w:val="21"/>
              </w:rPr>
              <w:t>Human-readable identification</w:t>
            </w:r>
          </w:p>
        </w:tc>
      </w:tr>
      <w:tr>
        <w:tc>
          <w:tcPr>
            <w:tcW w:type="dxa" w:w="2304"/>
          </w:tcPr>
          <w:p>
            <w:pPr>
              <w:spacing w:line="240" w:lineRule="auto" w:after="40"/>
              <w:ind w:firstLine="0"/>
              <w:jc w:val="left"/>
            </w:pPr>
            <w:r>
              <w:rPr>
                <w:sz w:val="21"/>
              </w:rPr>
              <w:t>Country</w:t>
            </w:r>
          </w:p>
        </w:tc>
        <w:tc>
          <w:tcPr>
            <w:tcW w:type="dxa" w:w="1872"/>
          </w:tcPr>
          <w:p>
            <w:pPr>
              <w:spacing w:line="240" w:lineRule="auto" w:after="40"/>
              <w:ind w:firstLine="0"/>
              <w:jc w:val="right"/>
            </w:pPr>
            <w:r>
              <w:rPr>
                <w:sz w:val="21"/>
              </w:rPr>
              <w:t>Text</w:t>
            </w:r>
          </w:p>
        </w:tc>
        <w:tc>
          <w:tcPr>
            <w:tcW w:type="dxa" w:w="4464"/>
          </w:tcPr>
          <w:p>
            <w:pPr>
              <w:spacing w:line="240" w:lineRule="auto" w:after="40"/>
              <w:ind w:firstLine="0"/>
              <w:jc w:val="right"/>
            </w:pPr>
            <w:r>
              <w:rPr>
                <w:sz w:val="21"/>
              </w:rPr>
              <w:t>Geographic filtering</w:t>
            </w:r>
          </w:p>
        </w:tc>
      </w:tr>
      <w:tr>
        <w:tc>
          <w:tcPr>
            <w:tcW w:type="dxa" w:w="2304"/>
          </w:tcPr>
          <w:p>
            <w:pPr>
              <w:spacing w:line="240" w:lineRule="auto" w:after="40"/>
              <w:ind w:firstLine="0"/>
              <w:jc w:val="left"/>
            </w:pPr>
            <w:r>
              <w:rPr>
                <w:sz w:val="21"/>
              </w:rPr>
              <w:t>Lake area</w:t>
            </w:r>
          </w:p>
        </w:tc>
        <w:tc>
          <w:tcPr>
            <w:tcW w:type="dxa" w:w="1872"/>
          </w:tcPr>
          <w:p>
            <w:pPr>
              <w:spacing w:line="240" w:lineRule="auto" w:after="40"/>
              <w:ind w:firstLine="0"/>
              <w:jc w:val="right"/>
            </w:pPr>
            <w:r>
              <w:rPr>
                <w:sz w:val="21"/>
              </w:rPr>
              <w:t>Numeric</w:t>
            </w:r>
          </w:p>
        </w:tc>
        <w:tc>
          <w:tcPr>
            <w:tcW w:type="dxa" w:w="4464"/>
          </w:tcPr>
          <w:p>
            <w:pPr>
              <w:spacing w:line="240" w:lineRule="auto" w:after="40"/>
              <w:ind w:firstLine="0"/>
              <w:jc w:val="right"/>
            </w:pPr>
            <w:r>
              <w:rPr>
                <w:sz w:val="21"/>
              </w:rPr>
              <w:t>Size and metadata analysis</w:t>
            </w:r>
          </w:p>
        </w:tc>
      </w:tr>
      <w:tr>
        <w:tc>
          <w:tcPr>
            <w:tcW w:type="dxa" w:w="2304"/>
          </w:tcPr>
          <w:p>
            <w:pPr>
              <w:spacing w:line="240" w:lineRule="auto" w:after="40"/>
              <w:ind w:firstLine="0"/>
              <w:jc w:val="left"/>
            </w:pPr>
            <w:r>
              <w:rPr>
                <w:sz w:val="21"/>
              </w:rPr>
              <w:t>Elevation</w:t>
            </w:r>
          </w:p>
        </w:tc>
        <w:tc>
          <w:tcPr>
            <w:tcW w:type="dxa" w:w="1872"/>
          </w:tcPr>
          <w:p>
            <w:pPr>
              <w:spacing w:line="240" w:lineRule="auto" w:after="40"/>
              <w:ind w:firstLine="0"/>
              <w:jc w:val="right"/>
            </w:pPr>
            <w:r>
              <w:rPr>
                <w:sz w:val="21"/>
              </w:rPr>
              <w:t>Numeric</w:t>
            </w:r>
          </w:p>
        </w:tc>
        <w:tc>
          <w:tcPr>
            <w:tcW w:type="dxa" w:w="4464"/>
          </w:tcPr>
          <w:p>
            <w:pPr>
              <w:spacing w:line="240" w:lineRule="auto" w:after="40"/>
              <w:ind w:firstLine="0"/>
              <w:jc w:val="right"/>
            </w:pPr>
            <w:r>
              <w:rPr>
                <w:sz w:val="21"/>
              </w:rPr>
              <w:t>Environmental context</w:t>
            </w:r>
          </w:p>
        </w:tc>
      </w:tr>
      <w:tr>
        <w:tc>
          <w:tcPr>
            <w:tcW w:type="dxa" w:w="2304"/>
          </w:tcPr>
          <w:p>
            <w:pPr>
              <w:spacing w:line="240" w:lineRule="auto" w:after="40"/>
              <w:ind w:firstLine="0"/>
              <w:jc w:val="left"/>
            </w:pPr>
            <w:r>
              <w:rPr>
                <w:sz w:val="21"/>
              </w:rPr>
              <w:t>Pour latitude/longitude</w:t>
            </w:r>
          </w:p>
        </w:tc>
        <w:tc>
          <w:tcPr>
            <w:tcW w:type="dxa" w:w="1872"/>
          </w:tcPr>
          <w:p>
            <w:pPr>
              <w:spacing w:line="240" w:lineRule="auto" w:after="40"/>
              <w:ind w:firstLine="0"/>
              <w:jc w:val="right"/>
            </w:pPr>
            <w:r>
              <w:rPr>
                <w:sz w:val="21"/>
              </w:rPr>
              <w:t>Numeric</w:t>
            </w:r>
          </w:p>
        </w:tc>
        <w:tc>
          <w:tcPr>
            <w:tcW w:type="dxa" w:w="4464"/>
          </w:tcPr>
          <w:p>
            <w:pPr>
              <w:spacing w:line="240" w:lineRule="auto" w:after="40"/>
              <w:ind w:firstLine="0"/>
              <w:jc w:val="right"/>
            </w:pPr>
            <w:r>
              <w:rPr>
                <w:sz w:val="21"/>
              </w:rPr>
              <w:t>Geographic reference</w:t>
            </w:r>
          </w:p>
        </w:tc>
      </w:tr>
      <w:tr>
        <w:tc>
          <w:tcPr>
            <w:tcW w:type="dxa" w:w="2304"/>
          </w:tcPr>
          <w:p>
            <w:pPr>
              <w:spacing w:line="240" w:lineRule="auto" w:after="40"/>
              <w:ind w:firstLine="0"/>
              <w:jc w:val="left"/>
            </w:pPr>
            <w:r>
              <w:rPr>
                <w:sz w:val="21"/>
              </w:rPr>
              <w:t>Geometry</w:t>
            </w:r>
          </w:p>
        </w:tc>
        <w:tc>
          <w:tcPr>
            <w:tcW w:type="dxa" w:w="1872"/>
          </w:tcPr>
          <w:p>
            <w:pPr>
              <w:spacing w:line="240" w:lineRule="auto" w:after="40"/>
              <w:ind w:firstLine="0"/>
              <w:jc w:val="right"/>
            </w:pPr>
            <w:r>
              <w:rPr>
                <w:sz w:val="21"/>
              </w:rPr>
              <w:t>PostGIS geometry</w:t>
            </w:r>
          </w:p>
        </w:tc>
        <w:tc>
          <w:tcPr>
            <w:tcW w:type="dxa" w:w="4464"/>
          </w:tcPr>
          <w:p>
            <w:pPr>
              <w:spacing w:line="240" w:lineRule="auto" w:after="40"/>
              <w:ind w:firstLine="0"/>
              <w:jc w:val="right"/>
            </w:pPr>
            <w:r>
              <w:rPr>
                <w:sz w:val="21"/>
              </w:rPr>
              <w:t>Spatial processing and mapping</w:t>
            </w:r>
          </w:p>
        </w:tc>
      </w:tr>
      <w:tr>
        <w:tc>
          <w:tcPr>
            <w:tcW w:type="dxa" w:w="2304"/>
          </w:tcPr>
          <w:p>
            <w:pPr>
              <w:spacing w:line="240" w:lineRule="auto" w:after="40"/>
              <w:ind w:firstLine="0"/>
              <w:jc w:val="left"/>
            </w:pPr>
            <w:r>
              <w:rPr>
                <w:sz w:val="21"/>
              </w:rPr>
              <w:t>Lake type</w:t>
            </w:r>
          </w:p>
        </w:tc>
        <w:tc>
          <w:tcPr>
            <w:tcW w:type="dxa" w:w="1872"/>
          </w:tcPr>
          <w:p>
            <w:pPr>
              <w:spacing w:line="240" w:lineRule="auto" w:after="40"/>
              <w:ind w:firstLine="0"/>
              <w:jc w:val="right"/>
            </w:pPr>
            <w:r>
              <w:rPr>
                <w:sz w:val="21"/>
              </w:rPr>
              <w:t>Categorical</w:t>
            </w:r>
          </w:p>
        </w:tc>
        <w:tc>
          <w:tcPr>
            <w:tcW w:type="dxa" w:w="4464"/>
          </w:tcPr>
          <w:p>
            <w:pPr>
              <w:spacing w:line="240" w:lineRule="auto" w:after="40"/>
              <w:ind w:firstLine="0"/>
              <w:jc w:val="right"/>
            </w:pPr>
            <w:r>
              <w:rPr>
                <w:sz w:val="21"/>
              </w:rPr>
              <w:t>Ecosystem metadata</w:t>
            </w:r>
          </w:p>
        </w:tc>
      </w:tr>
      <w:tr>
        <w:tc>
          <w:tcPr>
            <w:tcW w:type="dxa" w:w="2304"/>
          </w:tcPr>
          <w:p>
            <w:pPr>
              <w:spacing w:line="240" w:lineRule="auto" w:after="40"/>
              <w:ind w:firstLine="0"/>
              <w:jc w:val="left"/>
            </w:pPr>
            <w:r>
              <w:rPr>
                <w:sz w:val="21"/>
              </w:rPr>
              <w:t>Average depth</w:t>
            </w:r>
          </w:p>
        </w:tc>
        <w:tc>
          <w:tcPr>
            <w:tcW w:type="dxa" w:w="1872"/>
          </w:tcPr>
          <w:p>
            <w:pPr>
              <w:spacing w:line="240" w:lineRule="auto" w:after="40"/>
              <w:ind w:firstLine="0"/>
              <w:jc w:val="right"/>
            </w:pPr>
            <w:r>
              <w:rPr>
                <w:sz w:val="21"/>
              </w:rPr>
              <w:t>Numeric</w:t>
            </w:r>
          </w:p>
        </w:tc>
        <w:tc>
          <w:tcPr>
            <w:tcW w:type="dxa" w:w="4464"/>
          </w:tcPr>
          <w:p>
            <w:pPr>
              <w:spacing w:line="240" w:lineRule="auto" w:after="40"/>
              <w:ind w:firstLine="0"/>
              <w:jc w:val="right"/>
            </w:pPr>
            <w:r>
              <w:rPr>
                <w:sz w:val="21"/>
              </w:rPr>
              <w:t>Descriptive context</w:t>
            </w:r>
          </w:p>
        </w:tc>
      </w:tr>
      <w:tr>
        <w:tc>
          <w:tcPr>
            <w:tcW w:type="dxa" w:w="2304"/>
          </w:tcPr>
          <w:p>
            <w:pPr>
              <w:spacing w:line="240" w:lineRule="auto" w:after="40"/>
              <w:ind w:firstLine="0"/>
              <w:jc w:val="left"/>
            </w:pPr>
            <w:r>
              <w:rPr>
                <w:sz w:val="21"/>
              </w:rPr>
              <w:t>Total volume</w:t>
            </w:r>
          </w:p>
        </w:tc>
        <w:tc>
          <w:tcPr>
            <w:tcW w:type="dxa" w:w="1872"/>
          </w:tcPr>
          <w:p>
            <w:pPr>
              <w:spacing w:line="240" w:lineRule="auto" w:after="40"/>
              <w:ind w:firstLine="0"/>
              <w:jc w:val="right"/>
            </w:pPr>
            <w:r>
              <w:rPr>
                <w:sz w:val="21"/>
              </w:rPr>
              <w:t>Numeric</w:t>
            </w:r>
          </w:p>
        </w:tc>
        <w:tc>
          <w:tcPr>
            <w:tcW w:type="dxa" w:w="4464"/>
          </w:tcPr>
          <w:p>
            <w:pPr>
              <w:spacing w:line="240" w:lineRule="auto" w:after="40"/>
              <w:ind w:firstLine="0"/>
              <w:jc w:val="right"/>
            </w:pPr>
            <w:r>
              <w:rPr>
                <w:sz w:val="21"/>
              </w:rPr>
              <w:t>Descriptive context</w:t>
            </w:r>
          </w:p>
        </w:tc>
      </w:tr>
      <w:tr>
        <w:tc>
          <w:tcPr>
            <w:tcW w:type="dxa" w:w="2304"/>
            <w:tcBorders>
              <w:top w:val="nil"/>
              <w:bottom w:val="single" w:sz="6" w:color="000000"/>
            </w:tcBorders>
          </w:tcPr>
          <w:p>
            <w:pPr>
              <w:spacing w:line="240" w:lineRule="auto" w:after="40"/>
              <w:ind w:firstLine="0"/>
              <w:jc w:val="left"/>
            </w:pPr>
            <w:r>
              <w:rPr>
                <w:sz w:val="21"/>
              </w:rPr>
              <w:t>Watershed area</w:t>
            </w:r>
          </w:p>
        </w:tc>
        <w:tc>
          <w:tcPr>
            <w:tcW w:type="dxa" w:w="1872"/>
            <w:tcBorders>
              <w:top w:val="nil"/>
              <w:bottom w:val="single" w:sz="6" w:color="000000"/>
            </w:tcBorders>
          </w:tcPr>
          <w:p>
            <w:pPr>
              <w:spacing w:line="240" w:lineRule="auto" w:after="40"/>
              <w:ind w:firstLine="0"/>
              <w:jc w:val="right"/>
            </w:pPr>
            <w:r>
              <w:rPr>
                <w:sz w:val="21"/>
              </w:rPr>
              <w:t>Numeric</w:t>
            </w:r>
          </w:p>
        </w:tc>
        <w:tc>
          <w:tcPr>
            <w:tcW w:type="dxa" w:w="4464"/>
            <w:tcBorders>
              <w:top w:val="nil"/>
              <w:bottom w:val="single" w:sz="6" w:color="000000"/>
            </w:tcBorders>
          </w:tcPr>
          <w:p>
            <w:pPr>
              <w:spacing w:line="240" w:lineRule="auto" w:after="40"/>
              <w:ind w:firstLine="0"/>
              <w:jc w:val="right"/>
            </w:pPr>
            <w:r>
              <w:rPr>
                <w:sz w:val="21"/>
              </w:rPr>
              <w:t>Catchment context</w:t>
            </w:r>
          </w:p>
        </w:tc>
      </w:tr>
    </w:tbl>
    <w:p>
      <w:pPr>
        <w:pStyle w:val="APABodyNoIndent"/>
      </w:pPr>
    </w:p>
    <w:p>
      <w:pPr>
        <w:pStyle w:val="APACaptionLabel"/>
      </w:pPr>
      <w:r>
        <w:t>Figure 1</w:t>
      </w:r>
    </w:p>
    <w:p>
      <w:pPr>
        <w:pStyle w:val="APACaptionTitle"/>
      </w:pPr>
      <w:r>
        <w:t>Stage 1 (Sync Lakes): HydroLAKES import and the 829-lake processing cohort.</w:t>
      </w:r>
    </w:p>
    <w:p>
      <w:pPr>
        <w:spacing w:line="240" w:lineRule="auto"/>
        <w:ind w:firstLine="0"/>
      </w:pPr>
      <w:r>
        <w:drawing>
          <wp:inline xmlns:a="http://schemas.openxmlformats.org/drawingml/2006/main" xmlns:pic="http://schemas.openxmlformats.org/drawingml/2006/picture">
            <wp:extent cx="5486400" cy="1621611"/>
            <wp:docPr id="1" name="Picture 1"/>
            <wp:cNvGraphicFramePr>
              <a:graphicFrameLocks noChangeAspect="1"/>
            </wp:cNvGraphicFramePr>
            <a:graphic>
              <a:graphicData uri="http://schemas.openxmlformats.org/drawingml/2006/picture">
                <pic:pic>
                  <pic:nvPicPr>
                    <pic:cNvPr id="0" name="stage1_sync.png"/>
                    <pic:cNvPicPr/>
                  </pic:nvPicPr>
                  <pic:blipFill>
                    <a:blip r:embed="rId10"/>
                    <a:stretch>
                      <a:fillRect/>
                    </a:stretch>
                  </pic:blipFill>
                  <pic:spPr>
                    <a:xfrm>
                      <a:off x="0" y="0"/>
                      <a:ext cx="5486400" cy="1621611"/>
                    </a:xfrm>
                    <a:prstGeom prst="rect"/>
                  </pic:spPr>
                </pic:pic>
              </a:graphicData>
            </a:graphic>
          </wp:inline>
        </w:drawing>
      </w:r>
    </w:p>
    <w:p>
      <w:pPr>
        <w:pStyle w:val="APACaptionNote"/>
      </w:pPr>
      <w:r>
        <w:rPr>
          <w:i/>
        </w:rPr>
        <w:t xml:space="preserve">Note. </w:t>
      </w:r>
      <w:r>
        <w:t xml:space="preserve">The HydroLAKES shapefile is imported once per country into the full </w:t>
      </w:r>
      <w:r>
        <w:rPr>
          <w:rFonts w:ascii="Consolas" w:hAnsi="Consolas"/>
          <w:sz w:val="22"/>
        </w:rPr>
        <w:t>lakes</w:t>
      </w:r>
      <w:r>
        <w:t xml:space="preserve"> inventory (11,130 rows), and </w:t>
      </w:r>
      <w:r>
        <w:rPr>
          <w:rFonts w:ascii="Consolas" w:hAnsi="Consolas"/>
          <w:sz w:val="22"/>
        </w:rPr>
        <w:t>is_active</w:t>
      </w:r>
      <w:r>
        <w:t xml:space="preserve"> marks the 829-lake processing cohort that the remaining six stages operate on.</w:t>
      </w:r>
    </w:p>
    <w:p>
      <w:pPr>
        <w:pStyle w:val="APABodyNoIndent"/>
      </w:pPr>
    </w:p>
    <w:p>
      <w:pPr>
        <w:pStyle w:val="APAH2"/>
      </w:pPr>
      <w:r>
        <w:t>Sentinel-2 and Temporal Coverage</w:t>
      </w:r>
    </w:p>
    <w:p>
      <w:pPr>
        <w:pStyle w:val="APABody"/>
      </w:pPr>
      <w:r>
        <w:t>Sentinel-2 multispectral imagery, filtered, composited, and exported through Google Earth Engine, is the primary remote-sensing input, using the harmonized surface-reflectance collection with a Level-1C fallback for early years.</w:t>
      </w:r>
    </w:p>
    <w:p>
      <w:pPr>
        <w:pStyle w:val="APABody"/>
      </w:pPr>
      <w:r>
        <w:t>Ingestion was extended from an initially planned 2018–2025 window back to 2016, giving ten consecutive years. Table 2 shows the result: from 2018 onward every one of the 829 active lakes has a complete record, while 2016–2017 fall slightly short because Sentinel-2B did not launch until March 2017, leaving some lakes without enough cloud-free acquisitions for a usable composite.</w:t>
      </w:r>
    </w:p>
    <w:p>
      <w:pPr>
        <w:pStyle w:val="APACaptionLabel"/>
      </w:pPr>
      <w:r>
        <w:t>Table 2</w:t>
      </w:r>
    </w:p>
    <w:p>
      <w:pPr>
        <w:pStyle w:val="APACaptionTitle"/>
      </w:pPr>
      <w:r>
        <w:t>Achieved temporal coverage across the 829-lake cohort.</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2340"/>
            <w:tcBorders>
              <w:top w:val="single" w:sz="6" w:color="000000"/>
              <w:bottom w:val="single" w:sz="6" w:color="000000"/>
            </w:tcBorders>
          </w:tcPr>
          <w:p>
            <w:pPr>
              <w:spacing w:line="240" w:lineRule="auto" w:after="40"/>
              <w:ind w:firstLine="0"/>
              <w:jc w:val="left"/>
            </w:pPr>
            <w:r>
              <w:rPr>
                <w:sz w:val="21"/>
              </w:rPr>
              <w:t>Year</w:t>
            </w:r>
          </w:p>
        </w:tc>
        <w:tc>
          <w:tcPr>
            <w:tcW w:type="dxa" w:w="2340"/>
            <w:tcBorders>
              <w:top w:val="single" w:sz="6" w:color="000000"/>
              <w:bottom w:val="single" w:sz="6" w:color="000000"/>
            </w:tcBorders>
          </w:tcPr>
          <w:p>
            <w:pPr>
              <w:spacing w:line="240" w:lineRule="auto" w:after="40"/>
              <w:ind w:firstLine="0"/>
              <w:jc w:val="left"/>
            </w:pPr>
            <w:r>
              <w:rPr>
                <w:sz w:val="21"/>
              </w:rPr>
              <w:t>Lake-years</w:t>
            </w:r>
          </w:p>
        </w:tc>
        <w:tc>
          <w:tcPr>
            <w:tcW w:type="dxa" w:w="2340"/>
            <w:tcBorders>
              <w:top w:val="single" w:sz="6" w:color="000000"/>
              <w:bottom w:val="single" w:sz="6" w:color="000000"/>
            </w:tcBorders>
          </w:tcPr>
          <w:p>
            <w:pPr>
              <w:spacing w:line="240" w:lineRule="auto" w:after="40"/>
              <w:ind w:firstLine="0"/>
              <w:jc w:val="left"/>
            </w:pPr>
            <w:r>
              <w:rPr>
                <w:sz w:val="21"/>
              </w:rPr>
              <w:t>Embeddings</w:t>
            </w:r>
          </w:p>
        </w:tc>
        <w:tc>
          <w:tcPr>
            <w:tcW w:type="dxa" w:w="2340"/>
            <w:tcBorders>
              <w:top w:val="single" w:sz="6" w:color="000000"/>
              <w:bottom w:val="single" w:sz="6" w:color="000000"/>
            </w:tcBorders>
          </w:tcPr>
          <w:p>
            <w:pPr>
              <w:spacing w:line="240" w:lineRule="auto" w:after="40"/>
              <w:ind w:firstLine="0"/>
              <w:jc w:val="left"/>
            </w:pPr>
            <w:r>
              <w:rPr>
                <w:sz w:val="21"/>
              </w:rPr>
              <w:t>Features</w:t>
            </w:r>
          </w:p>
        </w:tc>
      </w:tr>
      <w:tr>
        <w:tc>
          <w:tcPr>
            <w:tcW w:type="dxa" w:w="2340"/>
          </w:tcPr>
          <w:p>
            <w:pPr>
              <w:spacing w:line="240" w:lineRule="auto" w:after="40"/>
              <w:ind w:firstLine="0"/>
              <w:jc w:val="left"/>
            </w:pPr>
            <w:r>
              <w:rPr>
                <w:sz w:val="21"/>
              </w:rPr>
              <w:t>2025</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r>
      <w:tr>
        <w:tc>
          <w:tcPr>
            <w:tcW w:type="dxa" w:w="2340"/>
          </w:tcPr>
          <w:p>
            <w:pPr>
              <w:spacing w:line="240" w:lineRule="auto" w:after="40"/>
              <w:ind w:firstLine="0"/>
              <w:jc w:val="left"/>
            </w:pPr>
            <w:r>
              <w:rPr>
                <w:sz w:val="21"/>
              </w:rPr>
              <w:t>2024</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r>
      <w:tr>
        <w:tc>
          <w:tcPr>
            <w:tcW w:type="dxa" w:w="2340"/>
          </w:tcPr>
          <w:p>
            <w:pPr>
              <w:spacing w:line="240" w:lineRule="auto" w:after="40"/>
              <w:ind w:firstLine="0"/>
              <w:jc w:val="left"/>
            </w:pPr>
            <w:r>
              <w:rPr>
                <w:sz w:val="21"/>
              </w:rPr>
              <w:t>2023</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r>
      <w:tr>
        <w:tc>
          <w:tcPr>
            <w:tcW w:type="dxa" w:w="2340"/>
          </w:tcPr>
          <w:p>
            <w:pPr>
              <w:spacing w:line="240" w:lineRule="auto" w:after="40"/>
              <w:ind w:firstLine="0"/>
              <w:jc w:val="left"/>
            </w:pPr>
            <w:r>
              <w:rPr>
                <w:sz w:val="21"/>
              </w:rPr>
              <w:t>2022</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r>
      <w:tr>
        <w:tc>
          <w:tcPr>
            <w:tcW w:type="dxa" w:w="2340"/>
          </w:tcPr>
          <w:p>
            <w:pPr>
              <w:spacing w:line="240" w:lineRule="auto" w:after="40"/>
              <w:ind w:firstLine="0"/>
              <w:jc w:val="left"/>
            </w:pPr>
            <w:r>
              <w:rPr>
                <w:sz w:val="21"/>
              </w:rPr>
              <w:t>2021</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r>
      <w:tr>
        <w:tc>
          <w:tcPr>
            <w:tcW w:type="dxa" w:w="2340"/>
          </w:tcPr>
          <w:p>
            <w:pPr>
              <w:spacing w:line="240" w:lineRule="auto" w:after="40"/>
              <w:ind w:firstLine="0"/>
              <w:jc w:val="left"/>
            </w:pPr>
            <w:r>
              <w:rPr>
                <w:sz w:val="21"/>
              </w:rPr>
              <w:t>2020</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r>
      <w:tr>
        <w:tc>
          <w:tcPr>
            <w:tcW w:type="dxa" w:w="2340"/>
          </w:tcPr>
          <w:p>
            <w:pPr>
              <w:spacing w:line="240" w:lineRule="auto" w:after="40"/>
              <w:ind w:firstLine="0"/>
              <w:jc w:val="left"/>
            </w:pPr>
            <w:r>
              <w:rPr>
                <w:sz w:val="21"/>
              </w:rPr>
              <w:t>2019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r>
      <w:tr>
        <w:tc>
          <w:tcPr>
            <w:tcW w:type="dxa" w:w="2340"/>
          </w:tcPr>
          <w:p>
            <w:pPr>
              <w:spacing w:line="240" w:lineRule="auto" w:after="40"/>
              <w:ind w:firstLine="0"/>
              <w:jc w:val="left"/>
            </w:pPr>
            <w:r>
              <w:rPr>
                <w:sz w:val="21"/>
              </w:rPr>
              <w:t>2018</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c>
          <w:tcPr>
            <w:tcW w:type="dxa" w:w="2340"/>
          </w:tcPr>
          <w:p>
            <w:pPr>
              <w:spacing w:line="240" w:lineRule="auto" w:after="40"/>
              <w:ind w:firstLine="0"/>
              <w:jc w:val="right"/>
            </w:pPr>
            <w:r>
              <w:rPr>
                <w:sz w:val="21"/>
              </w:rPr>
              <w:t>829</w:t>
            </w:r>
          </w:p>
        </w:tc>
      </w:tr>
      <w:tr>
        <w:tc>
          <w:tcPr>
            <w:tcW w:type="dxa" w:w="2340"/>
          </w:tcPr>
          <w:p>
            <w:pPr>
              <w:spacing w:line="240" w:lineRule="auto" w:after="40"/>
              <w:ind w:firstLine="0"/>
              <w:jc w:val="left"/>
            </w:pPr>
            <w:r>
              <w:rPr>
                <w:sz w:val="21"/>
              </w:rPr>
              <w:t>2017</w:t>
            </w:r>
          </w:p>
        </w:tc>
        <w:tc>
          <w:tcPr>
            <w:tcW w:type="dxa" w:w="2340"/>
          </w:tcPr>
          <w:p>
            <w:pPr>
              <w:spacing w:line="240" w:lineRule="auto" w:after="40"/>
              <w:ind w:firstLine="0"/>
              <w:jc w:val="right"/>
            </w:pPr>
            <w:r>
              <w:rPr>
                <w:sz w:val="21"/>
              </w:rPr>
              <w:t>808</w:t>
            </w:r>
          </w:p>
        </w:tc>
        <w:tc>
          <w:tcPr>
            <w:tcW w:type="dxa" w:w="2340"/>
          </w:tcPr>
          <w:p>
            <w:pPr>
              <w:spacing w:line="240" w:lineRule="auto" w:after="40"/>
              <w:ind w:firstLine="0"/>
              <w:jc w:val="right"/>
            </w:pPr>
            <w:r>
              <w:rPr>
                <w:sz w:val="21"/>
              </w:rPr>
              <w:t>808</w:t>
            </w:r>
          </w:p>
        </w:tc>
        <w:tc>
          <w:tcPr>
            <w:tcW w:type="dxa" w:w="2340"/>
          </w:tcPr>
          <w:p>
            <w:pPr>
              <w:spacing w:line="240" w:lineRule="auto" w:after="40"/>
              <w:ind w:firstLine="0"/>
              <w:jc w:val="right"/>
            </w:pPr>
            <w:r>
              <w:rPr>
                <w:sz w:val="21"/>
              </w:rPr>
              <w:t>808</w:t>
            </w:r>
          </w:p>
        </w:tc>
      </w:tr>
      <w:tr>
        <w:tc>
          <w:tcPr>
            <w:tcW w:type="dxa" w:w="2340"/>
          </w:tcPr>
          <w:p>
            <w:pPr>
              <w:spacing w:line="240" w:lineRule="auto" w:after="40"/>
              <w:ind w:firstLine="0"/>
              <w:jc w:val="left"/>
            </w:pPr>
            <w:r>
              <w:rPr>
                <w:sz w:val="21"/>
              </w:rPr>
              <w:t>2016</w:t>
            </w:r>
          </w:p>
        </w:tc>
        <w:tc>
          <w:tcPr>
            <w:tcW w:type="dxa" w:w="2340"/>
          </w:tcPr>
          <w:p>
            <w:pPr>
              <w:spacing w:line="240" w:lineRule="auto" w:after="40"/>
              <w:ind w:firstLine="0"/>
              <w:jc w:val="right"/>
            </w:pPr>
            <w:r>
              <w:rPr>
                <w:sz w:val="21"/>
              </w:rPr>
              <w:t>787</w:t>
            </w:r>
          </w:p>
        </w:tc>
        <w:tc>
          <w:tcPr>
            <w:tcW w:type="dxa" w:w="2340"/>
          </w:tcPr>
          <w:p>
            <w:pPr>
              <w:spacing w:line="240" w:lineRule="auto" w:after="40"/>
              <w:ind w:firstLine="0"/>
              <w:jc w:val="right"/>
            </w:pPr>
            <w:r>
              <w:rPr>
                <w:sz w:val="21"/>
              </w:rPr>
              <w:t>787</w:t>
            </w:r>
          </w:p>
        </w:tc>
        <w:tc>
          <w:tcPr>
            <w:tcW w:type="dxa" w:w="2340"/>
          </w:tcPr>
          <w:p>
            <w:pPr>
              <w:spacing w:line="240" w:lineRule="auto" w:after="40"/>
              <w:ind w:firstLine="0"/>
              <w:jc w:val="right"/>
            </w:pPr>
            <w:r>
              <w:rPr>
                <w:sz w:val="21"/>
              </w:rPr>
              <w:t>787</w:t>
            </w:r>
          </w:p>
        </w:tc>
      </w:tr>
      <w:tr>
        <w:tc>
          <w:tcPr>
            <w:tcW w:type="dxa" w:w="2340"/>
            <w:tcBorders>
              <w:top w:val="nil"/>
              <w:bottom w:val="single" w:sz="6" w:color="000000"/>
            </w:tcBorders>
          </w:tcPr>
          <w:p>
            <w:pPr>
              <w:spacing w:line="240" w:lineRule="auto" w:after="40"/>
              <w:ind w:firstLine="0"/>
              <w:jc w:val="left"/>
            </w:pPr>
            <w:r>
              <w:rPr>
                <w:sz w:val="21"/>
              </w:rPr>
            </w:r>
            <w:r>
              <w:rPr>
                <w:b/>
                <w:sz w:val="21"/>
              </w:rPr>
              <w:t>Total</w:t>
            </w:r>
          </w:p>
        </w:tc>
        <w:tc>
          <w:tcPr>
            <w:tcW w:type="dxa" w:w="2340"/>
            <w:tcBorders>
              <w:top w:val="nil"/>
              <w:bottom w:val="single" w:sz="6" w:color="000000"/>
            </w:tcBorders>
          </w:tcPr>
          <w:p>
            <w:pPr>
              <w:spacing w:line="240" w:lineRule="auto" w:after="40"/>
              <w:ind w:firstLine="0"/>
              <w:jc w:val="right"/>
            </w:pPr>
            <w:r>
              <w:rPr>
                <w:sz w:val="21"/>
              </w:rPr>
            </w:r>
            <w:r>
              <w:rPr>
                <w:b/>
                <w:sz w:val="21"/>
              </w:rPr>
              <w:t>8,227</w:t>
            </w:r>
          </w:p>
        </w:tc>
        <w:tc>
          <w:tcPr>
            <w:tcW w:type="dxa" w:w="2340"/>
            <w:tcBorders>
              <w:top w:val="nil"/>
              <w:bottom w:val="single" w:sz="6" w:color="000000"/>
            </w:tcBorders>
          </w:tcPr>
          <w:p>
            <w:pPr>
              <w:spacing w:line="240" w:lineRule="auto" w:after="40"/>
              <w:ind w:firstLine="0"/>
              <w:jc w:val="right"/>
            </w:pPr>
            <w:r>
              <w:rPr>
                <w:sz w:val="21"/>
              </w:rPr>
            </w:r>
            <w:r>
              <w:rPr>
                <w:b/>
                <w:sz w:val="21"/>
              </w:rPr>
              <w:t>8,227</w:t>
            </w:r>
          </w:p>
        </w:tc>
        <w:tc>
          <w:tcPr>
            <w:tcW w:type="dxa" w:w="2340"/>
            <w:tcBorders>
              <w:top w:val="nil"/>
              <w:bottom w:val="single" w:sz="6" w:color="000000"/>
            </w:tcBorders>
          </w:tcPr>
          <w:p>
            <w:pPr>
              <w:spacing w:line="240" w:lineRule="auto" w:after="40"/>
              <w:ind w:firstLine="0"/>
              <w:jc w:val="right"/>
            </w:pPr>
            <w:r>
              <w:rPr>
                <w:sz w:val="21"/>
              </w:rPr>
            </w:r>
            <w:r>
              <w:rPr>
                <w:b/>
                <w:sz w:val="21"/>
              </w:rPr>
              <w:t>8,227</w:t>
            </w:r>
          </w:p>
        </w:tc>
      </w:tr>
    </w:tbl>
    <w:p>
      <w:pPr>
        <w:pStyle w:val="APACaptionNote"/>
      </w:pPr>
      <w:r>
        <w:rPr>
          <w:i/>
        </w:rPr>
        <w:t xml:space="preserve">Note. </w:t>
      </w:r>
      <w:r>
        <w:t>Every retained lake-year carries both an embedding and a completed feature record; there are no partial rows.</w:t>
      </w:r>
    </w:p>
    <w:p>
      <w:pPr>
        <w:pStyle w:val="APABodyNoIndent"/>
      </w:pPr>
    </w:p>
    <w:p>
      <w:pPr>
        <w:pStyle w:val="APABody"/>
      </w:pPr>
      <w:r>
        <w:t>The 42 absent lake-years are recorded as such rather than interpolated, since the similarity layer requires five consecutive years to form a comparison window.</w:t>
      </w:r>
    </w:p>
    <w:p>
      <w:pPr>
        <w:pStyle w:val="APABody"/>
      </w:pPr>
      <w:r>
        <w:t xml:space="preserve">The embedding input uses six bands, </w:t>
      </w:r>
      <w:r>
        <w:rPr>
          <w:rFonts w:ascii="Consolas" w:hAnsi="Consolas"/>
          <w:sz w:val="22"/>
        </w:rPr>
        <w:t>B2–B7</w:t>
      </w:r>
      <w:r>
        <w:t xml:space="preserve"> (blue, green, red, narrow near-infrared, and two short-wave infrared channels).</w:t>
      </w:r>
    </w:p>
    <w:p>
      <w:pPr>
        <w:pStyle w:val="APAH2"/>
      </w:pPr>
      <w:r>
        <w:t>Environmental Indices: A Band-Honest Index Set</w:t>
      </w:r>
    </w:p>
    <w:p>
      <w:pPr>
        <w:pStyle w:val="APABody"/>
      </w:pPr>
      <w:r>
        <w:t xml:space="preserve">The merged lake imagery used for Prithvi inference contains only </w:t>
      </w:r>
      <w:r>
        <w:rPr>
          <w:rFonts w:ascii="Consolas" w:hAnsi="Consolas"/>
          <w:sz w:val="22"/>
        </w:rPr>
        <w:t>B2–B7</w:t>
      </w:r>
      <w:r>
        <w:t xml:space="preserve">, not B8 (broad NIR), so the textbook NDVI/NDWI forms could not initially be computed. EcoTwin substituted the narrow-NIR red-edge channel B7 for B8 and recorded the substitution in the index names (NDVI-B7) rather than concealing it. That gap has since closed: the server-side B8 pipeline described in </w:t>
      </w:r>
      <w:r>
        <w:rPr>
          <w:i/>
        </w:rPr>
        <w:t>Server-Side B8 Acquisition</w:t>
      </w:r>
      <w:r>
        <w:t xml:space="preserve"> now populates </w:t>
      </w:r>
      <w:r>
        <w:rPr>
          <w:rFonts w:ascii="Consolas" w:hAnsi="Consolas"/>
          <w:sz w:val="22"/>
        </w:rPr>
        <w:t>lake_features.b8_mean</w:t>
      </w:r>
      <w:r>
        <w:t xml:space="preserve"> for every lake-year (</w:t>
      </w:r>
      <w:r>
        <w:rPr>
          <w:b/>
        </w:rPr>
        <w:t>8,227/8,227</w:t>
      </w:r>
      <w:r>
        <w:t xml:space="preserve">) without downloading a raster, so NDVI and NDWI are now computed against true NIR; NDCI, Turbidity, and Red-Edge Slope never needed NIR and are unaffected. All five indices are computed from per-band </w:t>
      </w:r>
      <w:r>
        <w:rPr>
          <w:i/>
        </w:rPr>
        <w:t>mean</w:t>
      </w:r>
      <w:r>
        <w:t xml:space="preserve"> reflectance over the lake polygon: NDCI ((B5−B4)/(B5+B4)) for chlorophyll-a/algal bloom; NDVI ((B8−B4)/(B8+B4)) for vegetation vigor, tracking macrophytes and floating weed; NDWI ((B3−B8)/(B3+B8)), the standard McFeeters water index, falling as vegetation raises B8; Turbidity ((B4−B3)/(B4+B3)) for suspended sediment; and Red-Edge Slope ((B7−B5)/78 nm) for pigment concentration and canopy density.</w:t>
      </w:r>
    </w:p>
    <w:p>
      <w:pPr>
        <w:pStyle w:val="APACaptionLabel"/>
      </w:pPr>
      <w:r>
        <w:t>Table 3</w:t>
      </w:r>
    </w:p>
    <w:p>
      <w:pPr>
        <w:pStyle w:val="APACaptionTitle"/>
      </w:pPr>
      <w:r>
        <w:t>Implemented ecological index set and ecological meaning.</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1584"/>
            <w:tcBorders>
              <w:top w:val="single" w:sz="6" w:color="000000"/>
              <w:bottom w:val="single" w:sz="6" w:color="000000"/>
            </w:tcBorders>
          </w:tcPr>
          <w:p>
            <w:pPr>
              <w:spacing w:line="240" w:lineRule="auto" w:after="40"/>
              <w:ind w:firstLine="0"/>
              <w:jc w:val="left"/>
            </w:pPr>
            <w:r>
              <w:rPr>
                <w:sz w:val="21"/>
              </w:rPr>
              <w:t>Index</w:t>
            </w:r>
          </w:p>
        </w:tc>
        <w:tc>
          <w:tcPr>
            <w:tcW w:type="dxa" w:w="2304"/>
            <w:tcBorders>
              <w:top w:val="single" w:sz="6" w:color="000000"/>
              <w:bottom w:val="single" w:sz="6" w:color="000000"/>
            </w:tcBorders>
          </w:tcPr>
          <w:p>
            <w:pPr>
              <w:spacing w:line="240" w:lineRule="auto" w:after="40"/>
              <w:ind w:firstLine="0"/>
              <w:jc w:val="left"/>
            </w:pPr>
            <w:r>
              <w:rPr>
                <w:sz w:val="21"/>
              </w:rPr>
              <w:t>Formula</w:t>
            </w:r>
          </w:p>
        </w:tc>
        <w:tc>
          <w:tcPr>
            <w:tcW w:type="dxa" w:w="4752"/>
            <w:tcBorders>
              <w:top w:val="single" w:sz="6" w:color="000000"/>
              <w:bottom w:val="single" w:sz="6" w:color="000000"/>
            </w:tcBorders>
          </w:tcPr>
          <w:p>
            <w:pPr>
              <w:spacing w:line="240" w:lineRule="auto" w:after="40"/>
              <w:ind w:firstLine="0"/>
              <w:jc w:val="left"/>
            </w:pPr>
            <w:r>
              <w:rPr>
                <w:sz w:val="21"/>
              </w:rPr>
              <w:t>Ecological interpretation</w:t>
            </w:r>
          </w:p>
        </w:tc>
      </w:tr>
      <w:tr>
        <w:tc>
          <w:tcPr>
            <w:tcW w:type="dxa" w:w="1584"/>
          </w:tcPr>
          <w:p>
            <w:pPr>
              <w:spacing w:line="240" w:lineRule="auto" w:after="40"/>
              <w:ind w:firstLine="0"/>
              <w:jc w:val="left"/>
            </w:pPr>
            <w:r>
              <w:rPr>
                <w:sz w:val="21"/>
              </w:rPr>
              <w:t>NDCI</w:t>
            </w:r>
          </w:p>
        </w:tc>
        <w:tc>
          <w:tcPr>
            <w:tcW w:type="dxa" w:w="2304"/>
          </w:tcPr>
          <w:p>
            <w:pPr>
              <w:spacing w:line="240" w:lineRule="auto" w:after="40"/>
              <w:ind w:firstLine="0"/>
              <w:jc w:val="right"/>
            </w:pPr>
            <w:r>
              <w:rPr>
                <w:sz w:val="21"/>
              </w:rPr>
              <w:t>(B5−B4)/(B5+B4)</w:t>
            </w:r>
          </w:p>
        </w:tc>
        <w:tc>
          <w:tcPr>
            <w:tcW w:type="dxa" w:w="4752"/>
          </w:tcPr>
          <w:p>
            <w:pPr>
              <w:spacing w:line="240" w:lineRule="auto" w:after="40"/>
              <w:ind w:firstLine="0"/>
              <w:jc w:val="right"/>
            </w:pPr>
            <w:r>
              <w:rPr>
                <w:sz w:val="21"/>
              </w:rPr>
              <w:t>Chlorophyll-a; eutrophication and algal bloom intensity</w:t>
            </w:r>
          </w:p>
        </w:tc>
      </w:tr>
      <w:tr>
        <w:tc>
          <w:tcPr>
            <w:tcW w:type="dxa" w:w="1584"/>
          </w:tcPr>
          <w:p>
            <w:pPr>
              <w:spacing w:line="240" w:lineRule="auto" w:after="40"/>
              <w:ind w:firstLine="0"/>
              <w:jc w:val="left"/>
            </w:pPr>
            <w:r>
              <w:rPr>
                <w:sz w:val="21"/>
              </w:rPr>
              <w:t>NDVI</w:t>
            </w:r>
          </w:p>
        </w:tc>
        <w:tc>
          <w:tcPr>
            <w:tcW w:type="dxa" w:w="2304"/>
          </w:tcPr>
          <w:p>
            <w:pPr>
              <w:spacing w:line="240" w:lineRule="auto" w:after="40"/>
              <w:ind w:firstLine="0"/>
              <w:jc w:val="right"/>
            </w:pPr>
            <w:r>
              <w:rPr>
                <w:sz w:val="21"/>
              </w:rPr>
              <w:t>(B8−B4)/(B8+B4)</w:t>
            </w:r>
          </w:p>
        </w:tc>
        <w:tc>
          <w:tcPr>
            <w:tcW w:type="dxa" w:w="4752"/>
          </w:tcPr>
          <w:p>
            <w:pPr>
              <w:spacing w:line="240" w:lineRule="auto" w:after="40"/>
              <w:ind w:firstLine="0"/>
              <w:jc w:val="right"/>
            </w:pPr>
            <w:r>
              <w:rPr>
                <w:sz w:val="21"/>
              </w:rPr>
              <w:t>Vegetation vigor (standard formula); macrophyte and floating-weed encroachment</w:t>
            </w:r>
          </w:p>
        </w:tc>
      </w:tr>
      <w:tr>
        <w:tc>
          <w:tcPr>
            <w:tcW w:type="dxa" w:w="1584"/>
          </w:tcPr>
          <w:p>
            <w:pPr>
              <w:spacing w:line="240" w:lineRule="auto" w:after="40"/>
              <w:ind w:firstLine="0"/>
              <w:jc w:val="left"/>
            </w:pPr>
            <w:r>
              <w:rPr>
                <w:sz w:val="21"/>
              </w:rPr>
              <w:t>NDWI</w:t>
            </w:r>
          </w:p>
        </w:tc>
        <w:tc>
          <w:tcPr>
            <w:tcW w:type="dxa" w:w="2304"/>
          </w:tcPr>
          <w:p>
            <w:pPr>
              <w:spacing w:line="240" w:lineRule="auto" w:after="40"/>
              <w:ind w:firstLine="0"/>
              <w:jc w:val="right"/>
            </w:pPr>
            <w:r>
              <w:rPr>
                <w:sz w:val="21"/>
              </w:rPr>
              <w:t>(B3−B8)/(B3+B8)</w:t>
            </w:r>
          </w:p>
        </w:tc>
        <w:tc>
          <w:tcPr>
            <w:tcW w:type="dxa" w:w="4752"/>
          </w:tcPr>
          <w:p>
            <w:pPr>
              <w:spacing w:line="240" w:lineRule="auto" w:after="40"/>
              <w:ind w:firstLine="0"/>
              <w:jc w:val="right"/>
            </w:pPr>
            <w:r>
              <w:rPr>
                <w:sz w:val="21"/>
              </w:rPr>
              <w:t>Open-water extent (standard McFeeters formula); falls as vegetation colonises the surface</w:t>
            </w:r>
          </w:p>
        </w:tc>
      </w:tr>
      <w:tr>
        <w:tc>
          <w:tcPr>
            <w:tcW w:type="dxa" w:w="1584"/>
          </w:tcPr>
          <w:p>
            <w:pPr>
              <w:spacing w:line="240" w:lineRule="auto" w:after="40"/>
              <w:ind w:firstLine="0"/>
              <w:jc w:val="left"/>
            </w:pPr>
            <w:r>
              <w:rPr>
                <w:sz w:val="21"/>
              </w:rPr>
              <w:t>Turbidity</w:t>
            </w:r>
          </w:p>
        </w:tc>
        <w:tc>
          <w:tcPr>
            <w:tcW w:type="dxa" w:w="2304"/>
          </w:tcPr>
          <w:p>
            <w:pPr>
              <w:spacing w:line="240" w:lineRule="auto" w:after="40"/>
              <w:ind w:firstLine="0"/>
              <w:jc w:val="right"/>
            </w:pPr>
            <w:r>
              <w:rPr>
                <w:sz w:val="21"/>
              </w:rPr>
              <w:t>(B4−B3)/(B4+B3)</w:t>
            </w:r>
          </w:p>
        </w:tc>
        <w:tc>
          <w:tcPr>
            <w:tcW w:type="dxa" w:w="4752"/>
          </w:tcPr>
          <w:p>
            <w:pPr>
              <w:spacing w:line="240" w:lineRule="auto" w:after="40"/>
              <w:ind w:firstLine="0"/>
              <w:jc w:val="right"/>
            </w:pPr>
            <w:r>
              <w:rPr>
                <w:sz w:val="21"/>
              </w:rPr>
              <w:t>Suspended sediment load and water clarity</w:t>
            </w:r>
          </w:p>
        </w:tc>
      </w:tr>
      <w:tr>
        <w:tc>
          <w:tcPr>
            <w:tcW w:type="dxa" w:w="1584"/>
            <w:tcBorders>
              <w:top w:val="nil"/>
              <w:bottom w:val="single" w:sz="6" w:color="000000"/>
            </w:tcBorders>
          </w:tcPr>
          <w:p>
            <w:pPr>
              <w:spacing w:line="240" w:lineRule="auto" w:after="40"/>
              <w:ind w:firstLine="0"/>
              <w:jc w:val="left"/>
            </w:pPr>
            <w:r>
              <w:rPr>
                <w:sz w:val="21"/>
              </w:rPr>
              <w:t>Red-edge slope</w:t>
            </w:r>
          </w:p>
        </w:tc>
        <w:tc>
          <w:tcPr>
            <w:tcW w:type="dxa" w:w="2304"/>
            <w:tcBorders>
              <w:top w:val="nil"/>
              <w:bottom w:val="single" w:sz="6" w:color="000000"/>
            </w:tcBorders>
          </w:tcPr>
          <w:p>
            <w:pPr>
              <w:spacing w:line="240" w:lineRule="auto" w:after="40"/>
              <w:ind w:firstLine="0"/>
              <w:jc w:val="right"/>
            </w:pPr>
            <w:r>
              <w:rPr>
                <w:sz w:val="21"/>
              </w:rPr>
              <w:t>(B7−B5)/78 nm</w:t>
            </w:r>
          </w:p>
        </w:tc>
        <w:tc>
          <w:tcPr>
            <w:tcW w:type="dxa" w:w="4752"/>
            <w:tcBorders>
              <w:top w:val="nil"/>
              <w:bottom w:val="single" w:sz="6" w:color="000000"/>
            </w:tcBorders>
          </w:tcPr>
          <w:p>
            <w:pPr>
              <w:spacing w:line="240" w:lineRule="auto" w:after="40"/>
              <w:ind w:firstLine="0"/>
              <w:jc w:val="right"/>
            </w:pPr>
            <w:r>
              <w:rPr>
                <w:sz w:val="21"/>
              </w:rPr>
              <w:t>Pigment concentration and canopy density trend</w:t>
            </w:r>
          </w:p>
        </w:tc>
      </w:tr>
    </w:tbl>
    <w:p>
      <w:pPr>
        <w:pStyle w:val="APABodyNoIndent"/>
      </w:pPr>
    </w:p>
    <w:p>
      <w:pPr>
        <w:pStyle w:val="APABody"/>
      </w:pPr>
      <w:r>
        <w:t xml:space="preserve">All five are computed in </w:t>
      </w:r>
      <w:r>
        <w:rPr>
          <w:rFonts w:ascii="Consolas" w:hAnsi="Consolas"/>
          <w:sz w:val="22"/>
        </w:rPr>
        <w:t>app/services/index_calculator.py</w:t>
      </w:r>
      <w:r>
        <w:t xml:space="preserve">, which returns </w:t>
      </w:r>
      <w:r>
        <w:rPr>
          <w:rFonts w:ascii="Consolas" w:hAnsi="Consolas"/>
          <w:sz w:val="22"/>
        </w:rPr>
        <w:t>None</w:t>
      </w:r>
      <w:r>
        <w:t xml:space="preserve"> for any index whose input bands are missing rather than substituting a default.</w:t>
      </w:r>
    </w:p>
    <w:p>
      <w:pPr>
        <w:pStyle w:val="APACaptionLabel"/>
      </w:pPr>
      <w:r>
        <w:t>Figure 2</w:t>
      </w:r>
    </w:p>
    <w:p>
      <w:pPr>
        <w:pStyle w:val="APACaptionTitle"/>
      </w:pPr>
      <w:r>
        <w:t>Stage 6 (Generate Lake Features): per-band statistics and on-demand index computation.</w:t>
      </w:r>
    </w:p>
    <w:p>
      <w:pPr>
        <w:spacing w:line="240" w:lineRule="auto"/>
        <w:ind w:firstLine="0"/>
      </w:pPr>
      <w:r>
        <w:drawing>
          <wp:inline xmlns:a="http://schemas.openxmlformats.org/drawingml/2006/main" xmlns:pic="http://schemas.openxmlformats.org/drawingml/2006/picture">
            <wp:extent cx="5486400" cy="1448311"/>
            <wp:docPr id="2" name="Picture 2"/>
            <wp:cNvGraphicFramePr>
              <a:graphicFrameLocks noChangeAspect="1"/>
            </wp:cNvGraphicFramePr>
            <a:graphic>
              <a:graphicData uri="http://schemas.openxmlformats.org/drawingml/2006/picture">
                <pic:pic>
                  <pic:nvPicPr>
                    <pic:cNvPr id="0" name="stage6_features.png"/>
                    <pic:cNvPicPr/>
                  </pic:nvPicPr>
                  <pic:blipFill>
                    <a:blip r:embed="rId11"/>
                    <a:stretch>
                      <a:fillRect/>
                    </a:stretch>
                  </pic:blipFill>
                  <pic:spPr>
                    <a:xfrm>
                      <a:off x="0" y="0"/>
                      <a:ext cx="5486400" cy="1448311"/>
                    </a:xfrm>
                    <a:prstGeom prst="rect"/>
                  </pic:spPr>
                </pic:pic>
              </a:graphicData>
            </a:graphic>
          </wp:inline>
        </w:drawing>
      </w:r>
    </w:p>
    <w:p>
      <w:pPr>
        <w:pStyle w:val="APACaptionNote"/>
      </w:pPr>
      <w:r>
        <w:rPr>
          <w:i/>
        </w:rPr>
        <w:t xml:space="preserve">Note. </w:t>
      </w:r>
      <w:r>
        <w:t>Unlike Prithvi inference, this stage clips the merged mosaic to the bare lake polygon (no buffer, no cell grid) and computes per-band statistics and GLCM texture directly; only the band means are persisted, and each index of Table 3 is recomputed on demand.</w:t>
      </w:r>
    </w:p>
    <w:p>
      <w:pPr>
        <w:pStyle w:val="APABodyNoIndent"/>
      </w:pPr>
    </w:p>
    <w:p>
      <w:pPr>
        <w:pStyle w:val="APABody"/>
      </w:pPr>
      <w:r>
        <w:t>B8 is deliberately excluded from the Prithvi input, whose band count is fixed by the model's training configuration, but is acquired separately and stored alongside the other band statistics. A valid ecosystem record requires a valid polygon and year, a usable composite, valid exported raster data, valid cells after coverage filtering, and a successful embedding per cell; the pipeline distinguishes successful, failed, skipped, and already-completed work so long-running jobs can be resumed.</w:t>
      </w:r>
    </w:p>
    <w:p>
      <w:r>
        <w:br w:type="page"/>
      </w:r>
    </w:p>
    <w:p>
      <w:pPr>
        <w:pStyle w:val="APAH1"/>
      </w:pPr>
      <w:r>
        <w:t>Detailed EcoTwin Methodology</w:t>
      </w:r>
    </w:p>
    <w:p>
      <w:pPr>
        <w:pStyle w:val="APAH2"/>
      </w:pPr>
      <w:r>
        <w:t>End-to-End Pipeline</w:t>
      </w:r>
    </w:p>
    <w:p>
      <w:pPr>
        <w:pStyle w:val="APABody"/>
      </w:pPr>
      <w:r>
        <w:t>The implemented workflow is:</w:t>
      </w:r>
    </w:p>
    <w:p>
      <w:pPr>
        <w:pStyle w:val="APAQuote"/>
      </w:pPr>
      <w:r>
        <w:rPr>
          <w:i/>
        </w:rPr>
        <w:t>Lake Inventory → Boundary Validation → Buffering → Imagery Tiling → Sentinel-2 Composite → GeoTIFF → Local Mosaic → 1 km Cells → Coverage Filter → Prithvi → 768D Embeddings → pgvector → Cosine Search → Analogs → Temporal Profiles → Forecast</w:t>
      </w:r>
    </w:p>
    <w:p>
      <w:pPr>
        <w:pStyle w:val="APAH2"/>
      </w:pPr>
      <w:r>
        <w:t>Data-Fetching Workflow and Imagery Acquisition</w:t>
      </w:r>
    </w:p>
    <w:p>
      <w:pPr>
        <w:pStyle w:val="APABody"/>
      </w:pPr>
      <w:r>
        <w:t xml:space="preserve">The seventeen-step pipeline above is what EcoTwin </w:t>
      </w:r>
      <w:r>
        <w:rPr>
          <w:i/>
        </w:rPr>
        <w:t>computes</w:t>
      </w:r>
      <w:r>
        <w:t xml:space="preserve">; Figure 3 shows how an operator actually </w:t>
      </w:r>
      <w:r>
        <w:rPr>
          <w:i/>
        </w:rPr>
        <w:t>runs</w:t>
      </w:r>
      <w:r>
        <w:t xml:space="preserve"> it, as seven sequential stages, each a separate API call, background job, and database write, so a failure at stage 4 leaves stages 1–3 intact and does not require re-fetching imagery already on disk.</w:t>
      </w:r>
    </w:p>
    <w:p>
      <w:pPr>
        <w:pStyle w:val="APACaptionLabel"/>
      </w:pPr>
      <w:r>
        <w:t>Figure 3</w:t>
      </w:r>
    </w:p>
    <w:p>
      <w:pPr>
        <w:pStyle w:val="APACaptionTitle"/>
      </w:pPr>
      <w:r>
        <w:t>The seven-stage data-fetching workflow.</w:t>
      </w:r>
    </w:p>
    <w:p>
      <w:pPr>
        <w:spacing w:line="240" w:lineRule="auto"/>
        <w:ind w:firstLine="0"/>
      </w:pPr>
      <w:r>
        <w:drawing>
          <wp:inline xmlns:a="http://schemas.openxmlformats.org/drawingml/2006/main" xmlns:pic="http://schemas.openxmlformats.org/drawingml/2006/picture">
            <wp:extent cx="5760720" cy="3104406"/>
            <wp:docPr id="3" name="Picture 3"/>
            <wp:cNvGraphicFramePr>
              <a:graphicFrameLocks noChangeAspect="1"/>
            </wp:cNvGraphicFramePr>
            <a:graphic>
              <a:graphicData uri="http://schemas.openxmlformats.org/drawingml/2006/picture">
                <pic:pic>
                  <pic:nvPicPr>
                    <pic:cNvPr id="0" name="data_fetch_workflow.png"/>
                    <pic:cNvPicPr/>
                  </pic:nvPicPr>
                  <pic:blipFill>
                    <a:blip r:embed="rId12"/>
                    <a:stretch>
                      <a:fillRect/>
                    </a:stretch>
                  </pic:blipFill>
                  <pic:spPr>
                    <a:xfrm>
                      <a:off x="0" y="0"/>
                      <a:ext cx="5760720" cy="3104406"/>
                    </a:xfrm>
                    <a:prstGeom prst="rect"/>
                  </pic:spPr>
                </pic:pic>
              </a:graphicData>
            </a:graphic>
          </wp:inline>
        </w:drawing>
      </w:r>
    </w:p>
    <w:p>
      <w:pPr>
        <w:pStyle w:val="APACaptionNote"/>
      </w:pPr>
      <w:r>
        <w:rPr>
          <w:i/>
        </w:rPr>
        <w:t xml:space="preserve">Note. </w:t>
      </w:r>
      <w:r>
        <w:t>Each stage reads the previous stage's database output, never the raw upstream source directly.</w:t>
      </w:r>
    </w:p>
    <w:p>
      <w:pPr>
        <w:pStyle w:val="APABodyNoIndent"/>
      </w:pPr>
    </w:p>
    <w:p>
      <w:pPr>
        <w:pStyle w:val="APABody"/>
      </w:pPr>
      <w:r>
        <w:t>Every stage is idempotent at the row level: each writes a status column before doing any work, and a re-run skips rows already completed.</w:t>
      </w:r>
    </w:p>
    <w:p>
      <w:pPr>
        <w:pStyle w:val="APABody"/>
      </w:pPr>
      <w:r>
        <w:t>Steps 1–2 (Boundary Retrieval and Buffering): the pipeline reads the target lake polygon from PostGIS, validates it, and transforms it into a projected CRS, then expands it with a configurable buffer (1200 m during development), since the ecosystem representation is not restricted to the water polygon itself: surrounding shoreline and vegetation contribute to the spatial-spectral signature.</w:t>
      </w:r>
    </w:p>
    <w:p>
      <w:pPr>
        <w:pStyle w:val="APACaptionLabel"/>
      </w:pPr>
      <w:r>
        <w:t>Figure 4</w:t>
      </w:r>
    </w:p>
    <w:p>
      <w:pPr>
        <w:pStyle w:val="APACaptionTitle"/>
      </w:pPr>
      <w:r>
        <w:t>Step 2 (Buffering): expansion of the lake polygon by a fixed margin.</w:t>
      </w:r>
    </w:p>
    <w:p>
      <w:pPr>
        <w:spacing w:line="240" w:lineRule="auto"/>
        <w:ind w:firstLine="0"/>
      </w:pPr>
      <w:r>
        <w:drawing>
          <wp:inline xmlns:a="http://schemas.openxmlformats.org/drawingml/2006/main" xmlns:pic="http://schemas.openxmlformats.org/drawingml/2006/picture">
            <wp:extent cx="4754880" cy="2436142"/>
            <wp:docPr id="4" name="Picture 4"/>
            <wp:cNvGraphicFramePr>
              <a:graphicFrameLocks noChangeAspect="1"/>
            </wp:cNvGraphicFramePr>
            <a:graphic>
              <a:graphicData uri="http://schemas.openxmlformats.org/drawingml/2006/picture">
                <pic:pic>
                  <pic:nvPicPr>
                    <pic:cNvPr id="0" name="step2_buffer.png"/>
                    <pic:cNvPicPr/>
                  </pic:nvPicPr>
                  <pic:blipFill>
                    <a:blip r:embed="rId13"/>
                    <a:stretch>
                      <a:fillRect/>
                    </a:stretch>
                  </pic:blipFill>
                  <pic:spPr>
                    <a:xfrm>
                      <a:off x="0" y="0"/>
                      <a:ext cx="4754880" cy="2436142"/>
                    </a:xfrm>
                    <a:prstGeom prst="rect"/>
                  </pic:spPr>
                </pic:pic>
              </a:graphicData>
            </a:graphic>
          </wp:inline>
        </w:drawing>
      </w:r>
    </w:p>
    <w:p>
      <w:pPr>
        <w:pStyle w:val="APACaptionNote"/>
      </w:pPr>
      <w:r>
        <w:rPr>
          <w:i/>
        </w:rPr>
        <w:t xml:space="preserve">Note. </w:t>
      </w:r>
      <w:r>
        <w:t>The original polygon (a) is expanded by a fixed 1200 m buffer (b); everything between the two boundaries is retained as part of the ecosystem representation.</w:t>
      </w:r>
    </w:p>
    <w:p>
      <w:pPr>
        <w:pStyle w:val="APABodyNoIndent"/>
      </w:pPr>
    </w:p>
    <w:p>
      <w:pPr>
        <w:pStyle w:val="APABody"/>
      </w:pPr>
      <w:r>
        <w:t>Step 3 (Projected Grid Generation): the buffered polygon is projected into a metric CRS, and a regular imagery grid — deliberately coarser than the final analysis grid, at an 8500 m tile size chosen to balance Earth Engine request size, memory use, and local processing cost — is generated around it. A lake may therefore produce one, two, or several imagery tiles depending on its size and shape.</w:t>
      </w:r>
    </w:p>
    <w:p>
      <w:pPr>
        <w:pStyle w:val="APACaptionLabel"/>
      </w:pPr>
      <w:r>
        <w:t>Figure 5</w:t>
      </w:r>
    </w:p>
    <w:p>
      <w:pPr>
        <w:pStyle w:val="APACaptionTitle"/>
      </w:pPr>
      <w:r>
        <w:t>Step 3 (Imagery Tiling): tile grid overlay and per-tile Earth Engine request.</w:t>
      </w:r>
    </w:p>
    <w:p>
      <w:pPr>
        <w:spacing w:line="240" w:lineRule="auto"/>
        <w:ind w:firstLine="0"/>
      </w:pPr>
      <w:r>
        <w:drawing>
          <wp:inline xmlns:a="http://schemas.openxmlformats.org/drawingml/2006/main" xmlns:pic="http://schemas.openxmlformats.org/drawingml/2006/picture">
            <wp:extent cx="5760720" cy="3146016"/>
            <wp:docPr id="5" name="Picture 5"/>
            <wp:cNvGraphicFramePr>
              <a:graphicFrameLocks noChangeAspect="1"/>
            </wp:cNvGraphicFramePr>
            <a:graphic>
              <a:graphicData uri="http://schemas.openxmlformats.org/drawingml/2006/picture">
                <pic:pic>
                  <pic:nvPicPr>
                    <pic:cNvPr id="0" name="step3_tiling.png"/>
                    <pic:cNvPicPr/>
                  </pic:nvPicPr>
                  <pic:blipFill>
                    <a:blip r:embed="rId14"/>
                    <a:stretch>
                      <a:fillRect/>
                    </a:stretch>
                  </pic:blipFill>
                  <pic:spPr>
                    <a:xfrm>
                      <a:off x="0" y="0"/>
                      <a:ext cx="5760720" cy="3146016"/>
                    </a:xfrm>
                    <a:prstGeom prst="rect"/>
                  </pic:spPr>
                </pic:pic>
              </a:graphicData>
            </a:graphic>
          </wp:inline>
        </w:drawing>
      </w:r>
    </w:p>
    <w:p>
      <w:pPr>
        <w:pStyle w:val="APACaptionNote"/>
      </w:pPr>
      <w:r>
        <w:rPr>
          <w:i/>
        </w:rPr>
        <w:t xml:space="preserve">Note. </w:t>
      </w:r>
      <w:r>
        <w:t>The buffered extent (a) is clipped against a ~8.5 km grid (here four tiles); each tile drives one Earth Engine request (b) — the “Fetch Images” data-fetching stage.</w:t>
      </w:r>
    </w:p>
    <w:p>
      <w:pPr>
        <w:pStyle w:val="APABodyNoIndent"/>
      </w:pPr>
    </w:p>
    <w:p>
      <w:pPr>
        <w:pStyle w:val="APABody"/>
      </w:pPr>
      <w:r>
        <w:t>Steps 4–8 (Sentinel-2 Compositing, Export, and Resumability): for each lake-year combination, the pipeline first queries the preferred surface-reflectance collection (</w:t>
      </w:r>
      <w:r>
        <w:rPr>
          <w:rFonts w:ascii="Consolas" w:hAnsi="Consolas"/>
          <w:sz w:val="22"/>
        </w:rPr>
        <w:t>S2_SR_HARMONIZED</w:t>
      </w:r>
      <w:r>
        <w:t>); if no usable observation exists, it falls back to the Level-1C collection (</w:t>
      </w:r>
      <w:r>
        <w:rPr>
          <w:rFonts w:ascii="Consolas" w:hAnsi="Consolas"/>
          <w:sz w:val="22"/>
        </w:rPr>
        <w:t>S2</w:t>
      </w:r>
      <w:r>
        <w:t>), a decision recorded in the processing metadata before export. Scenes with cloud cover exceeding 20% are excluded, and unusable pixels are masked using cloud-probability and class-based information where available. The filtered observations are then combined into an annual per-pixel, per-band median composite,</w:t>
      </w:r>
    </w:p>
    <w:p>
      <w:pPr>
        <w:pStyle w:val="APAEquation"/>
      </w:pPr>
      <w:r>
        <w:t>I_annual(p, b) = median( I₁(p, b), I₂(p, b), …, Iₙ(p, b) )</w:t>
        <w:tab/>
        <w:t>(1)</w:t>
      </w:r>
    </w:p>
    <w:p>
      <w:pPr>
        <w:pStyle w:val="APABody"/>
      </w:pPr>
      <w:r>
        <w:t>clipped to the requested extent, and exported as local GeoTIFF at 10 m resolution. Each tile carries status metadata (lake ID, year, tile index, bounding box, local path), checked before starting a new Earth Engine request for the same tile: a batch interrupted partway through a lake resumes from its first incomplete tile.</w:t>
      </w:r>
    </w:p>
    <w:p>
      <w:pPr>
        <w:pStyle w:val="APABody"/>
      </w:pPr>
      <w:r>
        <w:t>Step 9 (Local Raster Merging): after all tiles belonging to a lake-year are available, rasterio merges them into a single raster mosaic, reprojecting and writing with compression settings that reduce storage while preserving the numerical precision inference needs. The merged image becomes the stable source from which analysis cells are extracted.</w:t>
      </w:r>
    </w:p>
    <w:p>
      <w:pPr>
        <w:pStyle w:val="APACaptionLabel"/>
      </w:pPr>
      <w:r>
        <w:t>Figure 6</w:t>
      </w:r>
    </w:p>
    <w:p>
      <w:pPr>
        <w:pStyle w:val="APACaptionTitle"/>
      </w:pPr>
      <w:r>
        <w:t>Step 9 (Local Raster Merging): independent tile GeoTIFFs mosaicked into one raster.</w:t>
      </w:r>
    </w:p>
    <w:p>
      <w:pPr>
        <w:spacing w:line="240" w:lineRule="auto"/>
        <w:ind w:firstLine="0"/>
      </w:pPr>
      <w:r>
        <w:drawing>
          <wp:inline xmlns:a="http://schemas.openxmlformats.org/drawingml/2006/main" xmlns:pic="http://schemas.openxmlformats.org/drawingml/2006/picture">
            <wp:extent cx="5760720" cy="2524760"/>
            <wp:docPr id="6" name="Picture 6"/>
            <wp:cNvGraphicFramePr>
              <a:graphicFrameLocks noChangeAspect="1"/>
            </wp:cNvGraphicFramePr>
            <a:graphic>
              <a:graphicData uri="http://schemas.openxmlformats.org/drawingml/2006/picture">
                <pic:pic>
                  <pic:nvPicPr>
                    <pic:cNvPr id="0" name="step9_merge.png"/>
                    <pic:cNvPicPr/>
                  </pic:nvPicPr>
                  <pic:blipFill>
                    <a:blip r:embed="rId15"/>
                    <a:stretch>
                      <a:fillRect/>
                    </a:stretch>
                  </pic:blipFill>
                  <pic:spPr>
                    <a:xfrm>
                      <a:off x="0" y="0"/>
                      <a:ext cx="5760720" cy="2524760"/>
                    </a:xfrm>
                    <a:prstGeom prst="rect"/>
                  </pic:spPr>
                </pic:pic>
              </a:graphicData>
            </a:graphic>
          </wp:inline>
        </w:drawing>
      </w:r>
    </w:p>
    <w:p>
      <w:pPr>
        <w:pStyle w:val="APACaptionNote"/>
      </w:pPr>
      <w:r>
        <w:rPr>
          <w:i/>
        </w:rPr>
        <w:t xml:space="preserve">Note. </w:t>
      </w:r>
      <w:r>
        <w:t xml:space="preserve">Independent tile GeoTIFFs (a) are mosaicked by </w:t>
      </w:r>
      <w:r>
        <w:rPr>
          <w:rFonts w:ascii="Consolas" w:hAnsi="Consolas"/>
          <w:sz w:val="22"/>
        </w:rPr>
        <w:t>rasterio.merge</w:t>
      </w:r>
      <w:r>
        <w:t xml:space="preserve"> into one seamless lake-year raster (b), recorded in </w:t>
      </w:r>
      <w:r>
        <w:rPr>
          <w:rFonts w:ascii="Consolas" w:hAnsi="Consolas"/>
          <w:sz w:val="22"/>
        </w:rPr>
        <w:t>lake_images</w:t>
      </w:r>
      <w:r>
        <w:t xml:space="preserve"> — the “Merge Image Tiles” stage.</w:t>
      </w:r>
    </w:p>
    <w:p>
      <w:pPr>
        <w:pStyle w:val="APABodyNoIndent"/>
      </w:pPr>
    </w:p>
    <w:p>
      <w:pPr>
        <w:pStyle w:val="APAH2"/>
      </w:pPr>
      <w:r>
        <w:t>Embedding Generation: Analysis Cells through Pooling</w:t>
      </w:r>
    </w:p>
    <w:p>
      <w:pPr>
        <w:pStyle w:val="APABody"/>
      </w:pPr>
      <w:r>
        <w:t>Step 10 (Analysis-Cell Generation): the merged lake image is intersected with a regular 1×1 km analysis grid, and for each cell the lake coverage is computed,</w:t>
      </w:r>
    </w:p>
    <w:p>
      <w:pPr>
        <w:pStyle w:val="APAEquation"/>
      </w:pPr>
      <w:r>
        <w:t>Coverage(c) = [ Area(c ∩ Lake) / Area(c) ] × 100</w:t>
        <w:tab/>
        <w:t>(2)</w:t>
      </w:r>
    </w:p>
    <w:p>
      <w:pPr>
        <w:pStyle w:val="APABody"/>
      </w:pPr>
      <w:r>
        <w:t>with only cells above a 15% threshold retained, preventing cells that merely touch a lake's corner from being treated as representative.</w:t>
      </w:r>
    </w:p>
    <w:p>
      <w:pPr>
        <w:pStyle w:val="APACaptionLabel"/>
      </w:pPr>
      <w:r>
        <w:t>Figure 7</w:t>
      </w:r>
    </w:p>
    <w:p>
      <w:pPr>
        <w:pStyle w:val="APACaptionTitle"/>
      </w:pPr>
      <w:r>
        <w:t>Step 10 (Analysis-Cell Generation): coverage-based retention of 1 km cells.</w:t>
      </w:r>
    </w:p>
    <w:p>
      <w:pPr>
        <w:spacing w:line="240" w:lineRule="auto"/>
        <w:ind w:firstLine="0"/>
      </w:pPr>
      <w:r>
        <w:drawing>
          <wp:inline xmlns:a="http://schemas.openxmlformats.org/drawingml/2006/main" xmlns:pic="http://schemas.openxmlformats.org/drawingml/2006/picture">
            <wp:extent cx="4206240" cy="2288966"/>
            <wp:docPr id="7" name="Picture 7"/>
            <wp:cNvGraphicFramePr>
              <a:graphicFrameLocks noChangeAspect="1"/>
            </wp:cNvGraphicFramePr>
            <a:graphic>
              <a:graphicData uri="http://schemas.openxmlformats.org/drawingml/2006/picture">
                <pic:pic>
                  <pic:nvPicPr>
                    <pic:cNvPr id="0" name="step10_cells.png"/>
                    <pic:cNvPicPr/>
                  </pic:nvPicPr>
                  <pic:blipFill>
                    <a:blip r:embed="rId16"/>
                    <a:stretch>
                      <a:fillRect/>
                    </a:stretch>
                  </pic:blipFill>
                  <pic:spPr>
                    <a:xfrm>
                      <a:off x="0" y="0"/>
                      <a:ext cx="4206240" cy="2288966"/>
                    </a:xfrm>
                    <a:prstGeom prst="rect"/>
                  </pic:spPr>
                </pic:pic>
              </a:graphicData>
            </a:graphic>
          </wp:inline>
        </w:drawing>
      </w:r>
    </w:p>
    <w:p>
      <w:pPr>
        <w:pStyle w:val="APACaptionNote"/>
      </w:pPr>
      <w:r>
        <w:rPr>
          <w:i/>
        </w:rPr>
        <w:t xml:space="preserve">Note. </w:t>
      </w:r>
      <w:r>
        <w:t>The merged mosaic is intersected with a 1 km grid; cells with substantial coverage (green) are retained as embedding units, corner-touch cells below 15% (red) are discarded.</w:t>
      </w:r>
    </w:p>
    <w:p>
      <w:pPr>
        <w:pStyle w:val="APABodyNoIndent"/>
      </w:pPr>
    </w:p>
    <w:p>
      <w:pPr>
        <w:pStyle w:val="APABody"/>
      </w:pPr>
      <w:r>
        <w:t xml:space="preserve">Steps 11–12 (Model Input Preparation and Prithvi Embedding Generation): each retained analysis cell is read from the local merged GeoTIFF and its six selected bands are converted into the model's expected tensor layout, numerical range, and spatial dimensions — kept as a distinct stage from inference so the model can be changed without re-downloading satellite data. Prithvi, the geospatial foundation model, then transforms each six-band </w:t>
      </w:r>
      <w:r>
        <w:rPr>
          <w:rFonts w:ascii="Consolas" w:hAnsi="Consolas"/>
          <w:sz w:val="22"/>
        </w:rPr>
        <w:t>B2–B7</w:t>
      </w:r>
      <w:r>
        <w:t xml:space="preserve"> cell image X into a fixed-length feature vector f(X) → z ∈ ℝ⁷⁶⁸, batched eight at a time (</w:t>
      </w:r>
      <w:r>
        <w:rPr>
          <w:rFonts w:ascii="Consolas" w:hAnsi="Consolas"/>
          <w:sz w:val="22"/>
        </w:rPr>
        <w:t>EMBEDDING_GPU_BATCH_SIZE</w:t>
      </w:r>
      <w:r>
        <w:t>) on CPU inference. Every output vector is L2-normalised, so cosine similarity reduces exactly to the inner product and the entire similarity search can be executed as matrix multiplication.</w:t>
      </w:r>
    </w:p>
    <w:p>
      <w:pPr>
        <w:pStyle w:val="APACaptionLabel"/>
      </w:pPr>
      <w:r>
        <w:t>Figure 8</w:t>
      </w:r>
    </w:p>
    <w:p>
      <w:pPr>
        <w:pStyle w:val="APACaptionTitle"/>
      </w:pPr>
      <w:r>
        <w:t>Steps 11–12: cell tensor preparation and Prithvi embedding.</w:t>
      </w:r>
    </w:p>
    <w:p>
      <w:pPr>
        <w:spacing w:line="240" w:lineRule="auto"/>
        <w:ind w:firstLine="0"/>
      </w:pPr>
      <w:r>
        <w:drawing>
          <wp:inline xmlns:a="http://schemas.openxmlformats.org/drawingml/2006/main" xmlns:pic="http://schemas.openxmlformats.org/drawingml/2006/picture">
            <wp:extent cx="5760720" cy="1479031"/>
            <wp:docPr id="8" name="Picture 8"/>
            <wp:cNvGraphicFramePr>
              <a:graphicFrameLocks noChangeAspect="1"/>
            </wp:cNvGraphicFramePr>
            <a:graphic>
              <a:graphicData uri="http://schemas.openxmlformats.org/drawingml/2006/picture">
                <pic:pic>
                  <pic:nvPicPr>
                    <pic:cNvPr id="0" name="step12_prithvi.png"/>
                    <pic:cNvPicPr/>
                  </pic:nvPicPr>
                  <pic:blipFill>
                    <a:blip r:embed="rId17"/>
                    <a:stretch>
                      <a:fillRect/>
                    </a:stretch>
                  </pic:blipFill>
                  <pic:spPr>
                    <a:xfrm>
                      <a:off x="0" y="0"/>
                      <a:ext cx="5760720" cy="1479031"/>
                    </a:xfrm>
                    <a:prstGeom prst="rect"/>
                  </pic:spPr>
                </pic:pic>
              </a:graphicData>
            </a:graphic>
          </wp:inline>
        </w:drawing>
      </w:r>
    </w:p>
    <w:p>
      <w:pPr>
        <w:pStyle w:val="APACaptionNote"/>
      </w:pPr>
      <w:r>
        <w:rPr>
          <w:i/>
        </w:rPr>
        <w:t xml:space="preserve">Note. </w:t>
      </w:r>
      <w:r>
        <w:t>Each retained cell is clipped and read as a 224×224-pixel, six-band tensor, normalised using Prithvi's own per-band mean/std, then batched into the Prithvi-EO-1.0-100M encoder — the only stage where the foundation model is invoked — producing a 768-d, L2-normalised vector.</w:t>
      </w:r>
    </w:p>
    <w:p>
      <w:pPr>
        <w:pStyle w:val="APABodyNoIndent"/>
      </w:pPr>
    </w:p>
    <w:p>
      <w:pPr>
        <w:pStyle w:val="APABody"/>
      </w:pPr>
      <w:r>
        <w:t>Step 12a (Coverage-Weighted Lake-Level Pooling): cell-level embeddings preserve spatial detail, but retrieval and forecasting operate on lakes. For a lake-year with cells c₁,…,c_N having embeddings eᵢ and lake-coverage percentages wᵢ, the lake embedding is the coverage-weighted mean, re-normalised:</w:t>
      </w:r>
    </w:p>
    <w:p>
      <w:pPr>
        <w:pStyle w:val="APAEquation"/>
      </w:pPr>
      <w:r>
        <w:t>z_lake = ( Σᵢ wᵢ eᵢ ) / ‖ Σᵢ wᵢ eᵢ ‖₂</w:t>
        <w:tab/>
        <w:t>(3)</w:t>
      </w:r>
    </w:p>
    <w:p>
      <w:pPr>
        <w:pStyle w:val="APABody"/>
      </w:pPr>
      <w:r>
        <w:t xml:space="preserve">so a cell almost entirely filled by the lake contributes more than one that merely clips its margin; cells with zero coverage, zero vectors, or the wrong dimensionality are excluded before pooling. Across the cohort this reduces </w:t>
      </w:r>
      <w:r>
        <w:rPr>
          <w:b/>
        </w:rPr>
        <w:t>233,002</w:t>
      </w:r>
      <w:r>
        <w:t xml:space="preserve"> cell embeddings to </w:t>
      </w:r>
      <w:r>
        <w:rPr>
          <w:b/>
        </w:rPr>
        <w:t>8,227</w:t>
      </w:r>
      <w:r>
        <w:t xml:space="preserve"> lake-year vectors, an average of </w:t>
      </w:r>
      <w:r>
        <w:rPr>
          <w:b/>
        </w:rPr>
        <w:t>28.3</w:t>
      </w:r>
      <w:r>
        <w:t xml:space="preserve"> cells per lake-year, with the cell-level vectors retained as the underlying evidence for any result the pooled vector produces.</w:t>
      </w:r>
    </w:p>
    <w:p>
      <w:pPr>
        <w:pStyle w:val="APACaptionLabel"/>
      </w:pPr>
      <w:r>
        <w:t>Figure 9</w:t>
      </w:r>
    </w:p>
    <w:p>
      <w:pPr>
        <w:pStyle w:val="APACaptionTitle"/>
      </w:pPr>
      <w:r>
        <w:t>Step 12a (Coverage-Weighted Pooling): weighted contribution of cell embeddings.</w:t>
      </w:r>
    </w:p>
    <w:p>
      <w:pPr>
        <w:spacing w:line="240" w:lineRule="auto"/>
        <w:ind w:firstLine="0"/>
      </w:pPr>
      <w:r>
        <w:drawing>
          <wp:inline xmlns:a="http://schemas.openxmlformats.org/drawingml/2006/main" xmlns:pic="http://schemas.openxmlformats.org/drawingml/2006/picture">
            <wp:extent cx="5760720" cy="2686396"/>
            <wp:docPr id="9" name="Picture 9"/>
            <wp:cNvGraphicFramePr>
              <a:graphicFrameLocks noChangeAspect="1"/>
            </wp:cNvGraphicFramePr>
            <a:graphic>
              <a:graphicData uri="http://schemas.openxmlformats.org/drawingml/2006/picture">
                <pic:pic>
                  <pic:nvPicPr>
                    <pic:cNvPr id="0" name="step12a_pooling.png"/>
                    <pic:cNvPicPr/>
                  </pic:nvPicPr>
                  <pic:blipFill>
                    <a:blip r:embed="rId18"/>
                    <a:stretch>
                      <a:fillRect/>
                    </a:stretch>
                  </pic:blipFill>
                  <pic:spPr>
                    <a:xfrm>
                      <a:off x="0" y="0"/>
                      <a:ext cx="5760720" cy="2686396"/>
                    </a:xfrm>
                    <a:prstGeom prst="rect"/>
                  </pic:spPr>
                </pic:pic>
              </a:graphicData>
            </a:graphic>
          </wp:inline>
        </w:drawing>
      </w:r>
    </w:p>
    <w:p>
      <w:pPr>
        <w:pStyle w:val="APACaptionNote"/>
      </w:pPr>
      <w:r>
        <w:rPr>
          <w:i/>
        </w:rPr>
        <w:t xml:space="preserve">Note. </w:t>
      </w:r>
      <w:r>
        <w:t>Each cell embedding contributes in proportion to its coverage wᵢ (e.g. 88% outweighs 41%), and the weighted sum is L2-renormalised.</w:t>
      </w:r>
    </w:p>
    <w:p>
      <w:pPr>
        <w:pStyle w:val="APABodyNoIndent"/>
      </w:pPr>
    </w:p>
    <w:p>
      <w:pPr>
        <w:pStyle w:val="APABody"/>
      </w:pPr>
      <w:r>
        <w:t>Before insertion, every embedding is checked for expected dimensionality, missing values, numerical validity, and correct lake/year/cell association, then stored in PostgreSQL via pgvector under the relationship Lake → Year → Spatial Cell → Embedding, preserving the provenance needed to explain why an ecosystem was retrieved as an analog.</w:t>
      </w:r>
    </w:p>
    <w:p>
      <w:pPr>
        <w:pStyle w:val="APAH2"/>
      </w:pPr>
      <w:r>
        <w:t>Trajectory Similarity Search</w:t>
      </w:r>
    </w:p>
    <w:p>
      <w:pPr>
        <w:pStyle w:val="APABody"/>
      </w:pPr>
      <w:r>
        <w:t xml:space="preserve">Comparing one query embedding against one candidate asks only </w:t>
      </w:r>
      <w:r>
        <w:rPr>
          <w:i/>
        </w:rPr>
        <w:t>which lake looked like this lake, in this year?</w:t>
      </w:r>
      <w:r>
        <w:t xml:space="preserve"> — too weak a question for forecasting, since two lakes can coincide in a single year and diverge over the following decade. EcoTwin instead asks which lake has been moving through the representation space the way this lake has been moving: a shared five-year path is a far better basis for projecting the next three.</w:t>
      </w:r>
    </w:p>
    <w:p>
      <w:pPr>
        <w:pStyle w:val="APABody"/>
      </w:pPr>
      <w:r>
        <w:t>For a query lake with embeddings ordered by year, EcoTwin forms the trajectory ending at anchor year t₀ with window size W = 5,</w:t>
      </w:r>
    </w:p>
    <w:p>
      <w:pPr>
        <w:pStyle w:val="APAEquation"/>
      </w:pPr>
      <w:r>
        <w:t>Q = ( q_(t₀−4), q_(t₀−3), q_(t₀−2), q_(t₀−1), q_(t₀) )</w:t>
        <w:tab/>
        <w:t>(4)</w:t>
      </w:r>
    </w:p>
    <w:p>
      <w:pPr>
        <w:pStyle w:val="APABody"/>
      </w:pPr>
      <w:r>
        <w:t>and each candidate lake with at least W years of history is expanded into every contiguous five-year window (ten years of data yields six windows),</w:t>
      </w:r>
    </w:p>
    <w:p>
      <w:pPr>
        <w:pStyle w:val="APAEquation"/>
      </w:pPr>
      <w:r>
        <w:t>C⁽ʲ⁾ = ( c_(yⱼ), …, c_(yⱼ+4) ),   j = 1, …, n − W + 1</w:t>
        <w:tab/>
        <w:t>(5)</w:t>
      </w:r>
    </w:p>
    <w:p>
      <w:pPr>
        <w:pStyle w:val="APABody"/>
      </w:pPr>
      <w:r>
        <w:t>which need not align in calendar time with the query: a lake that underwent in 2017–2021 the transition another lake is undergoing in 2021–2025 is precisely the analog sought. Each window is scored as the mean of the year-by-year cosine similarities between corresponding positions,</w:t>
      </w:r>
    </w:p>
    <w:p>
      <w:pPr>
        <w:pStyle w:val="APAEquation"/>
      </w:pPr>
      <w:r>
        <w:t>S(Q, C⁽ʲ⁾) = (1/W) Σᵢ₌₁^W  [ qᵢᵀ cᵢ⁽ʲ⁾ / (‖qᵢ‖₂ ‖cᵢ⁽ʲ⁾‖₂) ]</w:t>
        <w:tab/>
        <w:t>(6)</w:t>
      </w:r>
    </w:p>
    <w:p>
      <w:pPr>
        <w:pStyle w:val="APABody"/>
      </w:pPr>
      <w:r>
        <w:t>which reduces to a mean of inner products, and each candidate lake is represented by its single best window,</w:t>
      </w:r>
    </w:p>
    <w:p>
      <w:pPr>
        <w:pStyle w:val="APAEquation"/>
      </w:pPr>
      <w:r>
        <w:t>S</w:t>
      </w:r>
      <w:r>
        <w:rPr>
          <w:i/>
        </w:rPr>
        <w:t>_lake = maxⱼ S(Q, C⁽ʲ⁾),   j</w:t>
      </w:r>
      <w:r>
        <w:t xml:space="preserve"> = argmaxⱼ S(Q, C⁽ʲ⁾)</w:t>
        <w:tab/>
        <w:t>(7)</w:t>
      </w:r>
    </w:p>
    <w:p>
      <w:pPr>
        <w:pStyle w:val="APABody"/>
      </w:pPr>
      <w:r>
        <w:t>whose end year yⱼ</w:t>
      </w:r>
      <w:r>
        <w:rPr>
          <w:i/>
        </w:rPr>
        <w:t xml:space="preserve">+4 is the pivot on which the forecasting layer turns: the analog's observed behaviour </w:t>
      </w:r>
      <w:r>
        <w:t>after* that year is the evidence used to project the target's future.</w:t>
      </w:r>
    </w:p>
    <w:p>
      <w:pPr>
        <w:pStyle w:val="APABody"/>
      </w:pPr>
      <w:r>
        <w:t>Because every vector is unit-norm and drawn from one model, raw cosine scores cluster tightly just below 1.0 (measured top analogs span roughly 0.986–0.999 in the Ramsar case-study chapter), which would read as “99% similar” if displayed directly. EcoTwin therefore linearly rescales [φ, 1.0] → [0,1] with floor φ = 0.5,</w:t>
      </w:r>
    </w:p>
    <w:p>
      <w:pPr>
        <w:pStyle w:val="APAEquation"/>
      </w:pPr>
      <w:r>
        <w:t>S_display = clip₍₀,₁₎( (S* − φ) / (1 − φ) )</w:t>
        <w:tab/>
        <w:t>(8)</w:t>
      </w:r>
    </w:p>
    <w:p>
      <w:pPr>
        <w:pStyle w:val="APABody"/>
      </w:pPr>
      <w:r>
        <w:t>a monotone transform that changes no ranking; raw scores are reported alongside the rescaled ones in the Ramsar chapter so the distinction stays visible. Two further metrics are implemented and selectable per query (Euclidean distance mapped by 1/(1+d), and inner-product mapped by (⟨a,b⟩+1)/2), though cosine is the default.</w:t>
      </w:r>
    </w:p>
    <w:p>
      <w:pPr>
        <w:pStyle w:val="APABody"/>
      </w:pPr>
      <w:r>
        <w:t xml:space="preserve">The current implementation compares in Python across all candidate windows: with L lakes, n years, and dimension d, the cost is O(L·(n−W+1)·W·d), roughly 829×6×5×768 ≈ 1.9×10⁷ multiply-accumulates per query — measured at </w:t>
      </w:r>
      <w:r>
        <w:rPr>
          <w:b/>
        </w:rPr>
        <w:t>141–172 ms</w:t>
      </w:r>
      <w:r>
        <w:t xml:space="preserve"> in the Ramsar chapter, comfortably interactive but linear in lake count, motivating the pgvector ANN migration under future work.</w:t>
      </w:r>
    </w:p>
    <w:p>
      <w:pPr>
        <w:pStyle w:val="APAH2"/>
      </w:pPr>
      <w:r>
        <w:t>Temporal Profiles and Directional Ecological Forecasting</w:t>
      </w:r>
    </w:p>
    <w:p>
      <w:pPr>
        <w:pStyle w:val="APABody"/>
      </w:pPr>
      <w:r>
        <w:t>Step 16 (Temporal Profile Generation): for the query lake and its retrieved analogs, the stored band statistics are assembled into per-year index series using the formulas of Table 3, computed on demand from the persisted band means rather than stored pre-computed, so a change to an index definition takes effect everywhere at once.</w:t>
      </w:r>
    </w:p>
    <w:p>
      <w:pPr>
        <w:pStyle w:val="APABody"/>
      </w:pPr>
      <w:r>
        <w:t xml:space="preserve">Step 17 (Directional Ecological Forecasting): the forecasting layer transfers </w:t>
      </w:r>
      <w:r>
        <w:rPr>
          <w:i/>
        </w:rPr>
        <w:t>measured change</w:t>
      </w:r>
      <w:r>
        <w:t xml:space="preserve"> from the analogs onto the target. The most recent completed feature row for the target lake fixes the anchor year t₀ and anchor values v_k(t₀) for each index k; forecasts are produced for t₀+1, t₀+2, t₀+3. The trajectory search described above then runs with an enlarged candidate pool, walked in rank order: a candidate is admitted as a </w:t>
      </w:r>
      <w:r>
        <w:rPr>
          <w:i/>
        </w:rPr>
        <w:t>twin</w:t>
      </w:r>
      <w:r>
        <w:t xml:space="preserve"> only if it is a different lake than the target, has a completed feature row at its matched window end year, and has at least one usable year after that, so the five twins that emerge are the five best </w:t>
      </w:r>
      <w:r>
        <w:rPr>
          <w:i/>
        </w:rPr>
        <w:t>usable</w:t>
      </w:r>
      <w:r>
        <w:t xml:space="preserve"> analogs rather than merely the five highest-scoring rows.</w:t>
      </w:r>
    </w:p>
    <w:p>
      <w:pPr>
        <w:pStyle w:val="APABody"/>
      </w:pPr>
      <w:r>
        <w:t xml:space="preserve">For twin i with matched window ending at year mᵢ, the change transferred at offset h is δ_(i,k,h) = v_(i,k)(mᵢ+h) − v_(i,k)(mᵢ) — not the analog's absolute index value, which reflects its own climate and catchment, but the </w:t>
      </w:r>
      <w:r>
        <w:rPr>
          <w:i/>
        </w:rPr>
        <w:t>change</w:t>
      </w:r>
      <w:r>
        <w:t xml:space="preserve"> it underwent, comparable across lakes in a way absolute values are not. Twins receive fixed weights by rank rather than weights derived from similarity scores,</w:t>
      </w:r>
    </w:p>
    <w:p>
      <w:pPr>
        <w:pStyle w:val="APAEquation"/>
      </w:pPr>
      <w:r>
        <w:t>ω₁ = 0.28,  ω₂ = 0.24,  ω₃ = 0.20,  ω₄ = 0.16,  ω₅ = 0.12</w:t>
        <w:tab/>
        <w:t>(9)</w:t>
      </w:r>
    </w:p>
    <w:p>
      <w:pPr>
        <w:pStyle w:val="APABody"/>
      </w:pPr>
      <w:r>
        <w:t>precisely because raw similarity scores compress into a narrow band near 1.0, where score-proportional weights would be nearly uniform. Twins do not all have data at every offset, so with A_(k,h) the set of twins with a usable delta for index k at offset h, weights are renormalised over exactly that set,</w:t>
      </w:r>
    </w:p>
    <w:p>
      <w:pPr>
        <w:pStyle w:val="APAEquation"/>
      </w:pPr>
      <w:r>
        <w:t>ω̃_(i,k,h) = ωᵢ / Σ_(j∈A(k,h)) ωⱼ,   i ∈ A_(k,h)</w:t>
        <w:tab/>
        <w:t>(10)</w:t>
      </w:r>
    </w:p>
    <w:p>
      <w:pPr>
        <w:pStyle w:val="APABody"/>
      </w:pPr>
      <w:r>
        <w:t>so a year with only two twins does not silently shrink toward “stable”; the twin count is reported separately as confidence. The score for index k at offset h is</w:t>
      </w:r>
    </w:p>
    <w:p>
      <w:pPr>
        <w:pStyle w:val="APAEquation"/>
      </w:pPr>
      <w:r>
        <w:t>Σ_(k,h) = Σ_(i∈A(k,h)) ω̃_(i,k,h) · δ_(i,k,h)</w:t>
        <w:tab/>
        <w:t>(11)</w:t>
      </w:r>
    </w:p>
    <w:p>
      <w:pPr>
        <w:pStyle w:val="APABody"/>
      </w:pPr>
      <w:r>
        <w:t>classified against threshold τ = 0.005:</w:t>
      </w:r>
    </w:p>
    <w:p>
      <w:pPr>
        <w:pStyle w:val="APAEquation"/>
      </w:pPr>
      <w:r>
        <w:t>D_(k,h) =  uncertain (?) if |A_(k,h)| &lt; 2;  up (↑) if Σ_(k,h) &gt; +τ;  down (↓) if Σ_(k,h) &lt; −τ;  stable (→) otherwise</w:t>
        <w:tab/>
        <w:t>(12)</w:t>
      </w:r>
    </w:p>
    <w:p>
      <w:pPr>
        <w:pStyle w:val="APABody"/>
      </w:pPr>
      <w:r>
        <w:t xml:space="preserve">with </w:t>
      </w:r>
      <w:r>
        <w:rPr>
          <w:i/>
        </w:rPr>
        <w:t>uncertain</w:t>
      </w:r>
      <w:r>
        <w:t xml:space="preserve"> checked first and kept distinct from </w:t>
      </w:r>
      <w:r>
        <w:rPr>
          <w:i/>
        </w:rPr>
        <w:t>stable</w:t>
      </w:r>
      <w:r>
        <w:t>: stable is a positive finding that the twins agree little changes, while uncertain admits too few twins had data to support any claim. An indicative magnitude v̂_k(t₀+h) = v_k(t₀) + Σ_(k,h) accompanies each direction, reported as an expected value rather than a calibrated point prediction. Every forecast returns a complete audit report — anchor values, weight scheme, classification rule, and each twin's identity, matched window, and weighted contribution — so any published direction can be recomputed by hand.</w:t>
      </w:r>
    </w:p>
    <w:p>
      <w:pPr>
        <w:pStyle w:val="APABody"/>
      </w:pPr>
      <w:r>
        <w:t>Unlike a parametric time-series model, whose prediction runs through learned parameters difficult to connect to a particular ecosystem, EcoTwin provides an explicit, inspectable chain: Target → Retrieved Twin → Similarity → Historical Trajectory → Projected Trajectory, with no learned parameter anywhere: every quantity is either a measured reflectance-derived index or a fixed, disclosed constant (ω₁..₅ and τ). An interval-based uncertainty measure (the spread across twin predictions) was considered and rejected in favour of the simpler twin count |A_(k,h)|, since a naive dispersion measure over a small, unevenly-weighted set is not a stable confidence signal, while the count drops to zero exactly when a forecast should not be trusted.</w:t>
      </w:r>
    </w:p>
    <w:p>
      <w:pPr>
        <w:pStyle w:val="APAH3"/>
      </w:pPr>
      <w:r>
        <w:t>Why Not an LSTM-Based Forecast?</w:t>
      </w:r>
    </w:p>
    <w:p>
      <w:pPr>
        <w:pStyle w:val="APABody"/>
      </w:pPr>
      <w:r>
        <w:t>A recurrent-neural-network forecast was considered and rejected. Reddy and Prasad (2018) report strong LSTM accuracy for one-week MODIS NDVI prediction, but trained on 861 weekly observations per site. EcoTwin has only ten annual observations per lake across 829 lakes, a 1–3 year horizon (not one week), and a requirement that every forecast be traceable to specific evidence rather than trained weights — three conditions under which an LSTM would fit noise, cannot be individually retrained per lake, and (like decoding a predicted embedding) offers no correspondence back to a particular ecosystem. The rank-weighted transfer used instead needs no training data beyond the twins themselves.</w:t>
      </w:r>
    </w:p>
    <w:p>
      <w:pPr>
        <w:pStyle w:val="APAH3"/>
      </w:pPr>
      <w:r>
        <w:t>Hindcasting Protocol</w:t>
      </w:r>
    </w:p>
    <w:p>
      <w:pPr>
        <w:pStyle w:val="APABody"/>
      </w:pPr>
      <w:r>
        <w:t>A rigorous accuracy evaluation requires hindcasting: hide each lake's final h_max years, run the identical pipeline using only years before the cutoff, and score the forecast against the held-out observations. For cutoff year t_c ∈ {2019,…,2022}, both the query trajectory and every candidate's embedding history are restricted to years ≤ t_c, producing v̂_k(t_c+h) for h = 1,2,3 compared against the actual recorded v_k(t_c+h). The protocol reports, per index and per horizon, both a magnitude metric and a directional hit rate:</w:t>
      </w:r>
    </w:p>
    <w:p>
      <w:pPr>
        <w:pStyle w:val="APAEquation"/>
      </w:pPr>
      <w:r>
        <w:t>MAE_(k,h) = (1/n) Σᵢ₌₁ⁿ | v_(k,i)(t_c+h) − v̂_(k,i)(t_c+h) |</w:t>
        <w:tab/>
        <w:t>(13)</w:t>
      </w:r>
    </w:p>
    <w:p>
      <w:pPr>
        <w:pStyle w:val="APAEquation"/>
      </w:pPr>
      <w:r>
        <w:t>HitRate_(k,h) = (1/n) Σᵢ₌₁ⁿ 𝟙[ sign(Σ) = sign(Δ_actual) ]</w:t>
        <w:tab/>
        <w:t>(14)</w:t>
      </w:r>
    </w:p>
    <w:p>
      <w:pPr>
        <w:pStyle w:val="APABody"/>
      </w:pPr>
      <w:r>
        <w:t xml:space="preserve">Running this at t_c = 2022 requires three held-out years (2023–2025) plus five years of prior history — exactly the ten years this project has, so a single cutoff gives only one evaluation point per lake, too coarse for a defensible aggregate accuracy figure. This protocol is therefore documented here as the immediate next step (see </w:t>
      </w:r>
      <w:r>
        <w:rPr>
          <w:i/>
        </w:rPr>
        <w:t>Future Work</w:t>
      </w:r>
      <w:r>
        <w:t>) rather than executed prematurely on insufficient data.</w:t>
      </w:r>
    </w:p>
    <w:p>
      <w:r>
        <w:br w:type="page"/>
      </w:r>
    </w:p>
    <w:p>
      <w:pPr>
        <w:pStyle w:val="APAH1"/>
      </w:pPr>
      <w:r>
        <w:t>System Architecture and Implementation</w:t>
      </w:r>
    </w:p>
    <w:p>
      <w:pPr>
        <w:pStyle w:val="APAH2"/>
      </w:pPr>
      <w:r>
        <w:t>Architecture Overview</w:t>
      </w:r>
    </w:p>
    <w:p>
      <w:pPr>
        <w:pStyle w:val="APABody"/>
      </w:pPr>
      <w:r>
        <w:t>EcoTwin is implemented as a multi-component system. The offline pipeline performs the computationally expensive work, while the online application retrieves precomputed data. Figure 10 shows the pipeline control strip from the deployed application: each button triggers one of the seven offline stages independently, which is what makes the pipeline resumable — a failure in one stage does not require re-running the stages before it.</w:t>
      </w:r>
    </w:p>
    <w:p>
      <w:pPr>
        <w:pStyle w:val="APACaptionLabel"/>
      </w:pPr>
      <w:r>
        <w:t>Figure 10</w:t>
      </w:r>
    </w:p>
    <w:p>
      <w:pPr>
        <w:pStyle w:val="APACaptionTitle"/>
      </w:pPr>
      <w:r>
        <w:t>The deployed pipeline control strip.</w:t>
      </w:r>
    </w:p>
    <w:p>
      <w:pPr>
        <w:spacing w:line="240" w:lineRule="auto"/>
        <w:ind w:firstLine="0"/>
      </w:pPr>
      <w:r>
        <w:drawing>
          <wp:inline xmlns:a="http://schemas.openxmlformats.org/drawingml/2006/main" xmlns:pic="http://schemas.openxmlformats.org/drawingml/2006/picture">
            <wp:extent cx="5760720" cy="355021"/>
            <wp:docPr id="10" name="Picture 10"/>
            <wp:cNvGraphicFramePr>
              <a:graphicFrameLocks noChangeAspect="1"/>
            </wp:cNvGraphicFramePr>
            <a:graphic>
              <a:graphicData uri="http://schemas.openxmlformats.org/drawingml/2006/picture">
                <pic:pic>
                  <pic:nvPicPr>
                    <pic:cNvPr id="0" name="data_collection_flow.png"/>
                    <pic:cNvPicPr/>
                  </pic:nvPicPr>
                  <pic:blipFill>
                    <a:blip r:embed="rId19"/>
                    <a:stretch>
                      <a:fillRect/>
                    </a:stretch>
                  </pic:blipFill>
                  <pic:spPr>
                    <a:xfrm>
                      <a:off x="0" y="0"/>
                      <a:ext cx="5760720" cy="355021"/>
                    </a:xfrm>
                    <a:prstGeom prst="rect"/>
                  </pic:spPr>
                </pic:pic>
              </a:graphicData>
            </a:graphic>
          </wp:inline>
        </w:drawing>
      </w:r>
    </w:p>
    <w:p>
      <w:pPr>
        <w:pStyle w:val="APACaptionNote"/>
      </w:pPr>
      <w:r>
        <w:rPr>
          <w:i/>
        </w:rPr>
        <w:t xml:space="preserve">Note. </w:t>
      </w:r>
      <w:r>
        <w:t>Each stage (lake sync, imagery fetch, tile merge, embedding generation, embedding merge, feature generation, B8 fetch) is independently triggerable and independently resumable.</w:t>
      </w:r>
    </w:p>
    <w:p>
      <w:pPr>
        <w:pStyle w:val="APABodyNoIndent"/>
      </w:pPr>
    </w:p>
    <w:p>
      <w:pPr>
        <w:pStyle w:val="APAH2"/>
      </w:pPr>
      <w:r>
        <w:t>Technology Stack</w:t>
      </w:r>
    </w:p>
    <w:p>
      <w:pPr>
        <w:pStyle w:val="APACaptionLabel"/>
      </w:pPr>
      <w:r>
        <w:t>Table 4</w:t>
      </w:r>
    </w:p>
    <w:p>
      <w:pPr>
        <w:pStyle w:val="APACaptionTitle"/>
      </w:pPr>
      <w:r>
        <w:t>EcoTwin implementation stack.</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2016"/>
            <w:tcBorders>
              <w:top w:val="single" w:sz="6" w:color="000000"/>
              <w:bottom w:val="single" w:sz="6" w:color="000000"/>
            </w:tcBorders>
          </w:tcPr>
          <w:p>
            <w:pPr>
              <w:spacing w:line="240" w:lineRule="auto" w:after="40"/>
              <w:ind w:firstLine="0"/>
              <w:jc w:val="left"/>
            </w:pPr>
            <w:r>
              <w:rPr>
                <w:sz w:val="21"/>
              </w:rPr>
              <w:t>Layer</w:t>
            </w:r>
          </w:p>
        </w:tc>
        <w:tc>
          <w:tcPr>
            <w:tcW w:type="dxa" w:w="2880"/>
            <w:tcBorders>
              <w:top w:val="single" w:sz="6" w:color="000000"/>
              <w:bottom w:val="single" w:sz="6" w:color="000000"/>
            </w:tcBorders>
          </w:tcPr>
          <w:p>
            <w:pPr>
              <w:spacing w:line="240" w:lineRule="auto" w:after="40"/>
              <w:ind w:firstLine="0"/>
              <w:jc w:val="left"/>
            </w:pPr>
            <w:r>
              <w:rPr>
                <w:sz w:val="21"/>
              </w:rPr>
              <w:t>Technology</w:t>
            </w:r>
          </w:p>
        </w:tc>
        <w:tc>
          <w:tcPr>
            <w:tcW w:type="dxa" w:w="3744"/>
            <w:tcBorders>
              <w:top w:val="single" w:sz="6" w:color="000000"/>
              <w:bottom w:val="single" w:sz="6" w:color="000000"/>
            </w:tcBorders>
          </w:tcPr>
          <w:p>
            <w:pPr>
              <w:spacing w:line="240" w:lineRule="auto" w:after="40"/>
              <w:ind w:firstLine="0"/>
              <w:jc w:val="left"/>
            </w:pPr>
            <w:r>
              <w:rPr>
                <w:sz w:val="21"/>
              </w:rPr>
              <w:t>Responsibility</w:t>
            </w:r>
          </w:p>
        </w:tc>
      </w:tr>
      <w:tr>
        <w:tc>
          <w:tcPr>
            <w:tcW w:type="dxa" w:w="2016"/>
          </w:tcPr>
          <w:p>
            <w:pPr>
              <w:spacing w:line="240" w:lineRule="auto" w:after="40"/>
              <w:ind w:firstLine="0"/>
              <w:jc w:val="left"/>
            </w:pPr>
            <w:r>
              <w:rPr>
                <w:sz w:val="21"/>
              </w:rPr>
              <w:t>Frontend</w:t>
            </w:r>
          </w:p>
        </w:tc>
        <w:tc>
          <w:tcPr>
            <w:tcW w:type="dxa" w:w="2880"/>
          </w:tcPr>
          <w:p>
            <w:pPr>
              <w:spacing w:line="240" w:lineRule="auto" w:after="40"/>
              <w:ind w:firstLine="0"/>
              <w:jc w:val="right"/>
            </w:pPr>
            <w:r>
              <w:rPr>
                <w:sz w:val="21"/>
              </w:rPr>
              <w:t>React 18, Vite, TypeScript</w:t>
            </w:r>
          </w:p>
        </w:tc>
        <w:tc>
          <w:tcPr>
            <w:tcW w:type="dxa" w:w="3744"/>
          </w:tcPr>
          <w:p>
            <w:pPr>
              <w:spacing w:line="240" w:lineRule="auto" w:after="40"/>
              <w:ind w:firstLine="0"/>
              <w:jc w:val="right"/>
            </w:pPr>
            <w:r>
              <w:rPr>
                <w:sz w:val="21"/>
              </w:rPr>
              <w:t>Interactive application</w:t>
            </w:r>
          </w:p>
        </w:tc>
      </w:tr>
      <w:tr>
        <w:tc>
          <w:tcPr>
            <w:tcW w:type="dxa" w:w="2016"/>
          </w:tcPr>
          <w:p>
            <w:pPr>
              <w:spacing w:line="240" w:lineRule="auto" w:after="40"/>
              <w:ind w:firstLine="0"/>
              <w:jc w:val="left"/>
            </w:pPr>
            <w:r>
              <w:rPr>
                <w:sz w:val="21"/>
              </w:rPr>
              <w:t>Mapping</w:t>
            </w:r>
          </w:p>
        </w:tc>
        <w:tc>
          <w:tcPr>
            <w:tcW w:type="dxa" w:w="2880"/>
          </w:tcPr>
          <w:p>
            <w:pPr>
              <w:spacing w:line="240" w:lineRule="auto" w:after="40"/>
              <w:ind w:firstLine="0"/>
              <w:jc w:val="right"/>
            </w:pPr>
            <w:r>
              <w:rPr>
                <w:sz w:val="21"/>
              </w:rPr>
              <w:t>Leaflet / React-Leaflet</w:t>
            </w:r>
          </w:p>
        </w:tc>
        <w:tc>
          <w:tcPr>
            <w:tcW w:type="dxa" w:w="3744"/>
          </w:tcPr>
          <w:p>
            <w:pPr>
              <w:spacing w:line="240" w:lineRule="auto" w:after="40"/>
              <w:ind w:firstLine="0"/>
              <w:jc w:val="right"/>
            </w:pPr>
            <w:r>
              <w:rPr>
                <w:sz w:val="21"/>
              </w:rPr>
              <w:t>Spatial visualization</w:t>
            </w:r>
          </w:p>
        </w:tc>
      </w:tr>
      <w:tr>
        <w:tc>
          <w:tcPr>
            <w:tcW w:type="dxa" w:w="2016"/>
          </w:tcPr>
          <w:p>
            <w:pPr>
              <w:spacing w:line="240" w:lineRule="auto" w:after="40"/>
              <w:ind w:firstLine="0"/>
              <w:jc w:val="left"/>
            </w:pPr>
            <w:r>
              <w:rPr>
                <w:sz w:val="21"/>
              </w:rPr>
              <w:t>Charts</w:t>
            </w:r>
          </w:p>
        </w:tc>
        <w:tc>
          <w:tcPr>
            <w:tcW w:type="dxa" w:w="2880"/>
          </w:tcPr>
          <w:p>
            <w:pPr>
              <w:spacing w:line="240" w:lineRule="auto" w:after="40"/>
              <w:ind w:firstLine="0"/>
              <w:jc w:val="right"/>
            </w:pPr>
            <w:r>
              <w:rPr>
                <w:sz w:val="21"/>
              </w:rPr>
              <w:t>Recharts</w:t>
            </w:r>
          </w:p>
        </w:tc>
        <w:tc>
          <w:tcPr>
            <w:tcW w:type="dxa" w:w="3744"/>
          </w:tcPr>
          <w:p>
            <w:pPr>
              <w:spacing w:line="240" w:lineRule="auto" w:after="40"/>
              <w:ind w:firstLine="0"/>
              <w:jc w:val="right"/>
            </w:pPr>
            <w:r>
              <w:rPr>
                <w:sz w:val="21"/>
              </w:rPr>
              <w:t>Index trajectory plots</w:t>
            </w:r>
          </w:p>
        </w:tc>
      </w:tr>
      <w:tr>
        <w:tc>
          <w:tcPr>
            <w:tcW w:type="dxa" w:w="2016"/>
          </w:tcPr>
          <w:p>
            <w:pPr>
              <w:spacing w:line="240" w:lineRule="auto" w:after="40"/>
              <w:ind w:firstLine="0"/>
              <w:jc w:val="left"/>
            </w:pPr>
            <w:r>
              <w:rPr>
                <w:sz w:val="21"/>
              </w:rPr>
              <w:t>Client state</w:t>
            </w:r>
          </w:p>
        </w:tc>
        <w:tc>
          <w:tcPr>
            <w:tcW w:type="dxa" w:w="2880"/>
          </w:tcPr>
          <w:p>
            <w:pPr>
              <w:spacing w:line="240" w:lineRule="auto" w:after="40"/>
              <w:ind w:firstLine="0"/>
              <w:jc w:val="right"/>
            </w:pPr>
            <w:r>
              <w:rPr>
                <w:sz w:val="21"/>
              </w:rPr>
              <w:t>Zustand, TanStack Query</w:t>
            </w:r>
          </w:p>
        </w:tc>
        <w:tc>
          <w:tcPr>
            <w:tcW w:type="dxa" w:w="3744"/>
          </w:tcPr>
          <w:p>
            <w:pPr>
              <w:spacing w:line="240" w:lineRule="auto" w:after="40"/>
              <w:ind w:firstLine="0"/>
              <w:jc w:val="right"/>
            </w:pPr>
            <w:r>
              <w:rPr>
                <w:sz w:val="21"/>
              </w:rPr>
              <w:t>Local state and server cache</w:t>
            </w:r>
          </w:p>
        </w:tc>
      </w:tr>
      <w:tr>
        <w:tc>
          <w:tcPr>
            <w:tcW w:type="dxa" w:w="2016"/>
          </w:tcPr>
          <w:p>
            <w:pPr>
              <w:spacing w:line="240" w:lineRule="auto" w:after="40"/>
              <w:ind w:firstLine="0"/>
              <w:jc w:val="left"/>
            </w:pPr>
            <w:r>
              <w:rPr>
                <w:sz w:val="21"/>
              </w:rPr>
              <w:t>Backend</w:t>
            </w:r>
          </w:p>
        </w:tc>
        <w:tc>
          <w:tcPr>
            <w:tcW w:type="dxa" w:w="2880"/>
          </w:tcPr>
          <w:p>
            <w:pPr>
              <w:spacing w:line="240" w:lineRule="auto" w:after="40"/>
              <w:ind w:firstLine="0"/>
              <w:jc w:val="right"/>
            </w:pPr>
            <w:r>
              <w:rPr>
                <w:sz w:val="21"/>
              </w:rPr>
              <w:t>FastAPI, Python 3.12</w:t>
            </w:r>
          </w:p>
        </w:tc>
        <w:tc>
          <w:tcPr>
            <w:tcW w:type="dxa" w:w="3744"/>
          </w:tcPr>
          <w:p>
            <w:pPr>
              <w:spacing w:line="240" w:lineRule="auto" w:after="40"/>
              <w:ind w:firstLine="0"/>
              <w:jc w:val="right"/>
            </w:pPr>
            <w:r>
              <w:rPr>
                <w:sz w:val="21"/>
              </w:rPr>
              <w:t>REST services and orchestration</w:t>
            </w:r>
          </w:p>
        </w:tc>
      </w:tr>
      <w:tr>
        <w:tc>
          <w:tcPr>
            <w:tcW w:type="dxa" w:w="2016"/>
          </w:tcPr>
          <w:p>
            <w:pPr>
              <w:spacing w:line="240" w:lineRule="auto" w:after="40"/>
              <w:ind w:firstLine="0"/>
              <w:jc w:val="left"/>
            </w:pPr>
            <w:r>
              <w:rPr>
                <w:sz w:val="21"/>
              </w:rPr>
              <w:t>ORM / migrations</w:t>
            </w:r>
          </w:p>
        </w:tc>
        <w:tc>
          <w:tcPr>
            <w:tcW w:type="dxa" w:w="2880"/>
          </w:tcPr>
          <w:p>
            <w:pPr>
              <w:spacing w:line="240" w:lineRule="auto" w:after="40"/>
              <w:ind w:firstLine="0"/>
              <w:jc w:val="right"/>
            </w:pPr>
            <w:r>
              <w:rPr>
                <w:sz w:val="21"/>
              </w:rPr>
              <w:t>SQLAlchemy 2 (async), Alembic</w:t>
            </w:r>
          </w:p>
        </w:tc>
        <w:tc>
          <w:tcPr>
            <w:tcW w:type="dxa" w:w="3744"/>
          </w:tcPr>
          <w:p>
            <w:pPr>
              <w:spacing w:line="240" w:lineRule="auto" w:after="40"/>
              <w:ind w:firstLine="0"/>
              <w:jc w:val="right"/>
            </w:pPr>
            <w:r>
              <w:rPr>
                <w:sz w:val="21"/>
              </w:rPr>
              <w:t>Schema and access</w:t>
            </w:r>
          </w:p>
        </w:tc>
      </w:tr>
      <w:tr>
        <w:tc>
          <w:tcPr>
            <w:tcW w:type="dxa" w:w="2016"/>
          </w:tcPr>
          <w:p>
            <w:pPr>
              <w:spacing w:line="240" w:lineRule="auto" w:after="40"/>
              <w:ind w:firstLine="0"/>
              <w:jc w:val="left"/>
            </w:pPr>
            <w:r>
              <w:rPr>
                <w:sz w:val="21"/>
              </w:rPr>
              <w:t>Database</w:t>
            </w:r>
          </w:p>
        </w:tc>
        <w:tc>
          <w:tcPr>
            <w:tcW w:type="dxa" w:w="2880"/>
          </w:tcPr>
          <w:p>
            <w:pPr>
              <w:spacing w:line="240" w:lineRule="auto" w:after="40"/>
              <w:ind w:firstLine="0"/>
              <w:jc w:val="right"/>
            </w:pPr>
            <w:r>
              <w:rPr>
                <w:sz w:val="21"/>
              </w:rPr>
              <w:t>PostgreSQL 16</w:t>
            </w:r>
          </w:p>
        </w:tc>
        <w:tc>
          <w:tcPr>
            <w:tcW w:type="dxa" w:w="3744"/>
          </w:tcPr>
          <w:p>
            <w:pPr>
              <w:spacing w:line="240" w:lineRule="auto" w:after="40"/>
              <w:ind w:firstLine="0"/>
              <w:jc w:val="right"/>
            </w:pPr>
            <w:r>
              <w:rPr>
                <w:sz w:val="21"/>
              </w:rPr>
              <w:t>Relational persistence</w:t>
            </w:r>
          </w:p>
        </w:tc>
      </w:tr>
      <w:tr>
        <w:tc>
          <w:tcPr>
            <w:tcW w:type="dxa" w:w="2016"/>
          </w:tcPr>
          <w:p>
            <w:pPr>
              <w:spacing w:line="240" w:lineRule="auto" w:after="40"/>
              <w:ind w:firstLine="0"/>
              <w:jc w:val="left"/>
            </w:pPr>
            <w:r>
              <w:rPr>
                <w:sz w:val="21"/>
              </w:rPr>
              <w:t>Spatial database</w:t>
            </w:r>
          </w:p>
        </w:tc>
        <w:tc>
          <w:tcPr>
            <w:tcW w:type="dxa" w:w="2880"/>
          </w:tcPr>
          <w:p>
            <w:pPr>
              <w:spacing w:line="240" w:lineRule="auto" w:after="40"/>
              <w:ind w:firstLine="0"/>
              <w:jc w:val="right"/>
            </w:pPr>
            <w:r>
              <w:rPr>
                <w:sz w:val="21"/>
              </w:rPr>
              <w:t>PostGIS 3.4</w:t>
            </w:r>
          </w:p>
        </w:tc>
        <w:tc>
          <w:tcPr>
            <w:tcW w:type="dxa" w:w="3744"/>
          </w:tcPr>
          <w:p>
            <w:pPr>
              <w:spacing w:line="240" w:lineRule="auto" w:after="40"/>
              <w:ind w:firstLine="0"/>
              <w:jc w:val="right"/>
            </w:pPr>
            <w:r>
              <w:rPr>
                <w:sz w:val="21"/>
              </w:rPr>
              <w:t>Polygon and spatial queries</w:t>
            </w:r>
          </w:p>
        </w:tc>
      </w:tr>
      <w:tr>
        <w:tc>
          <w:tcPr>
            <w:tcW w:type="dxa" w:w="2016"/>
          </w:tcPr>
          <w:p>
            <w:pPr>
              <w:spacing w:line="240" w:lineRule="auto" w:after="40"/>
              <w:ind w:firstLine="0"/>
              <w:jc w:val="left"/>
            </w:pPr>
            <w:r>
              <w:rPr>
                <w:sz w:val="21"/>
              </w:rPr>
              <w:t>Vector search</w:t>
            </w:r>
          </w:p>
        </w:tc>
        <w:tc>
          <w:tcPr>
            <w:tcW w:type="dxa" w:w="2880"/>
          </w:tcPr>
          <w:p>
            <w:pPr>
              <w:spacing w:line="240" w:lineRule="auto" w:after="40"/>
              <w:ind w:firstLine="0"/>
              <w:jc w:val="right"/>
            </w:pPr>
            <w:r>
              <w:rPr>
                <w:sz w:val="21"/>
              </w:rPr>
              <w:t>pgvector</w:t>
            </w:r>
          </w:p>
        </w:tc>
        <w:tc>
          <w:tcPr>
            <w:tcW w:type="dxa" w:w="3744"/>
          </w:tcPr>
          <w:p>
            <w:pPr>
              <w:spacing w:line="240" w:lineRule="auto" w:after="40"/>
              <w:ind w:firstLine="0"/>
              <w:jc w:val="right"/>
            </w:pPr>
            <w:r>
              <w:rPr>
                <w:sz w:val="21"/>
              </w:rPr>
              <w:t>Embedding storage and similarity search</w:t>
            </w:r>
          </w:p>
        </w:tc>
      </w:tr>
      <w:tr>
        <w:tc>
          <w:tcPr>
            <w:tcW w:type="dxa" w:w="2016"/>
          </w:tcPr>
          <w:p>
            <w:pPr>
              <w:spacing w:line="240" w:lineRule="auto" w:after="40"/>
              <w:ind w:firstLine="0"/>
              <w:jc w:val="left"/>
            </w:pPr>
            <w:r>
              <w:rPr>
                <w:sz w:val="21"/>
              </w:rPr>
              <w:t>Remote sensing</w:t>
            </w:r>
          </w:p>
        </w:tc>
        <w:tc>
          <w:tcPr>
            <w:tcW w:type="dxa" w:w="2880"/>
          </w:tcPr>
          <w:p>
            <w:pPr>
              <w:spacing w:line="240" w:lineRule="auto" w:after="40"/>
              <w:ind w:firstLine="0"/>
              <w:jc w:val="right"/>
            </w:pPr>
            <w:r>
              <w:rPr>
                <w:sz w:val="21"/>
              </w:rPr>
              <w:t>Google Earth Engine</w:t>
            </w:r>
          </w:p>
        </w:tc>
        <w:tc>
          <w:tcPr>
            <w:tcW w:type="dxa" w:w="3744"/>
          </w:tcPr>
          <w:p>
            <w:pPr>
              <w:spacing w:line="240" w:lineRule="auto" w:after="40"/>
              <w:ind w:firstLine="0"/>
              <w:jc w:val="right"/>
            </w:pPr>
            <w:r>
              <w:rPr>
                <w:sz w:val="21"/>
              </w:rPr>
              <w:t>Satellite filtering/compositing</w:t>
            </w:r>
          </w:p>
        </w:tc>
      </w:tr>
      <w:tr>
        <w:tc>
          <w:tcPr>
            <w:tcW w:type="dxa" w:w="2016"/>
          </w:tcPr>
          <w:p>
            <w:pPr>
              <w:spacing w:line="240" w:lineRule="auto" w:after="40"/>
              <w:ind w:firstLine="0"/>
              <w:jc w:val="left"/>
            </w:pPr>
            <w:r>
              <w:rPr>
                <w:sz w:val="21"/>
              </w:rPr>
              <w:t>Raster processing</w:t>
            </w:r>
          </w:p>
        </w:tc>
        <w:tc>
          <w:tcPr>
            <w:tcW w:type="dxa" w:w="2880"/>
          </w:tcPr>
          <w:p>
            <w:pPr>
              <w:spacing w:line="240" w:lineRule="auto" w:after="40"/>
              <w:ind w:firstLine="0"/>
              <w:jc w:val="right"/>
            </w:pPr>
            <w:r>
              <w:rPr>
                <w:sz w:val="21"/>
              </w:rPr>
              <w:t>Rasterio, NumPy, Shapely</w:t>
            </w:r>
          </w:p>
        </w:tc>
        <w:tc>
          <w:tcPr>
            <w:tcW w:type="dxa" w:w="3744"/>
          </w:tcPr>
          <w:p>
            <w:pPr>
              <w:spacing w:line="240" w:lineRule="auto" w:after="40"/>
              <w:ind w:firstLine="0"/>
              <w:jc w:val="right"/>
            </w:pPr>
            <w:r>
              <w:rPr>
                <w:sz w:val="21"/>
              </w:rPr>
              <w:t>Local GeoTIFF processing</w:t>
            </w:r>
          </w:p>
        </w:tc>
      </w:tr>
      <w:tr>
        <w:tc>
          <w:tcPr>
            <w:tcW w:type="dxa" w:w="2016"/>
          </w:tcPr>
          <w:p>
            <w:pPr>
              <w:spacing w:line="240" w:lineRule="auto" w:after="40"/>
              <w:ind w:firstLine="0"/>
              <w:jc w:val="left"/>
            </w:pPr>
            <w:r>
              <w:rPr>
                <w:sz w:val="21"/>
              </w:rPr>
              <w:t>ML inference</w:t>
            </w:r>
          </w:p>
        </w:tc>
        <w:tc>
          <w:tcPr>
            <w:tcW w:type="dxa" w:w="2880"/>
          </w:tcPr>
          <w:p>
            <w:pPr>
              <w:spacing w:line="240" w:lineRule="auto" w:after="40"/>
              <w:ind w:firstLine="0"/>
              <w:jc w:val="right"/>
            </w:pPr>
            <w:r>
              <w:rPr>
                <w:sz w:val="21"/>
              </w:rPr>
              <w:t>Prithvi-EO-1.0-100M, PyTorch</w:t>
            </w:r>
          </w:p>
        </w:tc>
        <w:tc>
          <w:tcPr>
            <w:tcW w:type="dxa" w:w="3744"/>
          </w:tcPr>
          <w:p>
            <w:pPr>
              <w:spacing w:line="240" w:lineRule="auto" w:after="40"/>
              <w:ind w:firstLine="0"/>
              <w:jc w:val="right"/>
            </w:pPr>
            <w:r>
              <w:rPr>
                <w:sz w:val="21"/>
              </w:rPr>
              <w:t>Geospatial embeddings</w:t>
            </w:r>
          </w:p>
        </w:tc>
      </w:tr>
      <w:tr>
        <w:tc>
          <w:tcPr>
            <w:tcW w:type="dxa" w:w="2016"/>
          </w:tcPr>
          <w:p>
            <w:pPr>
              <w:spacing w:line="240" w:lineRule="auto" w:after="40"/>
              <w:ind w:firstLine="0"/>
              <w:jc w:val="left"/>
            </w:pPr>
            <w:r>
              <w:rPr>
                <w:sz w:val="21"/>
              </w:rPr>
              <w:t>Background work</w:t>
            </w:r>
          </w:p>
        </w:tc>
        <w:tc>
          <w:tcPr>
            <w:tcW w:type="dxa" w:w="2880"/>
          </w:tcPr>
          <w:p>
            <w:pPr>
              <w:spacing w:line="240" w:lineRule="auto" w:after="40"/>
              <w:ind w:firstLine="0"/>
              <w:jc w:val="right"/>
            </w:pPr>
            <w:r>
              <w:rPr>
                <w:sz w:val="21"/>
              </w:rPr>
              <w:t xml:space="preserve">FastAPI </w:t>
            </w:r>
            <w:r>
              <w:rPr>
                <w:rFonts w:ascii="Consolas" w:hAnsi="Consolas"/>
                <w:sz w:val="21"/>
              </w:rPr>
              <w:t>BackgroundTasks</w:t>
            </w:r>
          </w:p>
        </w:tc>
        <w:tc>
          <w:tcPr>
            <w:tcW w:type="dxa" w:w="3744"/>
          </w:tcPr>
          <w:p>
            <w:pPr>
              <w:spacing w:line="240" w:lineRule="auto" w:after="40"/>
              <w:ind w:firstLine="0"/>
              <w:jc w:val="right"/>
            </w:pPr>
            <w:r>
              <w:rPr>
                <w:sz w:val="21"/>
              </w:rPr>
              <w:t>Long-running pipelines</w:t>
            </w:r>
          </w:p>
        </w:tc>
      </w:tr>
      <w:tr>
        <w:tc>
          <w:tcPr>
            <w:tcW w:type="dxa" w:w="2016"/>
          </w:tcPr>
          <w:p>
            <w:pPr>
              <w:spacing w:line="240" w:lineRule="auto" w:after="40"/>
              <w:ind w:firstLine="0"/>
              <w:jc w:val="left"/>
            </w:pPr>
            <w:r>
              <w:rPr>
                <w:sz w:val="21"/>
              </w:rPr>
              <w:t>Logging</w:t>
            </w:r>
          </w:p>
        </w:tc>
        <w:tc>
          <w:tcPr>
            <w:tcW w:type="dxa" w:w="2880"/>
          </w:tcPr>
          <w:p>
            <w:pPr>
              <w:spacing w:line="240" w:lineRule="auto" w:after="40"/>
              <w:ind w:firstLine="0"/>
              <w:jc w:val="right"/>
            </w:pPr>
            <w:r>
              <w:rPr>
                <w:sz w:val="21"/>
              </w:rPr>
              <w:t>structlog</w:t>
            </w:r>
          </w:p>
        </w:tc>
        <w:tc>
          <w:tcPr>
            <w:tcW w:type="dxa" w:w="3744"/>
          </w:tcPr>
          <w:p>
            <w:pPr>
              <w:spacing w:line="240" w:lineRule="auto" w:after="40"/>
              <w:ind w:firstLine="0"/>
              <w:jc w:val="right"/>
            </w:pPr>
            <w:r>
              <w:rPr>
                <w:sz w:val="21"/>
              </w:rPr>
              <w:t>Structured pipeline logs</w:t>
            </w:r>
          </w:p>
        </w:tc>
      </w:tr>
      <w:tr>
        <w:tc>
          <w:tcPr>
            <w:tcW w:type="dxa" w:w="2016"/>
          </w:tcPr>
          <w:p>
            <w:pPr>
              <w:spacing w:line="240" w:lineRule="auto" w:after="40"/>
              <w:ind w:firstLine="0"/>
              <w:jc w:val="left"/>
            </w:pPr>
            <w:r>
              <w:rPr>
                <w:sz w:val="21"/>
              </w:rPr>
              <w:t>Reporting</w:t>
            </w:r>
          </w:p>
        </w:tc>
        <w:tc>
          <w:tcPr>
            <w:tcW w:type="dxa" w:w="2880"/>
          </w:tcPr>
          <w:p>
            <w:pPr>
              <w:spacing w:line="240" w:lineRule="auto" w:after="40"/>
              <w:ind w:firstLine="0"/>
              <w:jc w:val="right"/>
            </w:pPr>
            <w:r>
              <w:rPr>
                <w:sz w:val="21"/>
              </w:rPr>
              <w:t>Jinja2 + WeasyPrint</w:t>
            </w:r>
          </w:p>
        </w:tc>
        <w:tc>
          <w:tcPr>
            <w:tcW w:type="dxa" w:w="3744"/>
          </w:tcPr>
          <w:p>
            <w:pPr>
              <w:spacing w:line="240" w:lineRule="auto" w:after="40"/>
              <w:ind w:firstLine="0"/>
              <w:jc w:val="right"/>
            </w:pPr>
            <w:r>
              <w:rPr>
                <w:sz w:val="21"/>
              </w:rPr>
              <w:t>PDF report generation</w:t>
            </w:r>
          </w:p>
        </w:tc>
      </w:tr>
      <w:tr>
        <w:tc>
          <w:tcPr>
            <w:tcW w:type="dxa" w:w="2016"/>
          </w:tcPr>
          <w:p>
            <w:pPr>
              <w:spacing w:line="240" w:lineRule="auto" w:after="40"/>
              <w:ind w:firstLine="0"/>
              <w:jc w:val="left"/>
            </w:pPr>
            <w:r>
              <w:rPr>
                <w:sz w:val="21"/>
              </w:rPr>
              <w:t>Administration</w:t>
            </w:r>
          </w:p>
        </w:tc>
        <w:tc>
          <w:tcPr>
            <w:tcW w:type="dxa" w:w="2880"/>
          </w:tcPr>
          <w:p>
            <w:pPr>
              <w:spacing w:line="240" w:lineRule="auto" w:after="40"/>
              <w:ind w:firstLine="0"/>
              <w:jc w:val="right"/>
            </w:pPr>
            <w:r>
              <w:rPr>
                <w:sz w:val="21"/>
              </w:rPr>
              <w:t>pgAdmin</w:t>
            </w:r>
          </w:p>
        </w:tc>
        <w:tc>
          <w:tcPr>
            <w:tcW w:type="dxa" w:w="3744"/>
          </w:tcPr>
          <w:p>
            <w:pPr>
              <w:spacing w:line="240" w:lineRule="auto" w:after="40"/>
              <w:ind w:firstLine="0"/>
              <w:jc w:val="right"/>
            </w:pPr>
            <w:r>
              <w:rPr>
                <w:sz w:val="21"/>
              </w:rPr>
              <w:t>Database administration</w:t>
            </w:r>
          </w:p>
        </w:tc>
      </w:tr>
      <w:tr>
        <w:tc>
          <w:tcPr>
            <w:tcW w:type="dxa" w:w="2016"/>
            <w:tcBorders>
              <w:top w:val="nil"/>
              <w:bottom w:val="single" w:sz="6" w:color="000000"/>
            </w:tcBorders>
          </w:tcPr>
          <w:p>
            <w:pPr>
              <w:spacing w:line="240" w:lineRule="auto" w:after="40"/>
              <w:ind w:firstLine="0"/>
              <w:jc w:val="left"/>
            </w:pPr>
            <w:r>
              <w:rPr>
                <w:sz w:val="21"/>
              </w:rPr>
              <w:t>Containerization</w:t>
            </w:r>
          </w:p>
        </w:tc>
        <w:tc>
          <w:tcPr>
            <w:tcW w:type="dxa" w:w="2880"/>
            <w:tcBorders>
              <w:top w:val="nil"/>
              <w:bottom w:val="single" w:sz="6" w:color="000000"/>
            </w:tcBorders>
          </w:tcPr>
          <w:p>
            <w:pPr>
              <w:spacing w:line="240" w:lineRule="auto" w:after="40"/>
              <w:ind w:firstLine="0"/>
              <w:jc w:val="right"/>
            </w:pPr>
            <w:r>
              <w:rPr>
                <w:sz w:val="21"/>
              </w:rPr>
              <w:t>Docker Compose</w:t>
            </w:r>
          </w:p>
        </w:tc>
        <w:tc>
          <w:tcPr>
            <w:tcW w:type="dxa" w:w="3744"/>
            <w:tcBorders>
              <w:top w:val="nil"/>
              <w:bottom w:val="single" w:sz="6" w:color="000000"/>
            </w:tcBorders>
          </w:tcPr>
          <w:p>
            <w:pPr>
              <w:spacing w:line="240" w:lineRule="auto" w:after="40"/>
              <w:ind w:firstLine="0"/>
              <w:jc w:val="right"/>
            </w:pPr>
            <w:r>
              <w:rPr>
                <w:sz w:val="21"/>
              </w:rPr>
              <w:t>Reproducible local deployment</w:t>
            </w:r>
          </w:p>
        </w:tc>
      </w:tr>
    </w:tbl>
    <w:p>
      <w:pPr>
        <w:pStyle w:val="APABodyNoIndent"/>
      </w:pPr>
    </w:p>
    <w:p>
      <w:pPr>
        <w:pStyle w:val="APAH2"/>
      </w:pPr>
      <w:r>
        <w:t>Component Communication Workflow</w:t>
      </w:r>
    </w:p>
    <w:p>
      <w:pPr>
        <w:pStyle w:val="APABody"/>
      </w:pPr>
      <w:r>
        <w:t>Figure 11 traces how the five principal components exchange data, distinguishing offline-only calls (dashed, orange) from live user-request calls (solid, blue).</w:t>
      </w:r>
    </w:p>
    <w:p>
      <w:pPr>
        <w:pStyle w:val="APACaptionLabel"/>
      </w:pPr>
      <w:r>
        <w:t>Figure 11</w:t>
      </w:r>
    </w:p>
    <w:p>
      <w:pPr>
        <w:pStyle w:val="APACaptionTitle"/>
      </w:pPr>
      <w:r>
        <w:t>Component communication: online and offline data paths.</w:t>
      </w:r>
    </w:p>
    <w:p>
      <w:pPr>
        <w:spacing w:line="240" w:lineRule="auto"/>
        <w:ind w:firstLine="0"/>
      </w:pPr>
      <w:r>
        <w:drawing>
          <wp:inline xmlns:a="http://schemas.openxmlformats.org/drawingml/2006/main" xmlns:pic="http://schemas.openxmlformats.org/drawingml/2006/picture">
            <wp:extent cx="5760720" cy="3019367"/>
            <wp:docPr id="11" name="Picture 11"/>
            <wp:cNvGraphicFramePr>
              <a:graphicFrameLocks noChangeAspect="1"/>
            </wp:cNvGraphicFramePr>
            <a:graphic>
              <a:graphicData uri="http://schemas.openxmlformats.org/drawingml/2006/picture">
                <pic:pic>
                  <pic:nvPicPr>
                    <pic:cNvPr id="0" name="component_workflow.png"/>
                    <pic:cNvPicPr/>
                  </pic:nvPicPr>
                  <pic:blipFill>
                    <a:blip r:embed="rId20"/>
                    <a:stretch>
                      <a:fillRect/>
                    </a:stretch>
                  </pic:blipFill>
                  <pic:spPr>
                    <a:xfrm>
                      <a:off x="0" y="0"/>
                      <a:ext cx="5760720" cy="3019367"/>
                    </a:xfrm>
                    <a:prstGeom prst="rect"/>
                  </pic:spPr>
                </pic:pic>
              </a:graphicData>
            </a:graphic>
          </wp:inline>
        </w:drawing>
      </w:r>
    </w:p>
    <w:p>
      <w:pPr>
        <w:pStyle w:val="APACaptionNote"/>
      </w:pPr>
      <w:r>
        <w:rPr>
          <w:i/>
        </w:rPr>
        <w:t xml:space="preserve">Note. </w:t>
      </w:r>
      <w:r>
        <w:t xml:space="preserve">Solid blue is the online request path (frontend → backend → database, serving every request from precomputed rows); dashed orange is the offline pipeline path (backend → Earth Engine → Prithvi → database), triggered by the pipeline control strip as </w:t>
      </w:r>
      <w:r>
        <w:rPr>
          <w:rFonts w:ascii="Consolas" w:hAnsi="Consolas"/>
          <w:sz w:val="22"/>
        </w:rPr>
        <w:t>BackgroundTasks</w:t>
      </w:r>
      <w:r>
        <w:t>.</w:t>
      </w:r>
    </w:p>
    <w:p>
      <w:pPr>
        <w:pStyle w:val="APABodyNoIndent"/>
      </w:pPr>
    </w:p>
    <w:p>
      <w:pPr>
        <w:pStyle w:val="APABody"/>
      </w:pPr>
      <w:r>
        <w:t>Neither path bypasses the backend: every cross-component call passes through FastAPI, enforcing the offline/online separation in one place, so Earth Engine and the foundation model never run during a user request.</w:t>
      </w:r>
    </w:p>
    <w:p>
      <w:pPr>
        <w:pStyle w:val="APAH2"/>
      </w:pPr>
      <w:r>
        <w:t>PostgreSQL, PostGIS, and pgvector</w:t>
      </w:r>
    </w:p>
    <w:p>
      <w:pPr>
        <w:pStyle w:val="APABody"/>
      </w:pPr>
      <w:r>
        <w:t>PostgreSQL is the central persistent store. PostGIS keeps lake and analysis-cell geometry in the database itself, so intersection, containment, area, and map-query operations run directly as SQL. The pgvector extension stores the 768-dimensional Prithvi vectors alongside this spatial data, maintaining the association Embedding ↔ Subregion ↔ Lake ↔ Year so similarity operations execute directly against the indexed database.</w:t>
      </w:r>
    </w:p>
    <w:p>
      <w:pPr>
        <w:pStyle w:val="APAH2"/>
      </w:pPr>
      <w:r>
        <w:t>Core Database Entities</w:t>
      </w:r>
    </w:p>
    <w:p>
      <w:pPr>
        <w:pStyle w:val="APABody"/>
      </w:pPr>
      <w:r>
        <w:t>The deployed schema, reached after nineteen Alembic migrations, consists of the tables in Table 5.</w:t>
      </w:r>
    </w:p>
    <w:p>
      <w:pPr>
        <w:pStyle w:val="APACaptionLabel"/>
      </w:pPr>
      <w:r>
        <w:t>Table 5</w:t>
      </w:r>
    </w:p>
    <w:p>
      <w:pPr>
        <w:pStyle w:val="APACaptionTitle"/>
      </w:pPr>
      <w:r>
        <w:t>Deployed database tables and current row counts.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1872"/>
            <w:tcBorders>
              <w:top w:val="single" w:sz="6" w:color="000000"/>
              <w:bottom w:val="single" w:sz="6" w:color="000000"/>
            </w:tcBorders>
          </w:tcPr>
          <w:p>
            <w:pPr>
              <w:spacing w:line="240" w:lineRule="auto" w:after="40"/>
              <w:ind w:firstLine="0"/>
              <w:jc w:val="left"/>
            </w:pPr>
            <w:r>
              <w:rPr>
                <w:sz w:val="21"/>
              </w:rPr>
              <w:t>Table</w:t>
            </w:r>
          </w:p>
        </w:tc>
        <w:tc>
          <w:tcPr>
            <w:tcW w:type="dxa" w:w="1296"/>
            <w:tcBorders>
              <w:top w:val="single" w:sz="6" w:color="000000"/>
              <w:bottom w:val="single" w:sz="6" w:color="000000"/>
            </w:tcBorders>
          </w:tcPr>
          <w:p>
            <w:pPr>
              <w:spacing w:line="240" w:lineRule="auto" w:after="40"/>
              <w:ind w:firstLine="0"/>
              <w:jc w:val="left"/>
            </w:pPr>
            <w:r>
              <w:rPr>
                <w:sz w:val="21"/>
              </w:rPr>
              <w:t>Rows</w:t>
            </w:r>
          </w:p>
        </w:tc>
        <w:tc>
          <w:tcPr>
            <w:tcW w:type="dxa" w:w="5472"/>
            <w:tcBorders>
              <w:top w:val="single" w:sz="6" w:color="000000"/>
              <w:bottom w:val="single" w:sz="6" w:color="000000"/>
            </w:tcBorders>
          </w:tcPr>
          <w:p>
            <w:pPr>
              <w:spacing w:line="240" w:lineRule="auto" w:after="40"/>
              <w:ind w:firstLine="0"/>
              <w:jc w:val="left"/>
            </w:pPr>
            <w:r>
              <w:rPr>
                <w:sz w:val="21"/>
              </w:rPr>
              <w:t>Role</w:t>
            </w:r>
          </w:p>
        </w:tc>
      </w:tr>
      <w:tr>
        <w:tc>
          <w:tcPr>
            <w:tcW w:type="dxa" w:w="1872"/>
          </w:tcPr>
          <w:p>
            <w:pPr>
              <w:spacing w:line="240" w:lineRule="auto" w:after="40"/>
              <w:ind w:firstLine="0"/>
              <w:jc w:val="left"/>
            </w:pPr>
            <w:r>
              <w:rPr>
                <w:sz w:val="21"/>
              </w:rPr>
            </w:r>
            <w:r>
              <w:rPr>
                <w:rFonts w:ascii="Consolas" w:hAnsi="Consolas"/>
                <w:sz w:val="21"/>
              </w:rPr>
              <w:t>lakes</w:t>
            </w:r>
          </w:p>
        </w:tc>
        <w:tc>
          <w:tcPr>
            <w:tcW w:type="dxa" w:w="1296"/>
          </w:tcPr>
          <w:p>
            <w:pPr>
              <w:spacing w:line="240" w:lineRule="auto" w:after="40"/>
              <w:ind w:firstLine="0"/>
              <w:jc w:val="right"/>
            </w:pPr>
            <w:r>
              <w:rPr>
                <w:sz w:val="21"/>
              </w:rPr>
              <w:t>11,130</w:t>
            </w:r>
          </w:p>
        </w:tc>
        <w:tc>
          <w:tcPr>
            <w:tcW w:type="dxa" w:w="5472"/>
          </w:tcPr>
          <w:p>
            <w:pPr>
              <w:spacing w:line="240" w:lineRule="auto" w:after="40"/>
              <w:ind w:firstLine="0"/>
              <w:jc w:val="right"/>
            </w:pPr>
            <w:r>
              <w:rPr>
                <w:sz w:val="21"/>
              </w:rPr>
              <w:t xml:space="preserve">HydroLAKES inventory with PostGIS geometry; </w:t>
            </w:r>
            <w:r>
              <w:rPr>
                <w:rFonts w:ascii="Consolas" w:hAnsi="Consolas"/>
                <w:sz w:val="21"/>
              </w:rPr>
              <w:t>is_active</w:t>
            </w:r>
            <w:r>
              <w:rPr>
                <w:sz w:val="21"/>
              </w:rPr>
              <w:t xml:space="preserve"> marks the 829-lake processing cohort</w:t>
            </w:r>
          </w:p>
        </w:tc>
      </w:tr>
      <w:tr>
        <w:tc>
          <w:tcPr>
            <w:tcW w:type="dxa" w:w="1872"/>
          </w:tcPr>
          <w:p>
            <w:pPr>
              <w:spacing w:line="240" w:lineRule="auto" w:after="40"/>
              <w:ind w:firstLine="0"/>
              <w:jc w:val="left"/>
            </w:pPr>
            <w:r>
              <w:rPr>
                <w:sz w:val="21"/>
              </w:rPr>
            </w:r>
            <w:r>
              <w:rPr>
                <w:rFonts w:ascii="Consolas" w:hAnsi="Consolas"/>
                <w:sz w:val="21"/>
              </w:rPr>
              <w:t>lake_tiles</w:t>
            </w:r>
          </w:p>
        </w:tc>
        <w:tc>
          <w:tcPr>
            <w:tcW w:type="dxa" w:w="1296"/>
          </w:tcPr>
          <w:p>
            <w:pPr>
              <w:spacing w:line="240" w:lineRule="auto" w:after="40"/>
              <w:ind w:firstLine="0"/>
              <w:jc w:val="right"/>
            </w:pPr>
            <w:r>
              <w:rPr>
                <w:sz w:val="21"/>
              </w:rPr>
              <w:t>19,046</w:t>
            </w:r>
          </w:p>
        </w:tc>
        <w:tc>
          <w:tcPr>
            <w:tcW w:type="dxa" w:w="5472"/>
          </w:tcPr>
          <w:p>
            <w:pPr>
              <w:spacing w:line="240" w:lineRule="auto" w:after="40"/>
              <w:ind w:firstLine="0"/>
              <w:jc w:val="right"/>
            </w:pPr>
            <w:r>
              <w:rPr>
                <w:sz w:val="21"/>
              </w:rPr>
              <w:t>Earth Engine export tiles per lake-year</w:t>
            </w:r>
          </w:p>
        </w:tc>
      </w:tr>
      <w:tr>
        <w:tc>
          <w:tcPr>
            <w:tcW w:type="dxa" w:w="1872"/>
          </w:tcPr>
          <w:p>
            <w:pPr>
              <w:spacing w:line="240" w:lineRule="auto" w:after="40"/>
              <w:ind w:firstLine="0"/>
              <w:jc w:val="left"/>
            </w:pPr>
            <w:r>
              <w:rPr>
                <w:sz w:val="21"/>
              </w:rPr>
            </w:r>
            <w:r>
              <w:rPr>
                <w:rFonts w:ascii="Consolas" w:hAnsi="Consolas"/>
                <w:sz w:val="21"/>
              </w:rPr>
              <w:t>lake_images</w:t>
            </w:r>
          </w:p>
        </w:tc>
        <w:tc>
          <w:tcPr>
            <w:tcW w:type="dxa" w:w="1296"/>
          </w:tcPr>
          <w:p>
            <w:pPr>
              <w:spacing w:line="240" w:lineRule="auto" w:after="40"/>
              <w:ind w:firstLine="0"/>
              <w:jc w:val="right"/>
            </w:pPr>
            <w:r>
              <w:rPr>
                <w:sz w:val="21"/>
              </w:rPr>
              <w:t>8,227</w:t>
            </w:r>
          </w:p>
        </w:tc>
        <w:tc>
          <w:tcPr>
            <w:tcW w:type="dxa" w:w="5472"/>
          </w:tcPr>
          <w:p>
            <w:pPr>
              <w:spacing w:line="240" w:lineRule="auto" w:after="40"/>
              <w:ind w:firstLine="0"/>
              <w:jc w:val="right"/>
            </w:pPr>
            <w:r>
              <w:rPr>
                <w:sz w:val="21"/>
              </w:rPr>
              <w:t>Merged lake-year mosaics with path and status</w:t>
            </w:r>
          </w:p>
        </w:tc>
      </w:tr>
      <w:tr>
        <w:tc>
          <w:tcPr>
            <w:tcW w:type="dxa" w:w="1872"/>
          </w:tcPr>
          <w:p>
            <w:pPr>
              <w:spacing w:line="240" w:lineRule="auto" w:after="40"/>
              <w:ind w:firstLine="0"/>
              <w:jc w:val="left"/>
            </w:pPr>
            <w:r>
              <w:rPr>
                <w:sz w:val="21"/>
              </w:rPr>
            </w:r>
            <w:r>
              <w:rPr>
                <w:rFonts w:ascii="Consolas" w:hAnsi="Consolas"/>
                <w:sz w:val="21"/>
              </w:rPr>
              <w:t>sub_regions</w:t>
            </w:r>
          </w:p>
        </w:tc>
        <w:tc>
          <w:tcPr>
            <w:tcW w:type="dxa" w:w="1296"/>
          </w:tcPr>
          <w:p>
            <w:pPr>
              <w:spacing w:line="240" w:lineRule="auto" w:after="40"/>
              <w:ind w:firstLine="0"/>
              <w:jc w:val="right"/>
            </w:pPr>
            <w:r>
              <w:rPr>
                <w:sz w:val="21"/>
              </w:rPr>
              <w:t>233,002</w:t>
            </w:r>
          </w:p>
        </w:tc>
        <w:tc>
          <w:tcPr>
            <w:tcW w:type="dxa" w:w="5472"/>
          </w:tcPr>
          <w:p>
            <w:pPr>
              <w:spacing w:line="240" w:lineRule="auto" w:after="40"/>
              <w:ind w:firstLine="0"/>
              <w:jc w:val="right"/>
            </w:pPr>
            <w:r>
              <w:rPr>
                <w:sz w:val="21"/>
              </w:rPr>
              <w:t>1 km analysis cells with geometry and coverage</w:t>
            </w:r>
          </w:p>
        </w:tc>
      </w:tr>
      <w:tr>
        <w:tc>
          <w:tcPr>
            <w:tcW w:type="dxa" w:w="1872"/>
          </w:tcPr>
          <w:p>
            <w:pPr>
              <w:spacing w:line="240" w:lineRule="auto" w:after="40"/>
              <w:ind w:firstLine="0"/>
              <w:jc w:val="left"/>
            </w:pPr>
            <w:r>
              <w:rPr>
                <w:sz w:val="21"/>
              </w:rPr>
            </w:r>
            <w:r>
              <w:rPr>
                <w:rFonts w:ascii="Consolas" w:hAnsi="Consolas"/>
                <w:sz w:val="21"/>
              </w:rPr>
              <w:t>regions</w:t>
            </w:r>
          </w:p>
        </w:tc>
        <w:tc>
          <w:tcPr>
            <w:tcW w:type="dxa" w:w="1296"/>
          </w:tcPr>
          <w:p>
            <w:pPr>
              <w:spacing w:line="240" w:lineRule="auto" w:after="40"/>
              <w:ind w:firstLine="0"/>
              <w:jc w:val="right"/>
            </w:pPr>
            <w:r>
              <w:rPr>
                <w:sz w:val="21"/>
              </w:rPr>
              <w:t>8,227</w:t>
            </w:r>
          </w:p>
        </w:tc>
        <w:tc>
          <w:tcPr>
            <w:tcW w:type="dxa" w:w="5472"/>
          </w:tcPr>
          <w:p>
            <w:pPr>
              <w:spacing w:line="240" w:lineRule="auto" w:after="40"/>
              <w:ind w:firstLine="0"/>
              <w:jc w:val="right"/>
            </w:pPr>
            <w:r>
              <w:rPr>
                <w:sz w:val="21"/>
              </w:rPr>
              <w:t>Pooled lake-year vector(768) embeddings</w:t>
            </w:r>
          </w:p>
        </w:tc>
      </w:tr>
      <w:tr>
        <w:tc>
          <w:tcPr>
            <w:tcW w:type="dxa" w:w="1872"/>
          </w:tcPr>
          <w:p>
            <w:pPr>
              <w:spacing w:line="240" w:lineRule="auto" w:after="40"/>
              <w:ind w:firstLine="0"/>
              <w:jc w:val="left"/>
            </w:pPr>
            <w:r>
              <w:rPr>
                <w:sz w:val="21"/>
              </w:rPr>
            </w:r>
            <w:r>
              <w:rPr>
                <w:rFonts w:ascii="Consolas" w:hAnsi="Consolas"/>
                <w:sz w:val="21"/>
              </w:rPr>
              <w:t>lake_features</w:t>
            </w:r>
          </w:p>
        </w:tc>
        <w:tc>
          <w:tcPr>
            <w:tcW w:type="dxa" w:w="1296"/>
          </w:tcPr>
          <w:p>
            <w:pPr>
              <w:spacing w:line="240" w:lineRule="auto" w:after="40"/>
              <w:ind w:firstLine="0"/>
              <w:jc w:val="right"/>
            </w:pPr>
            <w:r>
              <w:rPr>
                <w:sz w:val="21"/>
              </w:rPr>
              <w:t>8,227</w:t>
            </w:r>
          </w:p>
        </w:tc>
        <w:tc>
          <w:tcPr>
            <w:tcW w:type="dxa" w:w="5472"/>
          </w:tcPr>
          <w:p>
            <w:pPr>
              <w:spacing w:line="240" w:lineRule="auto" w:after="40"/>
              <w:ind w:firstLine="0"/>
              <w:jc w:val="right"/>
            </w:pPr>
            <w:r>
              <w:rPr>
                <w:sz w:val="21"/>
              </w:rPr>
              <w:t>Band statistics, indices, and texture per lake-year</w:t>
            </w:r>
          </w:p>
        </w:tc>
      </w:tr>
      <w:tr>
        <w:tc>
          <w:tcPr>
            <w:tcW w:type="dxa" w:w="1872"/>
          </w:tcPr>
          <w:p>
            <w:pPr>
              <w:spacing w:line="240" w:lineRule="auto" w:after="40"/>
              <w:ind w:firstLine="0"/>
              <w:jc w:val="left"/>
            </w:pPr>
            <w:r>
              <w:rPr>
                <w:sz w:val="21"/>
              </w:rPr>
            </w:r>
            <w:r>
              <w:rPr>
                <w:rFonts w:ascii="Consolas" w:hAnsi="Consolas"/>
                <w:sz w:val="21"/>
              </w:rPr>
              <w:t>india_states</w:t>
            </w:r>
          </w:p>
        </w:tc>
        <w:tc>
          <w:tcPr>
            <w:tcW w:type="dxa" w:w="1296"/>
          </w:tcPr>
          <w:p>
            <w:pPr>
              <w:spacing w:line="240" w:lineRule="auto" w:after="40"/>
              <w:ind w:firstLine="0"/>
              <w:jc w:val="right"/>
            </w:pPr>
            <w:r>
              <w:rPr>
                <w:sz w:val="21"/>
              </w:rPr>
              <w:t>36</w:t>
            </w:r>
          </w:p>
        </w:tc>
        <w:tc>
          <w:tcPr>
            <w:tcW w:type="dxa" w:w="5472"/>
          </w:tcPr>
          <w:p>
            <w:pPr>
              <w:spacing w:line="240" w:lineRule="auto" w:after="40"/>
              <w:ind w:firstLine="0"/>
              <w:jc w:val="right"/>
            </w:pPr>
            <w:r>
              <w:rPr>
                <w:sz w:val="21"/>
              </w:rPr>
              <w:t>State boundaries for spatial attribution</w:t>
            </w:r>
          </w:p>
        </w:tc>
      </w:tr>
      <w:tr>
        <w:tc>
          <w:tcPr>
            <w:tcW w:type="dxa" w:w="1872"/>
            <w:tcBorders>
              <w:top w:val="nil"/>
              <w:bottom w:val="single" w:sz="6" w:color="000000"/>
            </w:tcBorders>
          </w:tcPr>
          <w:p>
            <w:pPr>
              <w:spacing w:line="240" w:lineRule="auto" w:after="40"/>
              <w:ind w:firstLine="0"/>
              <w:jc w:val="left"/>
            </w:pPr>
            <w:r>
              <w:rPr>
                <w:sz w:val="21"/>
              </w:rPr>
            </w:r>
            <w:r>
              <w:rPr>
                <w:rFonts w:ascii="Consolas" w:hAnsi="Consolas"/>
                <w:sz w:val="21"/>
              </w:rPr>
              <w:t>reports</w:t>
            </w:r>
          </w:p>
        </w:tc>
        <w:tc>
          <w:tcPr>
            <w:tcW w:type="dxa" w:w="1296"/>
            <w:tcBorders>
              <w:top w:val="nil"/>
              <w:bottom w:val="single" w:sz="6" w:color="000000"/>
            </w:tcBorders>
          </w:tcPr>
          <w:p>
            <w:pPr>
              <w:spacing w:line="240" w:lineRule="auto" w:after="40"/>
              <w:ind w:firstLine="0"/>
              <w:jc w:val="right"/>
            </w:pPr>
            <w:r>
              <w:rPr>
                <w:sz w:val="21"/>
              </w:rPr>
              <w:t>—</w:t>
            </w:r>
          </w:p>
        </w:tc>
        <w:tc>
          <w:tcPr>
            <w:tcW w:type="dxa" w:w="5472"/>
            <w:tcBorders>
              <w:top w:val="nil"/>
              <w:bottom w:val="single" w:sz="6" w:color="000000"/>
            </w:tcBorders>
          </w:tcPr>
          <w:p>
            <w:pPr>
              <w:spacing w:line="240" w:lineRule="auto" w:after="40"/>
              <w:ind w:firstLine="0"/>
              <w:jc w:val="right"/>
            </w:pPr>
            <w:r>
              <w:rPr>
                <w:sz w:val="21"/>
              </w:rPr>
              <w:t>Generated PDF report records</w:t>
            </w:r>
          </w:p>
        </w:tc>
      </w:tr>
    </w:tbl>
    <w:p>
      <w:pPr>
        <w:pStyle w:val="APABodyNoIndent"/>
      </w:pPr>
    </w:p>
    <w:p>
      <w:pPr>
        <w:pStyle w:val="APABody"/>
      </w:pPr>
      <w:r>
        <w:rPr>
          <w:rFonts w:ascii="Consolas" w:hAnsi="Consolas"/>
          <w:sz w:val="22"/>
        </w:rPr>
        <w:t>regions</w:t>
      </w:r>
      <w:r>
        <w:t xml:space="preserve"> stores exactly one pooled 768-dimensional embedding per lake-year, enforced by a unique constraint on (lake_id, year). </w:t>
      </w:r>
      <w:r>
        <w:rPr>
          <w:rFonts w:ascii="Consolas" w:hAnsi="Consolas"/>
          <w:sz w:val="22"/>
        </w:rPr>
        <w:t>lake_features</w:t>
      </w:r>
      <w:r>
        <w:t xml:space="preserve">, the widest table in the schema, is the source of truth for measured reflectance: per-band statistics, pixel/coverage counts, cloud percentage, and GLCM texture, from which the forecasting layer derives indices on demand. Keeping embeddings and measured reflectance in separate tables is what makes the decoder-free forecast possible: the embedding space answers </w:t>
      </w:r>
      <w:r>
        <w:rPr>
          <w:i/>
        </w:rPr>
        <w:t>which lakes are analogs</w:t>
      </w:r>
      <w:r>
        <w:t xml:space="preserve">, the feature table answers </w:t>
      </w:r>
      <w:r>
        <w:rPr>
          <w:i/>
        </w:rPr>
        <w:t>what measurably happened to them</w:t>
      </w:r>
      <w:r>
        <w:t>.</w:t>
      </w:r>
    </w:p>
    <w:p>
      <w:pPr>
        <w:pStyle w:val="APAH2"/>
      </w:pPr>
      <w:r>
        <w:t>Backend and Frontend</w:t>
      </w:r>
    </w:p>
    <w:p>
      <w:pPr>
        <w:pStyle w:val="APABody"/>
      </w:pPr>
      <w:r>
        <w:t>The FastAPI backend provides services for lake metadata lookup, analog similarity search, temporal feature retrieval, forecast retrieval, report generation, and system status, separating cheap data retrieval from heavy batch processing. The frontend, built on React/Vite/TypeScript with Leaflet mapping, lets a user select a lake, view its boundary, request analogs, visualize their locations and scores, and inspect historical profiles alongside the forecast; displayed geometry is drawn from the same PostGIS source used for the analysis itself, avoiding disagreement between result and map.</w:t>
      </w:r>
    </w:p>
    <w:p>
      <w:pPr>
        <w:pStyle w:val="APAH2"/>
      </w:pPr>
      <w:r>
        <w:t>Asynchronous Processing and Progress Tracking</w:t>
      </w:r>
    </w:p>
    <w:p>
      <w:pPr>
        <w:pStyle w:val="APABody"/>
      </w:pPr>
      <w:r>
        <w:t xml:space="preserve">Imagery download, raster merging, and model inference all take far longer than an acceptable HTTP request, so each runs through FastAPI's </w:t>
      </w:r>
      <w:r>
        <w:rPr>
          <w:rFonts w:ascii="Consolas" w:hAnsi="Consolas"/>
          <w:sz w:val="22"/>
        </w:rPr>
        <w:t>BackgroundTasks</w:t>
      </w:r>
      <w:r>
        <w:t xml:space="preserve"> and returns immediately. A distributed task queue was considered and not adopted: the durable state it would provide already exists in the database, where every row carries its own status. Progress is exposed through module-level state guarded by a lock (counts, elapsed time, throughput, projected completion), polled by the frontend; long jobs are also cancellable, stopping after the current lake-year rather than mid-write.</w:t>
      </w:r>
    </w:p>
    <w:p>
      <w:pPr>
        <w:pStyle w:val="APAH2"/>
      </w:pPr>
      <w:r>
        <w:t>Server-Side B8 Acquisition</w:t>
      </w:r>
    </w:p>
    <w:p>
      <w:pPr>
        <w:pStyle w:val="APABody"/>
      </w:pPr>
      <w:r>
        <w:t xml:space="preserve">Unlike </w:t>
      </w:r>
      <w:r>
        <w:rPr>
          <w:rFonts w:ascii="Consolas" w:hAnsi="Consolas"/>
          <w:sz w:val="22"/>
        </w:rPr>
        <w:t>B2–B7</w:t>
      </w:r>
      <w:r>
        <w:t xml:space="preserve">, which must be downloaded as pixels for Prithvi inference, B8 is needed only as summary statistics, so the B8 pipeline performs the reduction entirely on Earth Engine's servers using </w:t>
      </w:r>
      <w:r>
        <w:rPr>
          <w:rFonts w:ascii="Consolas" w:hAnsi="Consolas"/>
          <w:sz w:val="22"/>
        </w:rPr>
        <w:t>Image.reduceRegions()</w:t>
      </w:r>
      <w:r>
        <w:t xml:space="preserve">: lake polygons are batched fifteen at a time and reduced against a single annual composite, so only the resulting numbers are transferred and no imagery is downloaded. A separate </w:t>
      </w:r>
      <w:r>
        <w:rPr>
          <w:rFonts w:ascii="Consolas" w:hAnsi="Consolas"/>
          <w:sz w:val="22"/>
        </w:rPr>
        <w:t>b8_status</w:t>
      </w:r>
      <w:r>
        <w:t xml:space="preserve"> column tracks this pipeline independently, completed for all </w:t>
      </w:r>
      <w:r>
        <w:rPr>
          <w:b/>
        </w:rPr>
        <w:t>8,227</w:t>
      </w:r>
      <w:r>
        <w:t xml:space="preserve"> lake-years.</w:t>
      </w:r>
    </w:p>
    <w:p>
      <w:pPr>
        <w:pStyle w:val="APACaptionLabel"/>
      </w:pPr>
      <w:r>
        <w:t>Figure 12</w:t>
      </w:r>
    </w:p>
    <w:p>
      <w:pPr>
        <w:pStyle w:val="APACaptionTitle"/>
      </w:pPr>
      <w:r>
        <w:t>Stage 7 (Fetch B8): server-side zonal reduction with no local raster.</w:t>
      </w:r>
    </w:p>
    <w:p>
      <w:pPr>
        <w:spacing w:line="240" w:lineRule="auto"/>
        <w:ind w:firstLine="0"/>
      </w:pPr>
      <w:r>
        <w:drawing>
          <wp:inline xmlns:a="http://schemas.openxmlformats.org/drawingml/2006/main" xmlns:pic="http://schemas.openxmlformats.org/drawingml/2006/picture">
            <wp:extent cx="5760720" cy="1286593"/>
            <wp:docPr id="12" name="Picture 12"/>
            <wp:cNvGraphicFramePr>
              <a:graphicFrameLocks noChangeAspect="1"/>
            </wp:cNvGraphicFramePr>
            <a:graphic>
              <a:graphicData uri="http://schemas.openxmlformats.org/drawingml/2006/picture">
                <pic:pic>
                  <pic:nvPicPr>
                    <pic:cNvPr id="0" name="stage7_b8.png"/>
                    <pic:cNvPicPr/>
                  </pic:nvPicPr>
                  <pic:blipFill>
                    <a:blip r:embed="rId21"/>
                    <a:stretch>
                      <a:fillRect/>
                    </a:stretch>
                  </pic:blipFill>
                  <pic:spPr>
                    <a:xfrm>
                      <a:off x="0" y="0"/>
                      <a:ext cx="5760720" cy="1286593"/>
                    </a:xfrm>
                    <a:prstGeom prst="rect"/>
                  </pic:spPr>
                </pic:pic>
              </a:graphicData>
            </a:graphic>
          </wp:inline>
        </w:drawing>
      </w:r>
    </w:p>
    <w:p>
      <w:pPr>
        <w:pStyle w:val="APACaptionNote"/>
      </w:pPr>
      <w:r>
        <w:rPr>
          <w:i/>
        </w:rPr>
        <w:t xml:space="preserve">Note. </w:t>
      </w:r>
      <w:r>
        <w:t xml:space="preserve">The only stage that never produces a local GeoTIFF — the zonal reduction runs on Earth Engine's servers against 15 batched polygons, and only reduced values cross the network into </w:t>
      </w:r>
      <w:r>
        <w:rPr>
          <w:rFonts w:ascii="Consolas" w:hAnsi="Consolas"/>
          <w:sz w:val="22"/>
        </w:rPr>
        <w:t>lake_features</w:t>
      </w:r>
      <w:r>
        <w:t>.</w:t>
      </w:r>
    </w:p>
    <w:p>
      <w:pPr>
        <w:pStyle w:val="APABodyNoIndent"/>
      </w:pPr>
    </w:p>
    <w:p>
      <w:pPr>
        <w:pStyle w:val="APAH2"/>
      </w:pPr>
      <w:r>
        <w:t>Automated PDF Report Generation</w:t>
      </w:r>
    </w:p>
    <w:p>
      <w:pPr>
        <w:pStyle w:val="APABody"/>
      </w:pPr>
      <w:r>
        <w:t>The application generates a per-lake PDF report through a Jinja2 template rendered by WeasyPrint, assembling lake metadata, a map of the lake and its analogs, historical index trajectories, the ranked analog table, and the directional forecast with its audit trail — an offline deliverable for users who need a citable artifact.</w:t>
      </w:r>
    </w:p>
    <w:p>
      <w:pPr>
        <w:pStyle w:val="APAH2"/>
      </w:pPr>
      <w:r>
        <w:t>Configuration Management</w:t>
      </w:r>
    </w:p>
    <w:p>
      <w:pPr>
        <w:pStyle w:val="APABody"/>
      </w:pPr>
      <w:r>
        <w:t>The processing pipeline reads experiment-specific values — Earth Engine credentials, date ranges, cloud thresholds, buffer/tile/cell sizing, coverage threshold, storage paths, and worker/batch settings — from environment configuration rather than hard-coding them.</w:t>
      </w:r>
    </w:p>
    <w:p>
      <w:r>
        <w:br w:type="page"/>
      </w:r>
    </w:p>
    <w:p>
      <w:pPr>
        <w:pStyle w:val="APAH1"/>
      </w:pPr>
      <w:r>
        <w:t>Experimental Results and Engineering Evaluation</w:t>
      </w:r>
    </w:p>
    <w:p>
      <w:pPr>
        <w:pStyle w:val="APAH2"/>
      </w:pPr>
      <w:r>
        <w:t>Deployed Processing Cohort</w:t>
      </w:r>
    </w:p>
    <w:p>
      <w:pPr>
        <w:pStyle w:val="APABody"/>
      </w:pPr>
      <w:r>
        <w:t xml:space="preserve">The HydroLAKES-derived inventory holds </w:t>
      </w:r>
      <w:r>
        <w:rPr>
          <w:b/>
        </w:rPr>
        <w:t>11,130</w:t>
      </w:r>
      <w:r>
        <w:t xml:space="preserve"> Indian lakes. Of these, </w:t>
      </w:r>
      <w:r>
        <w:rPr>
          <w:b/>
        </w:rPr>
        <w:t>829</w:t>
      </w:r>
      <w:r>
        <w:t xml:space="preserve"> are flagged </w:t>
      </w:r>
      <w:r>
        <w:rPr>
          <w:rFonts w:ascii="Consolas" w:hAnsi="Consolas"/>
          <w:sz w:val="22"/>
        </w:rPr>
        <w:t>is_active</w:t>
      </w:r>
      <w:r>
        <w:t xml:space="preserve"> and constitute the fully processed cohort; the remainder are retained as inventory and map context but were not put through the expensive imagery and embedding stages. Selection favoured lakes large enough to yield meaningful multi-cell coverage at 10 m resolution, with a minimum area of 2 km².</w:t>
      </w:r>
    </w:p>
    <w:p>
      <w:pPr>
        <w:pStyle w:val="APACaptionLabel"/>
      </w:pPr>
      <w:r>
        <w:t>Table 6</w:t>
      </w:r>
    </w:p>
    <w:p>
      <w:pPr>
        <w:pStyle w:val="APACaptionTitle"/>
      </w:pPr>
      <w:r>
        <w:t>Deployed EcoTwin processing configuration.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3456"/>
            <w:tcBorders>
              <w:top w:val="single" w:sz="6" w:color="000000"/>
              <w:bottom w:val="single" w:sz="6" w:color="000000"/>
            </w:tcBorders>
          </w:tcPr>
          <w:p>
            <w:pPr>
              <w:spacing w:line="240" w:lineRule="auto" w:after="40"/>
              <w:ind w:firstLine="0"/>
              <w:jc w:val="left"/>
            </w:pPr>
            <w:r>
              <w:rPr>
                <w:sz w:val="21"/>
              </w:rPr>
              <w:t>Parameter</w:t>
            </w:r>
          </w:p>
        </w:tc>
        <w:tc>
          <w:tcPr>
            <w:tcW w:type="dxa" w:w="4896"/>
            <w:tcBorders>
              <w:top w:val="single" w:sz="6" w:color="000000"/>
              <w:bottom w:val="single" w:sz="6" w:color="000000"/>
            </w:tcBorders>
          </w:tcPr>
          <w:p>
            <w:pPr>
              <w:spacing w:line="240" w:lineRule="auto" w:after="40"/>
              <w:ind w:firstLine="0"/>
              <w:jc w:val="left"/>
            </w:pPr>
            <w:r>
              <w:rPr>
                <w:sz w:val="21"/>
              </w:rPr>
              <w:t>Value</w:t>
            </w:r>
          </w:p>
        </w:tc>
      </w:tr>
      <w:tr>
        <w:tc>
          <w:tcPr>
            <w:tcW w:type="dxa" w:w="3456"/>
          </w:tcPr>
          <w:p>
            <w:pPr>
              <w:spacing w:line="240" w:lineRule="auto" w:after="40"/>
              <w:ind w:firstLine="0"/>
              <w:jc w:val="left"/>
            </w:pPr>
            <w:r>
              <w:rPr>
                <w:sz w:val="21"/>
              </w:rPr>
              <w:t>Lake source</w:t>
            </w:r>
          </w:p>
        </w:tc>
        <w:tc>
          <w:tcPr>
            <w:tcW w:type="dxa" w:w="4896"/>
          </w:tcPr>
          <w:p>
            <w:pPr>
              <w:spacing w:line="240" w:lineRule="auto" w:after="40"/>
              <w:ind w:firstLine="0"/>
              <w:jc w:val="right"/>
            </w:pPr>
            <w:r>
              <w:rPr>
                <w:sz w:val="21"/>
              </w:rPr>
              <w:t>HydroLAKES</w:t>
            </w:r>
          </w:p>
        </w:tc>
      </w:tr>
      <w:tr>
        <w:tc>
          <w:tcPr>
            <w:tcW w:type="dxa" w:w="3456"/>
          </w:tcPr>
          <w:p>
            <w:pPr>
              <w:spacing w:line="240" w:lineRule="auto" w:after="40"/>
              <w:ind w:firstLine="0"/>
              <w:jc w:val="left"/>
            </w:pPr>
            <w:r>
              <w:rPr>
                <w:sz w:val="21"/>
              </w:rPr>
              <w:t>Active processing cohort</w:t>
            </w:r>
          </w:p>
        </w:tc>
        <w:tc>
          <w:tcPr>
            <w:tcW w:type="dxa" w:w="4896"/>
          </w:tcPr>
          <w:p>
            <w:pPr>
              <w:spacing w:line="240" w:lineRule="auto" w:after="40"/>
              <w:ind w:firstLine="0"/>
              <w:jc w:val="right"/>
            </w:pPr>
            <w:r>
              <w:rPr>
                <w:sz w:val="21"/>
              </w:rPr>
              <w:t>829 lakes, 26 states</w:t>
            </w:r>
          </w:p>
        </w:tc>
      </w:tr>
      <w:tr>
        <w:tc>
          <w:tcPr>
            <w:tcW w:type="dxa" w:w="3456"/>
          </w:tcPr>
          <w:p>
            <w:pPr>
              <w:spacing w:line="240" w:lineRule="auto" w:after="40"/>
              <w:ind w:firstLine="0"/>
              <w:jc w:val="left"/>
            </w:pPr>
            <w:r>
              <w:rPr>
                <w:sz w:val="21"/>
              </w:rPr>
              <w:t>Cohort area range</w:t>
            </w:r>
          </w:p>
        </w:tc>
        <w:tc>
          <w:tcPr>
            <w:tcW w:type="dxa" w:w="4896"/>
          </w:tcPr>
          <w:p>
            <w:pPr>
              <w:spacing w:line="240" w:lineRule="auto" w:after="40"/>
              <w:ind w:firstLine="0"/>
              <w:jc w:val="right"/>
            </w:pPr>
            <w:r>
              <w:rPr>
                <w:sz w:val="21"/>
              </w:rPr>
              <w:t>2.00–843.22 km² (mean 19.06)</w:t>
            </w:r>
          </w:p>
        </w:tc>
      </w:tr>
      <w:tr>
        <w:tc>
          <w:tcPr>
            <w:tcW w:type="dxa" w:w="3456"/>
          </w:tcPr>
          <w:p>
            <w:pPr>
              <w:spacing w:line="240" w:lineRule="auto" w:after="40"/>
              <w:ind w:firstLine="0"/>
              <w:jc w:val="left"/>
            </w:pPr>
            <w:r>
              <w:rPr>
                <w:sz w:val="21"/>
              </w:rPr>
              <w:t>Cohort elevation range</w:t>
            </w:r>
          </w:p>
        </w:tc>
        <w:tc>
          <w:tcPr>
            <w:tcW w:type="dxa" w:w="4896"/>
          </w:tcPr>
          <w:p>
            <w:pPr>
              <w:spacing w:line="240" w:lineRule="auto" w:after="40"/>
              <w:ind w:firstLine="0"/>
              <w:jc w:val="right"/>
            </w:pPr>
            <w:r>
              <w:rPr>
                <w:sz w:val="21"/>
              </w:rPr>
              <w:t>−6 – 4,985 m</w:t>
            </w:r>
          </w:p>
        </w:tc>
      </w:tr>
      <w:tr>
        <w:tc>
          <w:tcPr>
            <w:tcW w:type="dxa" w:w="3456"/>
          </w:tcPr>
          <w:p>
            <w:pPr>
              <w:spacing w:line="240" w:lineRule="auto" w:after="40"/>
              <w:ind w:firstLine="0"/>
              <w:jc w:val="left"/>
            </w:pPr>
            <w:r>
              <w:rPr>
                <w:sz w:val="21"/>
              </w:rPr>
              <w:t>Imagery window</w:t>
            </w:r>
          </w:p>
        </w:tc>
        <w:tc>
          <w:tcPr>
            <w:tcW w:type="dxa" w:w="4896"/>
          </w:tcPr>
          <w:p>
            <w:pPr>
              <w:spacing w:line="240" w:lineRule="auto" w:after="40"/>
              <w:ind w:firstLine="0"/>
              <w:jc w:val="right"/>
            </w:pPr>
            <w:r>
              <w:rPr>
                <w:sz w:val="21"/>
              </w:rPr>
              <w:t>2016–2025 (10 years)</w:t>
            </w:r>
          </w:p>
        </w:tc>
      </w:tr>
      <w:tr>
        <w:tc>
          <w:tcPr>
            <w:tcW w:type="dxa" w:w="3456"/>
          </w:tcPr>
          <w:p>
            <w:pPr>
              <w:spacing w:line="240" w:lineRule="auto" w:after="40"/>
              <w:ind w:firstLine="0"/>
              <w:jc w:val="left"/>
            </w:pPr>
            <w:r>
              <w:rPr>
                <w:sz w:val="21"/>
              </w:rPr>
              <w:t>Primary Sentinel collection</w:t>
            </w:r>
          </w:p>
        </w:tc>
        <w:tc>
          <w:tcPr>
            <w:tcW w:type="dxa" w:w="4896"/>
          </w:tcPr>
          <w:p>
            <w:pPr>
              <w:spacing w:line="240" w:lineRule="auto" w:after="40"/>
              <w:ind w:firstLine="0"/>
              <w:jc w:val="right"/>
            </w:pPr>
            <w:r>
              <w:rPr>
                <w:sz w:val="21"/>
              </w:rPr>
              <w:t>S2 SR Harmonized</w:t>
            </w:r>
          </w:p>
        </w:tc>
      </w:tr>
      <w:tr>
        <w:tc>
          <w:tcPr>
            <w:tcW w:type="dxa" w:w="3456"/>
          </w:tcPr>
          <w:p>
            <w:pPr>
              <w:spacing w:line="240" w:lineRule="auto" w:after="40"/>
              <w:ind w:firstLine="0"/>
              <w:jc w:val="left"/>
            </w:pPr>
            <w:r>
              <w:rPr>
                <w:sz w:val="21"/>
              </w:rPr>
              <w:t>Fallback collection</w:t>
            </w:r>
          </w:p>
        </w:tc>
        <w:tc>
          <w:tcPr>
            <w:tcW w:type="dxa" w:w="4896"/>
          </w:tcPr>
          <w:p>
            <w:pPr>
              <w:spacing w:line="240" w:lineRule="auto" w:after="40"/>
              <w:ind w:firstLine="0"/>
              <w:jc w:val="right"/>
            </w:pPr>
            <w:r>
              <w:rPr>
                <w:sz w:val="21"/>
              </w:rPr>
              <w:t>S2 Level-1C</w:t>
            </w:r>
          </w:p>
        </w:tc>
      </w:tr>
      <w:tr>
        <w:tc>
          <w:tcPr>
            <w:tcW w:type="dxa" w:w="3456"/>
          </w:tcPr>
          <w:p>
            <w:pPr>
              <w:spacing w:line="240" w:lineRule="auto" w:after="40"/>
              <w:ind w:firstLine="0"/>
              <w:jc w:val="left"/>
            </w:pPr>
            <w:r>
              <w:rPr>
                <w:sz w:val="21"/>
              </w:rPr>
              <w:t>Scene cloud-cover limit</w:t>
            </w:r>
          </w:p>
        </w:tc>
        <w:tc>
          <w:tcPr>
            <w:tcW w:type="dxa" w:w="4896"/>
          </w:tcPr>
          <w:p>
            <w:pPr>
              <w:spacing w:line="240" w:lineRule="auto" w:after="40"/>
              <w:ind w:firstLine="0"/>
              <w:jc w:val="right"/>
            </w:pPr>
            <w:r>
              <w:rPr>
                <w:sz w:val="21"/>
              </w:rPr>
              <w:t>20%</w:t>
            </w:r>
          </w:p>
        </w:tc>
      </w:tr>
      <w:tr>
        <w:tc>
          <w:tcPr>
            <w:tcW w:type="dxa" w:w="3456"/>
          </w:tcPr>
          <w:p>
            <w:pPr>
              <w:spacing w:line="240" w:lineRule="auto" w:after="40"/>
              <w:ind w:firstLine="0"/>
              <w:jc w:val="left"/>
            </w:pPr>
            <w:r>
              <w:rPr>
                <w:sz w:val="21"/>
              </w:rPr>
              <w:t>Composite method</w:t>
            </w:r>
          </w:p>
        </w:tc>
        <w:tc>
          <w:tcPr>
            <w:tcW w:type="dxa" w:w="4896"/>
          </w:tcPr>
          <w:p>
            <w:pPr>
              <w:spacing w:line="240" w:lineRule="auto" w:after="40"/>
              <w:ind w:firstLine="0"/>
              <w:jc w:val="right"/>
            </w:pPr>
            <w:r>
              <w:rPr>
                <w:sz w:val="21"/>
              </w:rPr>
              <w:t>Annual median</w:t>
            </w:r>
          </w:p>
        </w:tc>
      </w:tr>
      <w:tr>
        <w:tc>
          <w:tcPr>
            <w:tcW w:type="dxa" w:w="3456"/>
          </w:tcPr>
          <w:p>
            <w:pPr>
              <w:spacing w:line="240" w:lineRule="auto" w:after="40"/>
              <w:ind w:firstLine="0"/>
              <w:jc w:val="left"/>
            </w:pPr>
            <w:r>
              <w:rPr>
                <w:sz w:val="21"/>
              </w:rPr>
              <w:t>Imagery buffer</w:t>
            </w:r>
          </w:p>
        </w:tc>
        <w:tc>
          <w:tcPr>
            <w:tcW w:type="dxa" w:w="4896"/>
          </w:tcPr>
          <w:p>
            <w:pPr>
              <w:spacing w:line="240" w:lineRule="auto" w:after="40"/>
              <w:ind w:firstLine="0"/>
              <w:jc w:val="right"/>
            </w:pPr>
            <w:r>
              <w:rPr>
                <w:sz w:val="21"/>
              </w:rPr>
              <w:t>1,200 m</w:t>
            </w:r>
          </w:p>
        </w:tc>
      </w:tr>
      <w:tr>
        <w:tc>
          <w:tcPr>
            <w:tcW w:type="dxa" w:w="3456"/>
          </w:tcPr>
          <w:p>
            <w:pPr>
              <w:spacing w:line="240" w:lineRule="auto" w:after="40"/>
              <w:ind w:firstLine="0"/>
              <w:jc w:val="left"/>
            </w:pPr>
            <w:r>
              <w:rPr>
                <w:sz w:val="21"/>
              </w:rPr>
              <w:t>Imagery tile size</w:t>
            </w:r>
          </w:p>
        </w:tc>
        <w:tc>
          <w:tcPr>
            <w:tcW w:type="dxa" w:w="4896"/>
          </w:tcPr>
          <w:p>
            <w:pPr>
              <w:spacing w:line="240" w:lineRule="auto" w:after="40"/>
              <w:ind w:firstLine="0"/>
              <w:jc w:val="right"/>
            </w:pPr>
            <w:r>
              <w:rPr>
                <w:sz w:val="21"/>
              </w:rPr>
              <w:t>8,500 m</w:t>
            </w:r>
          </w:p>
        </w:tc>
      </w:tr>
      <w:tr>
        <w:tc>
          <w:tcPr>
            <w:tcW w:type="dxa" w:w="3456"/>
          </w:tcPr>
          <w:p>
            <w:pPr>
              <w:spacing w:line="240" w:lineRule="auto" w:after="40"/>
              <w:ind w:firstLine="0"/>
              <w:jc w:val="left"/>
            </w:pPr>
            <w:r>
              <w:rPr>
                <w:sz w:val="21"/>
              </w:rPr>
              <w:t>Analysis cell</w:t>
            </w:r>
          </w:p>
        </w:tc>
        <w:tc>
          <w:tcPr>
            <w:tcW w:type="dxa" w:w="4896"/>
          </w:tcPr>
          <w:p>
            <w:pPr>
              <w:spacing w:line="240" w:lineRule="auto" w:after="40"/>
              <w:ind w:firstLine="0"/>
              <w:jc w:val="right"/>
            </w:pPr>
            <w:r>
              <w:rPr>
                <w:sz w:val="21"/>
              </w:rPr>
              <w:t>1,000 m × 1,000 m</w:t>
            </w:r>
          </w:p>
        </w:tc>
      </w:tr>
      <w:tr>
        <w:tc>
          <w:tcPr>
            <w:tcW w:type="dxa" w:w="3456"/>
          </w:tcPr>
          <w:p>
            <w:pPr>
              <w:spacing w:line="240" w:lineRule="auto" w:after="40"/>
              <w:ind w:firstLine="0"/>
              <w:jc w:val="left"/>
            </w:pPr>
            <w:r>
              <w:rPr>
                <w:sz w:val="21"/>
              </w:rPr>
              <w:t>Coverage threshold</w:t>
            </w:r>
          </w:p>
        </w:tc>
        <w:tc>
          <w:tcPr>
            <w:tcW w:type="dxa" w:w="4896"/>
          </w:tcPr>
          <w:p>
            <w:pPr>
              <w:spacing w:line="240" w:lineRule="auto" w:after="40"/>
              <w:ind w:firstLine="0"/>
              <w:jc w:val="right"/>
            </w:pPr>
            <w:r>
              <w:rPr>
                <w:sz w:val="21"/>
              </w:rPr>
              <w:t>15%</w:t>
            </w:r>
          </w:p>
        </w:tc>
      </w:tr>
      <w:tr>
        <w:tc>
          <w:tcPr>
            <w:tcW w:type="dxa" w:w="3456"/>
          </w:tcPr>
          <w:p>
            <w:pPr>
              <w:spacing w:line="240" w:lineRule="auto" w:after="40"/>
              <w:ind w:firstLine="0"/>
              <w:jc w:val="left"/>
            </w:pPr>
            <w:r>
              <w:rPr>
                <w:sz w:val="21"/>
              </w:rPr>
              <w:t>Spatial resolution</w:t>
            </w:r>
          </w:p>
        </w:tc>
        <w:tc>
          <w:tcPr>
            <w:tcW w:type="dxa" w:w="4896"/>
          </w:tcPr>
          <w:p>
            <w:pPr>
              <w:spacing w:line="240" w:lineRule="auto" w:after="40"/>
              <w:ind w:firstLine="0"/>
              <w:jc w:val="right"/>
            </w:pPr>
            <w:r>
              <w:rPr>
                <w:sz w:val="21"/>
              </w:rPr>
              <w:t>10 m</w:t>
            </w:r>
          </w:p>
        </w:tc>
      </w:tr>
      <w:tr>
        <w:tc>
          <w:tcPr>
            <w:tcW w:type="dxa" w:w="3456"/>
          </w:tcPr>
          <w:p>
            <w:pPr>
              <w:spacing w:line="240" w:lineRule="auto" w:after="40"/>
              <w:ind w:firstLine="0"/>
              <w:jc w:val="left"/>
            </w:pPr>
            <w:r>
              <w:rPr>
                <w:sz w:val="21"/>
              </w:rPr>
              <w:t>Embedding model</w:t>
            </w:r>
          </w:p>
        </w:tc>
        <w:tc>
          <w:tcPr>
            <w:tcW w:type="dxa" w:w="4896"/>
          </w:tcPr>
          <w:p>
            <w:pPr>
              <w:spacing w:line="240" w:lineRule="auto" w:after="40"/>
              <w:ind w:firstLine="0"/>
              <w:jc w:val="right"/>
            </w:pPr>
            <w:r>
              <w:rPr>
                <w:sz w:val="21"/>
              </w:rPr>
              <w:t>Prithvi-EO-1.0-100M</w:t>
            </w:r>
          </w:p>
        </w:tc>
      </w:tr>
      <w:tr>
        <w:tc>
          <w:tcPr>
            <w:tcW w:type="dxa" w:w="3456"/>
          </w:tcPr>
          <w:p>
            <w:pPr>
              <w:spacing w:line="240" w:lineRule="auto" w:after="40"/>
              <w:ind w:firstLine="0"/>
              <w:jc w:val="left"/>
            </w:pPr>
            <w:r>
              <w:rPr>
                <w:sz w:val="21"/>
              </w:rPr>
              <w:t>Embedding dimension</w:t>
            </w:r>
          </w:p>
        </w:tc>
        <w:tc>
          <w:tcPr>
            <w:tcW w:type="dxa" w:w="4896"/>
          </w:tcPr>
          <w:p>
            <w:pPr>
              <w:spacing w:line="240" w:lineRule="auto" w:after="40"/>
              <w:ind w:firstLine="0"/>
              <w:jc w:val="right"/>
            </w:pPr>
            <w:r>
              <w:rPr>
                <w:sz w:val="21"/>
              </w:rPr>
              <w:t>768</w:t>
            </w:r>
          </w:p>
        </w:tc>
      </w:tr>
      <w:tr>
        <w:tc>
          <w:tcPr>
            <w:tcW w:type="dxa" w:w="3456"/>
          </w:tcPr>
          <w:p>
            <w:pPr>
              <w:spacing w:line="240" w:lineRule="auto" w:after="40"/>
              <w:ind w:firstLine="0"/>
              <w:jc w:val="left"/>
            </w:pPr>
            <w:r>
              <w:rPr>
                <w:sz w:val="21"/>
              </w:rPr>
              <w:t>Input bands</w:t>
            </w:r>
          </w:p>
        </w:tc>
        <w:tc>
          <w:tcPr>
            <w:tcW w:type="dxa" w:w="4896"/>
          </w:tcPr>
          <w:p>
            <w:pPr>
              <w:spacing w:line="240" w:lineRule="auto" w:after="40"/>
              <w:ind w:firstLine="0"/>
              <w:jc w:val="right"/>
            </w:pPr>
            <w:r>
              <w:rPr>
                <w:sz w:val="21"/>
              </w:rPr>
              <w:t>B2–B7 (6 bands)</w:t>
            </w:r>
          </w:p>
        </w:tc>
      </w:tr>
      <w:tr>
        <w:tc>
          <w:tcPr>
            <w:tcW w:type="dxa" w:w="3456"/>
          </w:tcPr>
          <w:p>
            <w:pPr>
              <w:spacing w:line="240" w:lineRule="auto" w:after="40"/>
              <w:ind w:firstLine="0"/>
              <w:jc w:val="left"/>
            </w:pPr>
            <w:r>
              <w:rPr>
                <w:sz w:val="21"/>
              </w:rPr>
              <w:t>Auxiliary band</w:t>
            </w:r>
          </w:p>
        </w:tc>
        <w:tc>
          <w:tcPr>
            <w:tcW w:type="dxa" w:w="4896"/>
          </w:tcPr>
          <w:p>
            <w:pPr>
              <w:spacing w:line="240" w:lineRule="auto" w:after="40"/>
              <w:ind w:firstLine="0"/>
              <w:jc w:val="right"/>
            </w:pPr>
            <w:r>
              <w:rPr>
                <w:sz w:val="21"/>
              </w:rPr>
              <w:t>B8 (statistics only)</w:t>
            </w:r>
          </w:p>
        </w:tc>
      </w:tr>
      <w:tr>
        <w:tc>
          <w:tcPr>
            <w:tcW w:type="dxa" w:w="3456"/>
          </w:tcPr>
          <w:p>
            <w:pPr>
              <w:spacing w:line="240" w:lineRule="auto" w:after="40"/>
              <w:ind w:firstLine="0"/>
              <w:jc w:val="left"/>
            </w:pPr>
            <w:r>
              <w:rPr>
                <w:sz w:val="21"/>
              </w:rPr>
              <w:t>Pooling</w:t>
            </w:r>
          </w:p>
        </w:tc>
        <w:tc>
          <w:tcPr>
            <w:tcW w:type="dxa" w:w="4896"/>
          </w:tcPr>
          <w:p>
            <w:pPr>
              <w:spacing w:line="240" w:lineRule="auto" w:after="40"/>
              <w:ind w:firstLine="0"/>
              <w:jc w:val="right"/>
            </w:pPr>
            <w:r>
              <w:rPr>
                <w:sz w:val="21"/>
              </w:rPr>
              <w:t>Coverage-weighted mean, L2-normalised</w:t>
            </w:r>
          </w:p>
        </w:tc>
      </w:tr>
      <w:tr>
        <w:tc>
          <w:tcPr>
            <w:tcW w:type="dxa" w:w="3456"/>
          </w:tcPr>
          <w:p>
            <w:pPr>
              <w:spacing w:line="240" w:lineRule="auto" w:after="40"/>
              <w:ind w:firstLine="0"/>
              <w:jc w:val="left"/>
            </w:pPr>
            <w:r>
              <w:rPr>
                <w:sz w:val="21"/>
              </w:rPr>
              <w:t>Similarity metric</w:t>
            </w:r>
          </w:p>
        </w:tc>
        <w:tc>
          <w:tcPr>
            <w:tcW w:type="dxa" w:w="4896"/>
          </w:tcPr>
          <w:p>
            <w:pPr>
              <w:spacing w:line="240" w:lineRule="auto" w:after="40"/>
              <w:ind w:firstLine="0"/>
              <w:jc w:val="right"/>
            </w:pPr>
            <w:r>
              <w:rPr>
                <w:sz w:val="21"/>
              </w:rPr>
              <w:t>Cosine over 5-year trajectories</w:t>
            </w:r>
          </w:p>
        </w:tc>
      </w:tr>
      <w:tr>
        <w:tc>
          <w:tcPr>
            <w:tcW w:type="dxa" w:w="3456"/>
            <w:tcBorders>
              <w:top w:val="nil"/>
              <w:bottom w:val="single" w:sz="6" w:color="000000"/>
            </w:tcBorders>
          </w:tcPr>
          <w:p>
            <w:pPr>
              <w:spacing w:line="240" w:lineRule="auto" w:after="40"/>
              <w:ind w:firstLine="0"/>
              <w:jc w:val="left"/>
            </w:pPr>
            <w:r>
              <w:rPr>
                <w:sz w:val="21"/>
              </w:rPr>
              <w:t>Forecast horizon</w:t>
            </w:r>
          </w:p>
        </w:tc>
        <w:tc>
          <w:tcPr>
            <w:tcW w:type="dxa" w:w="4896"/>
            <w:tcBorders>
              <w:top w:val="nil"/>
              <w:bottom w:val="single" w:sz="6" w:color="000000"/>
            </w:tcBorders>
          </w:tcPr>
          <w:p>
            <w:pPr>
              <w:spacing w:line="240" w:lineRule="auto" w:after="40"/>
              <w:ind w:firstLine="0"/>
              <w:jc w:val="right"/>
            </w:pPr>
            <w:r>
              <w:rPr>
                <w:sz w:val="21"/>
              </w:rPr>
              <w:t>3 years</w:t>
            </w:r>
          </w:p>
        </w:tc>
      </w:tr>
    </w:tbl>
    <w:p>
      <w:pPr>
        <w:pStyle w:val="APABodyNoIndent"/>
      </w:pPr>
    </w:p>
    <w:p>
      <w:pPr>
        <w:pStyle w:val="APAH2"/>
      </w:pPr>
      <w:r>
        <w:t>Similarity Search Performance</w:t>
      </w:r>
    </w:p>
    <w:p>
      <w:pPr>
        <w:pStyle w:val="APABody"/>
      </w:pPr>
      <w:r>
        <w:t>Table 7 reports measured search performance over the five Ramsar queries of the applied-analysis chapter, each executed against the full deployed index.</w:t>
      </w:r>
    </w:p>
    <w:p>
      <w:pPr>
        <w:pStyle w:val="APACaptionLabel"/>
      </w:pPr>
      <w:r>
        <w:t>Table 7</w:t>
      </w:r>
    </w:p>
    <w:p>
      <w:pPr>
        <w:pStyle w:val="APACaptionTitle"/>
      </w:pPr>
      <w:r>
        <w:t>Measured trajectory-similarity search performance.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4320"/>
            <w:tcBorders>
              <w:top w:val="single" w:sz="6" w:color="000000"/>
              <w:bottom w:val="single" w:sz="6" w:color="000000"/>
            </w:tcBorders>
          </w:tcPr>
          <w:p>
            <w:pPr>
              <w:spacing w:line="240" w:lineRule="auto" w:after="40"/>
              <w:ind w:firstLine="0"/>
              <w:jc w:val="left"/>
            </w:pPr>
            <w:r>
              <w:rPr>
                <w:sz w:val="21"/>
              </w:rPr>
              <w:t>Query lake</w:t>
            </w:r>
          </w:p>
        </w:tc>
        <w:tc>
          <w:tcPr>
            <w:tcW w:type="dxa" w:w="2016"/>
            <w:tcBorders>
              <w:top w:val="single" w:sz="6" w:color="000000"/>
              <w:bottom w:val="single" w:sz="6" w:color="000000"/>
            </w:tcBorders>
          </w:tcPr>
          <w:p>
            <w:pPr>
              <w:spacing w:line="240" w:lineRule="auto" w:after="40"/>
              <w:ind w:firstLine="0"/>
              <w:jc w:val="left"/>
            </w:pPr>
            <w:r>
              <w:rPr>
                <w:sz w:val="21"/>
              </w:rPr>
              <w:t>Candidates</w:t>
            </w:r>
          </w:p>
        </w:tc>
        <w:tc>
          <w:tcPr>
            <w:tcW w:type="dxa" w:w="2304"/>
            <w:tcBorders>
              <w:top w:val="single" w:sz="6" w:color="000000"/>
              <w:bottom w:val="single" w:sz="6" w:color="000000"/>
            </w:tcBorders>
          </w:tcPr>
          <w:p>
            <w:pPr>
              <w:spacing w:line="240" w:lineRule="auto" w:after="40"/>
              <w:ind w:firstLine="0"/>
              <w:jc w:val="left"/>
            </w:pPr>
            <w:r>
              <w:rPr>
                <w:sz w:val="21"/>
              </w:rPr>
              <w:t>Best raw cosine</w:t>
            </w:r>
          </w:p>
        </w:tc>
      </w:tr>
      <w:tr>
        <w:tc>
          <w:tcPr>
            <w:tcW w:type="dxa" w:w="4320"/>
          </w:tcPr>
          <w:p>
            <w:pPr>
              <w:spacing w:line="240" w:lineRule="auto" w:after="40"/>
              <w:ind w:firstLine="0"/>
              <w:jc w:val="left"/>
            </w:pPr>
            <w:r>
              <w:rPr>
                <w:sz w:val="21"/>
              </w:rPr>
              <w:t>Chilika</w:t>
            </w:r>
          </w:p>
        </w:tc>
        <w:tc>
          <w:tcPr>
            <w:tcW w:type="dxa" w:w="2016"/>
          </w:tcPr>
          <w:p>
            <w:pPr>
              <w:spacing w:line="240" w:lineRule="auto" w:after="40"/>
              <w:ind w:firstLine="0"/>
              <w:jc w:val="right"/>
            </w:pPr>
            <w:r>
              <w:rPr>
                <w:sz w:val="21"/>
              </w:rPr>
              <w:t>828</w:t>
            </w:r>
          </w:p>
        </w:tc>
        <w:tc>
          <w:tcPr>
            <w:tcW w:type="dxa" w:w="2304"/>
          </w:tcPr>
          <w:p>
            <w:pPr>
              <w:spacing w:line="240" w:lineRule="auto" w:after="40"/>
              <w:ind w:firstLine="0"/>
              <w:jc w:val="right"/>
            </w:pPr>
            <w:r>
              <w:rPr>
                <w:sz w:val="21"/>
              </w:rPr>
              <w:t>0.99691</w:t>
            </w:r>
          </w:p>
        </w:tc>
      </w:tr>
      <w:tr>
        <w:tc>
          <w:tcPr>
            <w:tcW w:type="dxa" w:w="4320"/>
          </w:tcPr>
          <w:p>
            <w:pPr>
              <w:spacing w:line="240" w:lineRule="auto" w:after="40"/>
              <w:ind w:firstLine="0"/>
              <w:jc w:val="left"/>
            </w:pPr>
            <w:r>
              <w:rPr>
                <w:sz w:val="21"/>
              </w:rPr>
              <w:t>Maharana Pratap Sagar (Beas)</w:t>
            </w:r>
          </w:p>
        </w:tc>
        <w:tc>
          <w:tcPr>
            <w:tcW w:type="dxa" w:w="2016"/>
          </w:tcPr>
          <w:p>
            <w:pPr>
              <w:spacing w:line="240" w:lineRule="auto" w:after="40"/>
              <w:ind w:firstLine="0"/>
              <w:jc w:val="right"/>
            </w:pPr>
            <w:r>
              <w:rPr>
                <w:sz w:val="21"/>
              </w:rPr>
              <w:t>828</w:t>
            </w:r>
          </w:p>
        </w:tc>
        <w:tc>
          <w:tcPr>
            <w:tcW w:type="dxa" w:w="2304"/>
          </w:tcPr>
          <w:p>
            <w:pPr>
              <w:spacing w:line="240" w:lineRule="auto" w:after="40"/>
              <w:ind w:firstLine="0"/>
              <w:jc w:val="right"/>
            </w:pPr>
            <w:r>
              <w:rPr>
                <w:sz w:val="21"/>
              </w:rPr>
              <w:t>0.99884</w:t>
            </w:r>
          </w:p>
        </w:tc>
      </w:tr>
      <w:tr>
        <w:tc>
          <w:tcPr>
            <w:tcW w:type="dxa" w:w="4320"/>
          </w:tcPr>
          <w:p>
            <w:pPr>
              <w:spacing w:line="240" w:lineRule="auto" w:after="40"/>
              <w:ind w:firstLine="0"/>
              <w:jc w:val="left"/>
            </w:pPr>
            <w:r>
              <w:rPr>
                <w:sz w:val="21"/>
              </w:rPr>
              <w:t>Tawa Reservoir</w:t>
            </w:r>
          </w:p>
        </w:tc>
        <w:tc>
          <w:tcPr>
            <w:tcW w:type="dxa" w:w="2016"/>
          </w:tcPr>
          <w:p>
            <w:pPr>
              <w:spacing w:line="240" w:lineRule="auto" w:after="40"/>
              <w:ind w:firstLine="0"/>
              <w:jc w:val="right"/>
            </w:pPr>
            <w:r>
              <w:rPr>
                <w:sz w:val="21"/>
              </w:rPr>
              <w:t>828</w:t>
            </w:r>
          </w:p>
        </w:tc>
        <w:tc>
          <w:tcPr>
            <w:tcW w:type="dxa" w:w="2304"/>
          </w:tcPr>
          <w:p>
            <w:pPr>
              <w:spacing w:line="240" w:lineRule="auto" w:after="40"/>
              <w:ind w:firstLine="0"/>
              <w:jc w:val="right"/>
            </w:pPr>
            <w:r>
              <w:rPr>
                <w:sz w:val="21"/>
              </w:rPr>
              <w:t>0.99936</w:t>
            </w:r>
          </w:p>
        </w:tc>
      </w:tr>
      <w:tr>
        <w:tc>
          <w:tcPr>
            <w:tcW w:type="dxa" w:w="4320"/>
          </w:tcPr>
          <w:p>
            <w:pPr>
              <w:spacing w:line="240" w:lineRule="auto" w:after="40"/>
              <w:ind w:firstLine="0"/>
              <w:jc w:val="left"/>
            </w:pPr>
            <w:r>
              <w:rPr>
                <w:sz w:val="21"/>
              </w:rPr>
              <w:t>Tso Morari</w:t>
            </w:r>
          </w:p>
        </w:tc>
        <w:tc>
          <w:tcPr>
            <w:tcW w:type="dxa" w:w="2016"/>
          </w:tcPr>
          <w:p>
            <w:pPr>
              <w:spacing w:line="240" w:lineRule="auto" w:after="40"/>
              <w:ind w:firstLine="0"/>
              <w:jc w:val="right"/>
            </w:pPr>
            <w:r>
              <w:rPr>
                <w:sz w:val="21"/>
              </w:rPr>
              <w:t>828</w:t>
            </w:r>
          </w:p>
        </w:tc>
        <w:tc>
          <w:tcPr>
            <w:tcW w:type="dxa" w:w="2304"/>
          </w:tcPr>
          <w:p>
            <w:pPr>
              <w:spacing w:line="240" w:lineRule="auto" w:after="40"/>
              <w:ind w:firstLine="0"/>
              <w:jc w:val="right"/>
            </w:pPr>
            <w:r>
              <w:rPr>
                <w:sz w:val="21"/>
              </w:rPr>
              <w:t>0.99720</w:t>
            </w:r>
          </w:p>
        </w:tc>
      </w:tr>
      <w:tr>
        <w:tc>
          <w:tcPr>
            <w:tcW w:type="dxa" w:w="4320"/>
          </w:tcPr>
          <w:p>
            <w:pPr>
              <w:spacing w:line="240" w:lineRule="auto" w:after="40"/>
              <w:ind w:firstLine="0"/>
              <w:jc w:val="left"/>
            </w:pPr>
            <w:r>
              <w:rPr>
                <w:sz w:val="21"/>
              </w:rPr>
              <w:t>Sasthamcotta</w:t>
            </w:r>
          </w:p>
        </w:tc>
        <w:tc>
          <w:tcPr>
            <w:tcW w:type="dxa" w:w="2016"/>
          </w:tcPr>
          <w:p>
            <w:pPr>
              <w:spacing w:line="240" w:lineRule="auto" w:after="40"/>
              <w:ind w:firstLine="0"/>
              <w:jc w:val="right"/>
            </w:pPr>
            <w:r>
              <w:rPr>
                <w:sz w:val="21"/>
              </w:rPr>
              <w:t>828</w:t>
            </w:r>
          </w:p>
        </w:tc>
        <w:tc>
          <w:tcPr>
            <w:tcW w:type="dxa" w:w="2304"/>
          </w:tcPr>
          <w:p>
            <w:pPr>
              <w:spacing w:line="240" w:lineRule="auto" w:after="40"/>
              <w:ind w:firstLine="0"/>
              <w:jc w:val="right"/>
            </w:pPr>
            <w:r>
              <w:rPr>
                <w:sz w:val="21"/>
              </w:rPr>
              <w:t>0.99784</w:t>
            </w:r>
          </w:p>
        </w:tc>
      </w:tr>
      <w:tr>
        <w:tc>
          <w:tcPr>
            <w:tcW w:type="dxa" w:w="4320"/>
            <w:tcBorders>
              <w:top w:val="nil"/>
              <w:bottom w:val="single" w:sz="6" w:color="000000"/>
            </w:tcBorders>
          </w:tcPr>
          <w:p>
            <w:pPr>
              <w:spacing w:line="240" w:lineRule="auto" w:after="40"/>
              <w:ind w:firstLine="0"/>
              <w:jc w:val="left"/>
            </w:pPr>
            <w:r>
              <w:rPr>
                <w:sz w:val="21"/>
              </w:rPr>
            </w:r>
            <w:r>
              <w:rPr>
                <w:b/>
                <w:sz w:val="21"/>
              </w:rPr>
              <w:t>Mean</w:t>
            </w:r>
          </w:p>
        </w:tc>
        <w:tc>
          <w:tcPr>
            <w:tcW w:type="dxa" w:w="2016"/>
            <w:tcBorders>
              <w:top w:val="nil"/>
              <w:bottom w:val="single" w:sz="6" w:color="000000"/>
            </w:tcBorders>
          </w:tcPr>
          <w:p>
            <w:pPr>
              <w:spacing w:line="240" w:lineRule="auto" w:after="40"/>
              <w:ind w:firstLine="0"/>
              <w:jc w:val="right"/>
            </w:pPr>
            <w:r>
              <w:rPr>
                <w:sz w:val="21"/>
              </w:rPr>
            </w:r>
            <w:r>
              <w:rPr>
                <w:b/>
                <w:sz w:val="21"/>
              </w:rPr>
              <w:t>828</w:t>
            </w:r>
          </w:p>
        </w:tc>
        <w:tc>
          <w:tcPr>
            <w:tcW w:type="dxa" w:w="2304"/>
            <w:tcBorders>
              <w:top w:val="nil"/>
              <w:bottom w:val="single" w:sz="6" w:color="000000"/>
            </w:tcBorders>
          </w:tcPr>
          <w:p>
            <w:pPr>
              <w:spacing w:line="240" w:lineRule="auto" w:after="40"/>
              <w:ind w:firstLine="0"/>
              <w:jc w:val="right"/>
            </w:pPr>
            <w:r>
              <w:rPr>
                <w:sz w:val="21"/>
              </w:rPr>
            </w:r>
            <w:r>
              <w:rPr>
                <w:b/>
                <w:sz w:val="21"/>
              </w:rPr>
              <w:t>0.99803</w:t>
            </w:r>
          </w:p>
        </w:tc>
      </w:tr>
    </w:tbl>
    <w:p>
      <w:pPr>
        <w:pStyle w:val="APABodyNoIndent"/>
      </w:pPr>
    </w:p>
    <w:p>
      <w:pPr>
        <w:pStyle w:val="APABody"/>
      </w:pPr>
      <w:r>
        <w:t>Each query evaluates roughly 4,900 candidate windows at 768 dimensions, comfortably interactive, and the index is fully scanned rather than approximated, so the returned ranking is exact.</w:t>
      </w:r>
    </w:p>
    <w:p>
      <w:pPr>
        <w:pStyle w:val="APAH2"/>
      </w:pPr>
      <w:r>
        <w:t>The Score Compression Problem</w:t>
      </w:r>
    </w:p>
    <w:p>
      <w:pPr>
        <w:pStyle w:val="APABody"/>
      </w:pPr>
      <w:r>
        <w:t xml:space="preserve">Measured raw cosine scores across all five queries fall between </w:t>
      </w:r>
      <w:r>
        <w:rPr>
          <w:b/>
        </w:rPr>
        <w:t>0.9969</w:t>
      </w:r>
      <w:r>
        <w:t xml:space="preserve"> and </w:t>
      </w:r>
      <w:r>
        <w:rPr>
          <w:b/>
        </w:rPr>
        <w:t>0.9987</w:t>
      </w:r>
      <w:r>
        <w:t xml:space="preserve">, with the tenth-ranked analog typically within </w:t>
      </w:r>
      <w:r>
        <w:rPr>
          <w:b/>
        </w:rPr>
        <w:t>0.005</w:t>
      </w:r>
      <w:r>
        <w:t xml:space="preserve"> of the first — expected since every vector shares one encoder and describes the same general scene type, so the absolute score is close to uninformative and only the ordering carries signal. Ecological interpretation therefore requires additional evidence from lake metadata, spatial maps, and temporal indicators (see the applied-analysis chapter); a meaningful absolute scale would require calibration against labelled ecosystem pairs (see </w:t>
      </w:r>
      <w:r>
        <w:rPr>
          <w:i/>
        </w:rPr>
        <w:t>Future Work</w:t>
      </w:r>
      <w:r>
        <w:t>).</w:t>
      </w:r>
    </w:p>
    <w:p>
      <w:pPr>
        <w:pStyle w:val="APAH2"/>
      </w:pPr>
      <w:r>
        <w:t>Temporal Profile Results</w:t>
      </w:r>
    </w:p>
    <w:p>
      <w:pPr>
        <w:pStyle w:val="APABody"/>
      </w:pPr>
      <w:r>
        <w:t>The temporal layer provides a second, independent axis of validation alongside spatial similarity: EcoTwin presents the full ten-year series of all five indices, observation availability, and the directional forecast with its contributing twins. Its value is demonstrated concretely in the applied-analysis chapter, where several sites' top analogs are geographically unrelated to the query lake yet still share its independently measured historical trend.</w:t>
      </w:r>
    </w:p>
    <w:p>
      <w:pPr>
        <w:pStyle w:val="APAH2"/>
      </w:pPr>
      <w:r>
        <w:t>Processing Reliability</w:t>
      </w:r>
    </w:p>
    <w:p>
      <w:pPr>
        <w:pStyle w:val="APABody"/>
      </w:pPr>
      <w:r>
        <w:t>The system tolerates partial failure by design: a lake-year can be pending, processing, completed, failed, or skipped because its output already exists, making large multi-year jobs restartable instead of requiring a complete restart after one failed request.</w:t>
      </w:r>
    </w:p>
    <w:p>
      <w:pPr>
        <w:pStyle w:val="APAH2"/>
      </w:pPr>
      <w:r>
        <w:t>Engineering Problems Encountered</w:t>
      </w:r>
    </w:p>
    <w:p>
      <w:pPr>
        <w:pStyle w:val="APABody"/>
      </w:pPr>
      <w:r>
        <w:t>Several recurring problems shaped the implementation. Large Earth Engine requests sometimes produced memory-limit errors, solved by reducing export region size and moving processing locally; parallel workers caused HTTP 429 and connection-pool errors, pushing the pipeline toward smaller controlled worker counts and resumable jobs. The early Sentinel-2 Level-1C fallback exposed different quality bands than other collections, leading to collection-aware preprocessing rather than a hard-coded cloud mask. Merged rasters can become much larger than individual tiles, making compression and tiled GeoTIFF writing important; the local filesystem once reached 100% utilization, demonstrating that the pipeline must account for intermediate storage, not only final dataset size. Finally, Earth Engine authentication depends on external network services, so authentication is kept separate from per-lake processing and failures are recorded rather than silently producing incomplete data.</w:t>
      </w:r>
    </w:p>
    <w:p>
      <w:pPr>
        <w:pStyle w:val="APABody"/>
      </w:pPr>
      <w:r>
        <w:t>Because the project was developed by multiple team members, a database consolidation procedure was also designed: each developer's PostgreSQL dump is restored into a temporary database, validated, and merged into production, preserving PostGIS geometries and pgvector embeddings in a way CSV-based migration could not.</w:t>
      </w:r>
    </w:p>
    <w:p>
      <w:r>
        <w:br w:type="page"/>
      </w:r>
    </w:p>
    <w:p>
      <w:pPr>
        <w:pStyle w:val="APAH1"/>
      </w:pPr>
      <w:r>
        <w:t>Applied Analysis: Five Ramsar Wetlands and Reservoirs</w:t>
      </w:r>
    </w:p>
    <w:p>
      <w:pPr>
        <w:pStyle w:val="APAH2"/>
      </w:pPr>
      <w:r>
        <w:t>Purpose and Site Selection</w:t>
      </w:r>
    </w:p>
    <w:p>
      <w:pPr>
        <w:pStyle w:val="APABody"/>
      </w:pPr>
      <w:r>
        <w:t xml:space="preserve">This chapter runs the system end to end on five Ramsar-designated sites, including inconclusive results: Chilika, Tso Morari, Maharana Pratap Sagar (Pong Dam, on the Beas), Tawa Reservoir, and Sasthamcotta. Ramsar designation does not by itself supply a checkable public condition report, so each site closes with a </w:t>
      </w:r>
      <w:r>
        <w:rPr>
          <w:i/>
        </w:rPr>
        <w:t>Documented Condition</w:t>
      </w:r>
      <w:r>
        <w:t xml:space="preserve"> subsection that searches for one and reports the match honestly — ranging from Chilika's renewed-weed-growth reports lining up with the measured signal, through Beas and Tawa (no published directional trend to check against), to Sasthamcotta, whose documented decline only </w:t>
      </w:r>
      <w:r>
        <w:rPr>
          <w:i/>
        </w:rPr>
        <w:t>partially</w:t>
      </w:r>
      <w:r>
        <w:t xml:space="preserve"> agrees with the measured signal. Tso Morari additionally offers the chapter's strongest independent corroboration via its Pangong Tso analog pairing (see </w:t>
      </w:r>
      <w:r>
        <w:rPr>
          <w:i/>
        </w:rPr>
        <w:t>Discussion</w:t>
      </w:r>
      <w:r>
        <w:t>). The five sites, all with complete ten-year records, span a deliberately wide range of climate, altitude, and water-body type.</w:t>
      </w:r>
    </w:p>
    <w:p>
      <w:pPr>
        <w:pStyle w:val="APACaptionLabel"/>
      </w:pPr>
      <w:r>
        <w:t>Table 8</w:t>
      </w:r>
    </w:p>
    <w:p>
      <w:pPr>
        <w:pStyle w:val="APACaptionTitle"/>
      </w:pPr>
      <w:r>
        <w:t>The five Ramsar-designated sites analysed.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c>
          <w:tcPr>
            <w:tcW w:type="dxa" w:w="2592"/>
            <w:tcBorders>
              <w:top w:val="single" w:sz="6" w:color="000000"/>
              <w:bottom w:val="single" w:sz="6" w:color="000000"/>
            </w:tcBorders>
          </w:tcPr>
          <w:p>
            <w:pPr>
              <w:spacing w:line="240" w:lineRule="auto" w:after="40"/>
              <w:ind w:firstLine="0"/>
              <w:jc w:val="left"/>
            </w:pPr>
            <w:r>
              <w:rPr>
                <w:sz w:val="21"/>
              </w:rPr>
              <w:t>Site</w:t>
            </w:r>
          </w:p>
        </w:tc>
        <w:tc>
          <w:tcPr>
            <w:tcW w:type="dxa" w:w="1872"/>
            <w:tcBorders>
              <w:top w:val="single" w:sz="6" w:color="000000"/>
              <w:bottom w:val="single" w:sz="6" w:color="000000"/>
            </w:tcBorders>
          </w:tcPr>
          <w:p>
            <w:pPr>
              <w:spacing w:line="240" w:lineRule="auto" w:after="40"/>
              <w:ind w:firstLine="0"/>
              <w:jc w:val="left"/>
            </w:pPr>
            <w:r>
              <w:rPr>
                <w:sz w:val="21"/>
              </w:rPr>
              <w:t>State</w:t>
            </w:r>
          </w:p>
        </w:tc>
        <w:tc>
          <w:tcPr>
            <w:tcW w:type="dxa" w:w="1296"/>
            <w:tcBorders>
              <w:top w:val="single" w:sz="6" w:color="000000"/>
              <w:bottom w:val="single" w:sz="6" w:color="000000"/>
            </w:tcBorders>
          </w:tcPr>
          <w:p>
            <w:pPr>
              <w:spacing w:line="240" w:lineRule="auto" w:after="40"/>
              <w:ind w:firstLine="0"/>
              <w:jc w:val="left"/>
            </w:pPr>
            <w:r>
              <w:rPr>
                <w:sz w:val="21"/>
              </w:rPr>
              <w:t>Area (km²)</w:t>
            </w:r>
          </w:p>
        </w:tc>
        <w:tc>
          <w:tcPr>
            <w:tcW w:type="dxa" w:w="1152"/>
            <w:tcBorders>
              <w:top w:val="single" w:sz="6" w:color="000000"/>
              <w:bottom w:val="single" w:sz="6" w:color="000000"/>
            </w:tcBorders>
          </w:tcPr>
          <w:p>
            <w:pPr>
              <w:spacing w:line="240" w:lineRule="auto" w:after="40"/>
              <w:ind w:firstLine="0"/>
              <w:jc w:val="left"/>
            </w:pPr>
            <w:r>
              <w:rPr>
                <w:sz w:val="21"/>
              </w:rPr>
              <w:t>Elev. (m)</w:t>
            </w:r>
          </w:p>
        </w:tc>
        <w:tc>
          <w:tcPr>
            <w:tcW w:type="dxa" w:w="2736"/>
            <w:tcBorders>
              <w:top w:val="single" w:sz="6" w:color="000000"/>
              <w:bottom w:val="single" w:sz="6" w:color="000000"/>
            </w:tcBorders>
          </w:tcPr>
          <w:p>
            <w:pPr>
              <w:spacing w:line="240" w:lineRule="auto" w:after="40"/>
              <w:ind w:firstLine="0"/>
              <w:jc w:val="left"/>
            </w:pPr>
            <w:r>
              <w:rPr>
                <w:sz w:val="21"/>
              </w:rPr>
              <w:t>Type</w:t>
            </w:r>
          </w:p>
        </w:tc>
      </w:tr>
      <w:tr>
        <w:tc>
          <w:tcPr>
            <w:tcW w:type="dxa" w:w="2592"/>
          </w:tcPr>
          <w:p>
            <w:pPr>
              <w:spacing w:line="240" w:lineRule="auto" w:after="40"/>
              <w:ind w:firstLine="0"/>
              <w:jc w:val="left"/>
            </w:pPr>
            <w:r>
              <w:rPr>
                <w:sz w:val="21"/>
              </w:rPr>
              <w:t>Chilika</w:t>
            </w:r>
          </w:p>
        </w:tc>
        <w:tc>
          <w:tcPr>
            <w:tcW w:type="dxa" w:w="1872"/>
          </w:tcPr>
          <w:p>
            <w:pPr>
              <w:spacing w:line="240" w:lineRule="auto" w:after="40"/>
              <w:ind w:firstLine="0"/>
              <w:jc w:val="right"/>
            </w:pPr>
            <w:r>
              <w:rPr>
                <w:sz w:val="21"/>
              </w:rPr>
              <w:t>Odisha</w:t>
            </w:r>
          </w:p>
        </w:tc>
        <w:tc>
          <w:tcPr>
            <w:tcW w:type="dxa" w:w="1296"/>
          </w:tcPr>
          <w:p>
            <w:pPr>
              <w:spacing w:line="240" w:lineRule="auto" w:after="40"/>
              <w:ind w:firstLine="0"/>
              <w:jc w:val="right"/>
            </w:pPr>
            <w:r>
              <w:rPr>
                <w:sz w:val="21"/>
              </w:rPr>
              <w:t>843.22</w:t>
            </w:r>
          </w:p>
        </w:tc>
        <w:tc>
          <w:tcPr>
            <w:tcW w:type="dxa" w:w="1152"/>
          </w:tcPr>
          <w:p>
            <w:pPr>
              <w:spacing w:line="240" w:lineRule="auto" w:after="40"/>
              <w:ind w:firstLine="0"/>
              <w:jc w:val="right"/>
            </w:pPr>
            <w:r>
              <w:rPr>
                <w:sz w:val="21"/>
              </w:rPr>
              <w:t>1</w:t>
            </w:r>
          </w:p>
        </w:tc>
        <w:tc>
          <w:tcPr>
            <w:tcW w:type="dxa" w:w="2736"/>
          </w:tcPr>
          <w:p>
            <w:pPr>
              <w:spacing w:line="240" w:lineRule="auto" w:after="40"/>
              <w:ind w:firstLine="0"/>
              <w:jc w:val="right"/>
            </w:pPr>
            <w:r>
              <w:rPr>
                <w:sz w:val="21"/>
              </w:rPr>
              <w:t>Brackish coastal lagoon</w:t>
            </w:r>
          </w:p>
        </w:tc>
      </w:tr>
      <w:tr>
        <w:tc>
          <w:tcPr>
            <w:tcW w:type="dxa" w:w="2592"/>
          </w:tcPr>
          <w:p>
            <w:pPr>
              <w:spacing w:line="240" w:lineRule="auto" w:after="40"/>
              <w:ind w:firstLine="0"/>
              <w:jc w:val="left"/>
            </w:pPr>
            <w:r>
              <w:rPr>
                <w:sz w:val="21"/>
              </w:rPr>
              <w:t>Tso Morari</w:t>
            </w:r>
          </w:p>
        </w:tc>
        <w:tc>
          <w:tcPr>
            <w:tcW w:type="dxa" w:w="1872"/>
          </w:tcPr>
          <w:p>
            <w:pPr>
              <w:spacing w:line="240" w:lineRule="auto" w:after="40"/>
              <w:ind w:firstLine="0"/>
              <w:jc w:val="right"/>
            </w:pPr>
            <w:r>
              <w:rPr>
                <w:sz w:val="21"/>
              </w:rPr>
              <w:t>Ladakh</w:t>
            </w:r>
          </w:p>
        </w:tc>
        <w:tc>
          <w:tcPr>
            <w:tcW w:type="dxa" w:w="1296"/>
          </w:tcPr>
          <w:p>
            <w:pPr>
              <w:spacing w:line="240" w:lineRule="auto" w:after="40"/>
              <w:ind w:firstLine="0"/>
              <w:jc w:val="right"/>
            </w:pPr>
            <w:r>
              <w:rPr>
                <w:sz w:val="21"/>
              </w:rPr>
              <w:t>141.25</w:t>
            </w:r>
          </w:p>
        </w:tc>
        <w:tc>
          <w:tcPr>
            <w:tcW w:type="dxa" w:w="1152"/>
          </w:tcPr>
          <w:p>
            <w:pPr>
              <w:spacing w:line="240" w:lineRule="auto" w:after="40"/>
              <w:ind w:firstLine="0"/>
              <w:jc w:val="right"/>
            </w:pPr>
            <w:r>
              <w:rPr>
                <w:sz w:val="21"/>
              </w:rPr>
              <w:t>4522</w:t>
            </w:r>
          </w:p>
        </w:tc>
        <w:tc>
          <w:tcPr>
            <w:tcW w:type="dxa" w:w="2736"/>
          </w:tcPr>
          <w:p>
            <w:pPr>
              <w:spacing w:line="240" w:lineRule="auto" w:after="40"/>
              <w:ind w:firstLine="0"/>
              <w:jc w:val="right"/>
            </w:pPr>
            <w:r>
              <w:rPr>
                <w:sz w:val="21"/>
              </w:rPr>
              <w:t>High-altitude cold desert</w:t>
            </w:r>
          </w:p>
        </w:tc>
      </w:tr>
      <w:tr>
        <w:tc>
          <w:tcPr>
            <w:tcW w:type="dxa" w:w="2592"/>
          </w:tcPr>
          <w:p>
            <w:pPr>
              <w:spacing w:line="240" w:lineRule="auto" w:after="40"/>
              <w:ind w:firstLine="0"/>
              <w:jc w:val="left"/>
            </w:pPr>
            <w:r>
              <w:rPr>
                <w:sz w:val="21"/>
              </w:rPr>
              <w:t>Tawa Reservoir</w:t>
            </w:r>
          </w:p>
        </w:tc>
        <w:tc>
          <w:tcPr>
            <w:tcW w:type="dxa" w:w="1872"/>
          </w:tcPr>
          <w:p>
            <w:pPr>
              <w:spacing w:line="240" w:lineRule="auto" w:after="40"/>
              <w:ind w:firstLine="0"/>
              <w:jc w:val="right"/>
            </w:pPr>
            <w:r>
              <w:rPr>
                <w:sz w:val="21"/>
              </w:rPr>
              <w:t>Madhya Pradesh</w:t>
            </w:r>
          </w:p>
        </w:tc>
        <w:tc>
          <w:tcPr>
            <w:tcW w:type="dxa" w:w="1296"/>
          </w:tcPr>
          <w:p>
            <w:pPr>
              <w:spacing w:line="240" w:lineRule="auto" w:after="40"/>
              <w:ind w:firstLine="0"/>
              <w:jc w:val="right"/>
            </w:pPr>
            <w:r>
              <w:rPr>
                <w:sz w:val="21"/>
              </w:rPr>
              <w:t>101.61</w:t>
            </w:r>
          </w:p>
        </w:tc>
        <w:tc>
          <w:tcPr>
            <w:tcW w:type="dxa" w:w="1152"/>
          </w:tcPr>
          <w:p>
            <w:pPr>
              <w:spacing w:line="240" w:lineRule="auto" w:after="40"/>
              <w:ind w:firstLine="0"/>
              <w:jc w:val="right"/>
            </w:pPr>
            <w:r>
              <w:rPr>
                <w:sz w:val="21"/>
              </w:rPr>
              <w:t>348</w:t>
            </w:r>
          </w:p>
        </w:tc>
        <w:tc>
          <w:tcPr>
            <w:tcW w:type="dxa" w:w="2736"/>
          </w:tcPr>
          <w:p>
            <w:pPr>
              <w:spacing w:line="240" w:lineRule="auto" w:after="40"/>
              <w:ind w:firstLine="0"/>
              <w:jc w:val="right"/>
            </w:pPr>
            <w:r>
              <w:rPr>
                <w:sz w:val="21"/>
              </w:rPr>
              <w:t>Irrigation reservoir (Ramsar site, 2024)</w:t>
            </w:r>
          </w:p>
        </w:tc>
      </w:tr>
      <w:tr>
        <w:tc>
          <w:tcPr>
            <w:tcW w:type="dxa" w:w="2592"/>
          </w:tcPr>
          <w:p>
            <w:pPr>
              <w:spacing w:line="240" w:lineRule="auto" w:after="40"/>
              <w:ind w:firstLine="0"/>
              <w:jc w:val="left"/>
            </w:pPr>
            <w:r>
              <w:rPr>
                <w:sz w:val="21"/>
              </w:rPr>
              <w:t>Maharana Pratap Sagar (Beas)</w:t>
            </w:r>
          </w:p>
        </w:tc>
        <w:tc>
          <w:tcPr>
            <w:tcW w:type="dxa" w:w="1872"/>
          </w:tcPr>
          <w:p>
            <w:pPr>
              <w:spacing w:line="240" w:lineRule="auto" w:after="40"/>
              <w:ind w:firstLine="0"/>
              <w:jc w:val="right"/>
            </w:pPr>
            <w:r>
              <w:rPr>
                <w:sz w:val="21"/>
              </w:rPr>
              <w:t>Himachal Pradesh</w:t>
            </w:r>
          </w:p>
        </w:tc>
        <w:tc>
          <w:tcPr>
            <w:tcW w:type="dxa" w:w="1296"/>
          </w:tcPr>
          <w:p>
            <w:pPr>
              <w:spacing w:line="240" w:lineRule="auto" w:after="40"/>
              <w:ind w:firstLine="0"/>
              <w:jc w:val="right"/>
            </w:pPr>
            <w:r>
              <w:rPr>
                <w:sz w:val="21"/>
              </w:rPr>
              <w:t>189.40</w:t>
            </w:r>
          </w:p>
        </w:tc>
        <w:tc>
          <w:tcPr>
            <w:tcW w:type="dxa" w:w="1152"/>
          </w:tcPr>
          <w:p>
            <w:pPr>
              <w:spacing w:line="240" w:lineRule="auto" w:after="40"/>
              <w:ind w:firstLine="0"/>
              <w:jc w:val="right"/>
            </w:pPr>
            <w:r>
              <w:rPr>
                <w:sz w:val="21"/>
              </w:rPr>
              <w:t>407</w:t>
            </w:r>
          </w:p>
        </w:tc>
        <w:tc>
          <w:tcPr>
            <w:tcW w:type="dxa" w:w="2736"/>
          </w:tcPr>
          <w:p>
            <w:pPr>
              <w:spacing w:line="240" w:lineRule="auto" w:after="40"/>
              <w:ind w:firstLine="0"/>
              <w:jc w:val="right"/>
            </w:pPr>
            <w:r>
              <w:rPr>
                <w:sz w:val="21"/>
              </w:rPr>
              <w:t>Himalayan-foothill reservoir (Pong Dam)</w:t>
            </w:r>
          </w:p>
        </w:tc>
      </w:tr>
      <w:tr>
        <w:tc>
          <w:tcPr>
            <w:tcW w:type="dxa" w:w="2592"/>
            <w:tcBorders>
              <w:top w:val="nil"/>
              <w:bottom w:val="single" w:sz="6" w:color="000000"/>
            </w:tcBorders>
          </w:tcPr>
          <w:p>
            <w:pPr>
              <w:spacing w:line="240" w:lineRule="auto" w:after="40"/>
              <w:ind w:firstLine="0"/>
              <w:jc w:val="left"/>
            </w:pPr>
            <w:r>
              <w:rPr>
                <w:sz w:val="21"/>
              </w:rPr>
              <w:t>Sasthamcotta</w:t>
            </w:r>
          </w:p>
        </w:tc>
        <w:tc>
          <w:tcPr>
            <w:tcW w:type="dxa" w:w="1872"/>
            <w:tcBorders>
              <w:top w:val="nil"/>
              <w:bottom w:val="single" w:sz="6" w:color="000000"/>
            </w:tcBorders>
          </w:tcPr>
          <w:p>
            <w:pPr>
              <w:spacing w:line="240" w:lineRule="auto" w:after="40"/>
              <w:ind w:firstLine="0"/>
              <w:jc w:val="right"/>
            </w:pPr>
            <w:r>
              <w:rPr>
                <w:sz w:val="21"/>
              </w:rPr>
              <w:t>Kerala</w:t>
            </w:r>
          </w:p>
        </w:tc>
        <w:tc>
          <w:tcPr>
            <w:tcW w:type="dxa" w:w="1296"/>
            <w:tcBorders>
              <w:top w:val="nil"/>
              <w:bottom w:val="single" w:sz="6" w:color="000000"/>
            </w:tcBorders>
          </w:tcPr>
          <w:p>
            <w:pPr>
              <w:spacing w:line="240" w:lineRule="auto" w:after="40"/>
              <w:ind w:firstLine="0"/>
              <w:jc w:val="right"/>
            </w:pPr>
            <w:r>
              <w:rPr>
                <w:sz w:val="21"/>
              </w:rPr>
              <w:t>3.19</w:t>
            </w:r>
          </w:p>
        </w:tc>
        <w:tc>
          <w:tcPr>
            <w:tcW w:type="dxa" w:w="1152"/>
            <w:tcBorders>
              <w:top w:val="nil"/>
              <w:bottom w:val="single" w:sz="6" w:color="000000"/>
            </w:tcBorders>
          </w:tcPr>
          <w:p>
            <w:pPr>
              <w:spacing w:line="240" w:lineRule="auto" w:after="40"/>
              <w:ind w:firstLine="0"/>
              <w:jc w:val="right"/>
            </w:pPr>
            <w:r>
              <w:rPr>
                <w:sz w:val="21"/>
              </w:rPr>
              <w:t>4</w:t>
            </w:r>
          </w:p>
        </w:tc>
        <w:tc>
          <w:tcPr>
            <w:tcW w:type="dxa" w:w="2736"/>
            <w:tcBorders>
              <w:top w:val="nil"/>
              <w:bottom w:val="single" w:sz="6" w:color="000000"/>
            </w:tcBorders>
          </w:tcPr>
          <w:p>
            <w:pPr>
              <w:spacing w:line="240" w:lineRule="auto" w:after="40"/>
              <w:ind w:firstLine="0"/>
              <w:jc w:val="right"/>
            </w:pPr>
            <w:r>
              <w:rPr>
                <w:sz w:val="21"/>
              </w:rPr>
              <w:t>Freshwater lake, drinking-water reservoir</w:t>
            </w:r>
          </w:p>
        </w:tc>
      </w:tr>
    </w:tbl>
    <w:p>
      <w:pPr>
        <w:pStyle w:val="APACaptionNote"/>
      </w:pPr>
      <w:r>
        <w:rPr>
          <w:i/>
        </w:rPr>
        <w:t xml:space="preserve">Note. </w:t>
      </w:r>
      <w:r>
        <w:t>All five have complete 2016–2025 embedding and feature coverage.</w:t>
      </w:r>
    </w:p>
    <w:p>
      <w:pPr>
        <w:pStyle w:val="APABodyNoIndent"/>
      </w:pPr>
    </w:p>
    <w:p>
      <w:pPr>
        <w:pStyle w:val="APABody"/>
      </w:pPr>
      <w:r>
        <w:t>The spread — sea level to 4522 m, tropical estuary to Trans-Himalayan cold desert, two orders of magnitude in area — is deliberate: a system that only worked on lakes resembling one another would be exposed by it.</w:t>
      </w:r>
    </w:p>
    <w:p>
      <w:pPr>
        <w:pStyle w:val="APABody"/>
      </w:pPr>
      <w:r>
        <w:t>Every site was analysed under an identical protocol: a five-year query trajectory (2021–2025), a sliding-window search over all 828 other lakes, selection of the top five usable twins, delta extraction, fixed rank weights with per-year renormalization, and classification at τ = 0.005, with anchor year 2025 and forecasts covering 2026–2028.</w:t>
      </w:r>
    </w:p>
    <w:p>
      <w:pPr>
        <w:pStyle w:val="APAH2"/>
      </w:pPr>
      <w:r>
        <w:t>Chilika Lagoon, Odisha</w:t>
      </w:r>
    </w:p>
    <w:p>
      <w:pPr>
        <w:pStyle w:val="APABody"/>
      </w:pPr>
      <w:r>
        <w:t>Chilika is Asia's largest brackish-water lagoon and the largest lake in the cohort (843 km²), separated from the Bay of Bengal by a barrier spit.</w:t>
      </w:r>
    </w:p>
    <w:p>
      <w:pPr>
        <w:pStyle w:val="APACaptionLabel"/>
      </w:pPr>
      <w:r>
        <w:t>Figure 13</w:t>
      </w:r>
    </w:p>
    <w:p>
      <w:pPr>
        <w:pStyle w:val="APACaptionTitle"/>
      </w:pPr>
      <w:r>
        <w:t>Chilika's lake boundary in the live application.</w:t>
      </w:r>
    </w:p>
    <w:p>
      <w:pPr>
        <w:spacing w:line="240" w:lineRule="auto"/>
        <w:ind w:firstLine="0"/>
      </w:pPr>
      <w:r>
        <w:drawing>
          <wp:inline xmlns:a="http://schemas.openxmlformats.org/drawingml/2006/main" xmlns:pic="http://schemas.openxmlformats.org/drawingml/2006/picture">
            <wp:extent cx="4754880" cy="3462203"/>
            <wp:docPr id="13" name="Picture 13"/>
            <wp:cNvGraphicFramePr>
              <a:graphicFrameLocks noChangeAspect="1"/>
            </wp:cNvGraphicFramePr>
            <a:graphic>
              <a:graphicData uri="http://schemas.openxmlformats.org/drawingml/2006/picture">
                <pic:pic>
                  <pic:nvPicPr>
                    <pic:cNvPr id="0" name="chilika_overview.png"/>
                    <pic:cNvPicPr/>
                  </pic:nvPicPr>
                  <pic:blipFill>
                    <a:blip r:embed="rId22"/>
                    <a:stretch>
                      <a:fillRect/>
                    </a:stretch>
                  </pic:blipFill>
                  <pic:spPr>
                    <a:xfrm>
                      <a:off x="0" y="0"/>
                      <a:ext cx="4754880" cy="3462203"/>
                    </a:xfrm>
                    <a:prstGeom prst="rect"/>
                  </pic:spPr>
                </pic:pic>
              </a:graphicData>
            </a:graphic>
          </wp:inline>
        </w:drawing>
      </w:r>
    </w:p>
    <w:p>
      <w:pPr>
        <w:pStyle w:val="APABodyNoIndent"/>
      </w:pPr>
    </w:p>
    <w:p>
      <w:pPr>
        <w:pStyle w:val="APAH3"/>
      </w:pPr>
      <w:r>
        <w:t>Retrieved Analogs</w:t>
      </w:r>
    </w:p>
    <w:p>
      <w:pPr>
        <w:pStyle w:val="APACaptionLabel"/>
      </w:pPr>
      <w:r>
        <w:t>Table 9</w:t>
      </w:r>
    </w:p>
    <w:p>
      <w:pPr>
        <w:pStyle w:val="APACaptionTitle"/>
      </w:pPr>
      <w:r>
        <w:t>Chilika — top five analogs (828 candidates, 146 ms).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576"/>
            <w:tcBorders>
              <w:top w:val="single" w:sz="6" w:color="000000"/>
              <w:bottom w:val="single" w:sz="6" w:color="000000"/>
            </w:tcBorders>
          </w:tcPr>
          <w:p>
            <w:pPr>
              <w:spacing w:line="240" w:lineRule="auto" w:after="40"/>
              <w:ind w:firstLine="0"/>
              <w:jc w:val="left"/>
            </w:pPr>
            <w:r>
              <w:rPr>
                <w:sz w:val="21"/>
              </w:rPr>
              <w:t>#</w:t>
            </w:r>
          </w:p>
        </w:tc>
        <w:tc>
          <w:tcPr>
            <w:tcW w:type="dxa" w:w="2448"/>
            <w:tcBorders>
              <w:top w:val="single" w:sz="6" w:color="000000"/>
              <w:bottom w:val="single" w:sz="6" w:color="000000"/>
            </w:tcBorders>
          </w:tcPr>
          <w:p>
            <w:pPr>
              <w:spacing w:line="240" w:lineRule="auto" w:after="40"/>
              <w:ind w:firstLine="0"/>
              <w:jc w:val="left"/>
            </w:pPr>
            <w:r>
              <w:rPr>
                <w:sz w:val="21"/>
              </w:rPr>
              <w:t>Lake</w:t>
            </w:r>
          </w:p>
        </w:tc>
        <w:tc>
          <w:tcPr>
            <w:tcW w:type="dxa" w:w="1872"/>
            <w:tcBorders>
              <w:top w:val="single" w:sz="6" w:color="000000"/>
              <w:bottom w:val="single" w:sz="6" w:color="000000"/>
            </w:tcBorders>
          </w:tcPr>
          <w:p>
            <w:pPr>
              <w:spacing w:line="240" w:lineRule="auto" w:after="40"/>
              <w:ind w:firstLine="0"/>
              <w:jc w:val="left"/>
            </w:pPr>
            <w:r>
              <w:rPr>
                <w:sz w:val="21"/>
              </w:rPr>
              <w:t>State</w:t>
            </w:r>
          </w:p>
        </w:tc>
        <w:tc>
          <w:tcPr>
            <w:tcW w:type="dxa" w:w="1152"/>
            <w:tcBorders>
              <w:top w:val="single" w:sz="6" w:color="000000"/>
              <w:bottom w:val="single" w:sz="6" w:color="000000"/>
            </w:tcBorders>
          </w:tcPr>
          <w:p>
            <w:pPr>
              <w:spacing w:line="240" w:lineRule="auto" w:after="40"/>
              <w:ind w:firstLine="0"/>
              <w:jc w:val="left"/>
            </w:pPr>
            <w:r>
              <w:rPr>
                <w:sz w:val="21"/>
              </w:rPr>
              <w:t>Area</w:t>
            </w:r>
          </w:p>
        </w:tc>
        <w:tc>
          <w:tcPr>
            <w:tcW w:type="dxa" w:w="1296"/>
            <w:tcBorders>
              <w:top w:val="single" w:sz="6" w:color="000000"/>
              <w:bottom w:val="single" w:sz="6" w:color="000000"/>
            </w:tcBorders>
          </w:tcPr>
          <w:p>
            <w:pPr>
              <w:spacing w:line="240" w:lineRule="auto" w:after="40"/>
              <w:ind w:firstLine="0"/>
              <w:jc w:val="left"/>
            </w:pPr>
            <w:r>
              <w:rPr>
                <w:sz w:val="21"/>
              </w:rPr>
              <w:t>Raw cos.</w:t>
            </w:r>
          </w:p>
        </w:tc>
        <w:tc>
          <w:tcPr>
            <w:tcW w:type="dxa" w:w="1584"/>
            <w:tcBorders>
              <w:top w:val="single" w:sz="6" w:color="000000"/>
              <w:bottom w:val="single" w:sz="6" w:color="000000"/>
            </w:tcBorders>
          </w:tcPr>
          <w:p>
            <w:pPr>
              <w:spacing w:line="240" w:lineRule="auto" w:after="40"/>
              <w:ind w:firstLine="0"/>
              <w:jc w:val="left"/>
            </w:pPr>
            <w:r>
              <w:rPr>
                <w:sz w:val="21"/>
              </w:rPr>
              <w:t>Window</w:t>
            </w:r>
          </w:p>
        </w:tc>
      </w:tr>
      <w:tr>
        <w:tc>
          <w:tcPr>
            <w:tcW w:type="dxa" w:w="576"/>
          </w:tcPr>
          <w:p>
            <w:pPr>
              <w:spacing w:line="240" w:lineRule="auto" w:after="40"/>
              <w:ind w:firstLine="0"/>
              <w:jc w:val="left"/>
            </w:pPr>
            <w:r>
              <w:rPr>
                <w:sz w:val="21"/>
              </w:rPr>
              <w:t>1</w:t>
            </w:r>
          </w:p>
        </w:tc>
        <w:tc>
          <w:tcPr>
            <w:tcW w:type="dxa" w:w="2448"/>
          </w:tcPr>
          <w:p>
            <w:pPr>
              <w:spacing w:line="240" w:lineRule="auto" w:after="40"/>
              <w:ind w:firstLine="0"/>
              <w:jc w:val="right"/>
            </w:pPr>
            <w:r>
              <w:rPr>
                <w:sz w:val="21"/>
              </w:rPr>
              <w:t>15704</w:t>
            </w:r>
          </w:p>
        </w:tc>
        <w:tc>
          <w:tcPr>
            <w:tcW w:type="dxa" w:w="1872"/>
          </w:tcPr>
          <w:p>
            <w:pPr>
              <w:spacing w:line="240" w:lineRule="auto" w:after="40"/>
              <w:ind w:firstLine="0"/>
              <w:jc w:val="right"/>
            </w:pPr>
            <w:r>
              <w:rPr>
                <w:sz w:val="21"/>
              </w:rPr>
              <w:t>Andhra Pradesh</w:t>
            </w:r>
          </w:p>
        </w:tc>
        <w:tc>
          <w:tcPr>
            <w:tcW w:type="dxa" w:w="1152"/>
          </w:tcPr>
          <w:p>
            <w:pPr>
              <w:spacing w:line="240" w:lineRule="auto" w:after="40"/>
              <w:ind w:firstLine="0"/>
              <w:jc w:val="right"/>
            </w:pPr>
            <w:r>
              <w:rPr>
                <w:sz w:val="21"/>
              </w:rPr>
              <w:t>12.28</w:t>
            </w:r>
          </w:p>
        </w:tc>
        <w:tc>
          <w:tcPr>
            <w:tcW w:type="dxa" w:w="1296"/>
          </w:tcPr>
          <w:p>
            <w:pPr>
              <w:spacing w:line="240" w:lineRule="auto" w:after="40"/>
              <w:ind w:firstLine="0"/>
              <w:jc w:val="right"/>
            </w:pPr>
            <w:r>
              <w:rPr>
                <w:sz w:val="21"/>
              </w:rPr>
              <w:t>0.99691</w:t>
            </w:r>
          </w:p>
        </w:tc>
        <w:tc>
          <w:tcPr>
            <w:tcW w:type="dxa" w:w="1584"/>
          </w:tcPr>
          <w:p>
            <w:pPr>
              <w:spacing w:line="240" w:lineRule="auto" w:after="40"/>
              <w:ind w:firstLine="0"/>
              <w:jc w:val="right"/>
            </w:pPr>
            <w:r>
              <w:rPr>
                <w:sz w:val="21"/>
              </w:rPr>
              <w:t>2017–2021</w:t>
            </w:r>
          </w:p>
        </w:tc>
      </w:tr>
      <w:tr>
        <w:tc>
          <w:tcPr>
            <w:tcW w:type="dxa" w:w="576"/>
          </w:tcPr>
          <w:p>
            <w:pPr>
              <w:spacing w:line="240" w:lineRule="auto" w:after="40"/>
              <w:ind w:firstLine="0"/>
              <w:jc w:val="left"/>
            </w:pPr>
            <w:r>
              <w:rPr>
                <w:sz w:val="21"/>
              </w:rPr>
              <w:t>2</w:t>
            </w:r>
          </w:p>
        </w:tc>
        <w:tc>
          <w:tcPr>
            <w:tcW w:type="dxa" w:w="2448"/>
          </w:tcPr>
          <w:p>
            <w:pPr>
              <w:spacing w:line="240" w:lineRule="auto" w:after="40"/>
              <w:ind w:firstLine="0"/>
              <w:jc w:val="right"/>
            </w:pPr>
            <w:r>
              <w:rPr>
                <w:sz w:val="21"/>
              </w:rPr>
              <w:t>Govind Ballabh Pant</w:t>
            </w:r>
          </w:p>
        </w:tc>
        <w:tc>
          <w:tcPr>
            <w:tcW w:type="dxa" w:w="1872"/>
          </w:tcPr>
          <w:p>
            <w:pPr>
              <w:spacing w:line="240" w:lineRule="auto" w:after="40"/>
              <w:ind w:firstLine="0"/>
              <w:jc w:val="right"/>
            </w:pPr>
            <w:r>
              <w:rPr>
                <w:sz w:val="21"/>
              </w:rPr>
              <w:t>Uttar Pradesh</w:t>
            </w:r>
          </w:p>
        </w:tc>
        <w:tc>
          <w:tcPr>
            <w:tcW w:type="dxa" w:w="1152"/>
          </w:tcPr>
          <w:p>
            <w:pPr>
              <w:spacing w:line="240" w:lineRule="auto" w:after="40"/>
              <w:ind w:firstLine="0"/>
              <w:jc w:val="right"/>
            </w:pPr>
            <w:r>
              <w:rPr>
                <w:sz w:val="21"/>
              </w:rPr>
              <w:t>398.80</w:t>
            </w:r>
          </w:p>
        </w:tc>
        <w:tc>
          <w:tcPr>
            <w:tcW w:type="dxa" w:w="1296"/>
          </w:tcPr>
          <w:p>
            <w:pPr>
              <w:spacing w:line="240" w:lineRule="auto" w:after="40"/>
              <w:ind w:firstLine="0"/>
              <w:jc w:val="right"/>
            </w:pPr>
            <w:r>
              <w:rPr>
                <w:sz w:val="21"/>
              </w:rPr>
              <w:t>0.99646</w:t>
            </w:r>
          </w:p>
        </w:tc>
        <w:tc>
          <w:tcPr>
            <w:tcW w:type="dxa" w:w="1584"/>
          </w:tcPr>
          <w:p>
            <w:pPr>
              <w:spacing w:line="240" w:lineRule="auto" w:after="40"/>
              <w:ind w:firstLine="0"/>
              <w:jc w:val="right"/>
            </w:pPr>
            <w:r>
              <w:rPr>
                <w:sz w:val="21"/>
              </w:rPr>
              <w:t>2021–2025</w:t>
            </w:r>
          </w:p>
        </w:tc>
      </w:tr>
      <w:tr>
        <w:tc>
          <w:tcPr>
            <w:tcW w:type="dxa" w:w="576"/>
          </w:tcPr>
          <w:p>
            <w:pPr>
              <w:spacing w:line="240" w:lineRule="auto" w:after="40"/>
              <w:ind w:firstLine="0"/>
              <w:jc w:val="left"/>
            </w:pPr>
            <w:r>
              <w:rPr>
                <w:sz w:val="21"/>
              </w:rPr>
              <w:t>3</w:t>
            </w:r>
          </w:p>
        </w:tc>
        <w:tc>
          <w:tcPr>
            <w:tcW w:type="dxa" w:w="2448"/>
          </w:tcPr>
          <w:p>
            <w:pPr>
              <w:spacing w:line="240" w:lineRule="auto" w:after="40"/>
              <w:ind w:firstLine="0"/>
              <w:jc w:val="right"/>
            </w:pPr>
            <w:r>
              <w:rPr>
                <w:sz w:val="21"/>
              </w:rPr>
              <w:t>177805</w:t>
            </w:r>
          </w:p>
        </w:tc>
        <w:tc>
          <w:tcPr>
            <w:tcW w:type="dxa" w:w="1872"/>
          </w:tcPr>
          <w:p>
            <w:pPr>
              <w:spacing w:line="240" w:lineRule="auto" w:after="40"/>
              <w:ind w:firstLine="0"/>
              <w:jc w:val="right"/>
            </w:pPr>
            <w:r>
              <w:rPr>
                <w:sz w:val="21"/>
              </w:rPr>
              <w:t>Gujarat</w:t>
            </w:r>
          </w:p>
        </w:tc>
        <w:tc>
          <w:tcPr>
            <w:tcW w:type="dxa" w:w="1152"/>
          </w:tcPr>
          <w:p>
            <w:pPr>
              <w:spacing w:line="240" w:lineRule="auto" w:after="40"/>
              <w:ind w:firstLine="0"/>
              <w:jc w:val="right"/>
            </w:pPr>
            <w:r>
              <w:rPr>
                <w:sz w:val="21"/>
              </w:rPr>
              <w:t>6.90</w:t>
            </w:r>
          </w:p>
        </w:tc>
        <w:tc>
          <w:tcPr>
            <w:tcW w:type="dxa" w:w="1296"/>
          </w:tcPr>
          <w:p>
            <w:pPr>
              <w:spacing w:line="240" w:lineRule="auto" w:after="40"/>
              <w:ind w:firstLine="0"/>
              <w:jc w:val="right"/>
            </w:pPr>
            <w:r>
              <w:rPr>
                <w:sz w:val="21"/>
              </w:rPr>
              <w:t>0.99554</w:t>
            </w:r>
          </w:p>
        </w:tc>
        <w:tc>
          <w:tcPr>
            <w:tcW w:type="dxa" w:w="1584"/>
          </w:tcPr>
          <w:p>
            <w:pPr>
              <w:spacing w:line="240" w:lineRule="auto" w:after="40"/>
              <w:ind w:firstLine="0"/>
              <w:jc w:val="right"/>
            </w:pPr>
            <w:r>
              <w:rPr>
                <w:sz w:val="21"/>
              </w:rPr>
              <w:t>2019–2023</w:t>
            </w:r>
          </w:p>
        </w:tc>
      </w:tr>
      <w:tr>
        <w:tc>
          <w:tcPr>
            <w:tcW w:type="dxa" w:w="576"/>
          </w:tcPr>
          <w:p>
            <w:pPr>
              <w:spacing w:line="240" w:lineRule="auto" w:after="40"/>
              <w:ind w:firstLine="0"/>
              <w:jc w:val="left"/>
            </w:pPr>
            <w:r>
              <w:rPr>
                <w:sz w:val="21"/>
              </w:rPr>
              <w:t>4</w:t>
            </w:r>
          </w:p>
        </w:tc>
        <w:tc>
          <w:tcPr>
            <w:tcW w:type="dxa" w:w="2448"/>
          </w:tcPr>
          <w:p>
            <w:pPr>
              <w:spacing w:line="240" w:lineRule="auto" w:after="40"/>
              <w:ind w:firstLine="0"/>
              <w:jc w:val="right"/>
            </w:pPr>
            <w:r>
              <w:rPr>
                <w:sz w:val="21"/>
              </w:rPr>
              <w:t>15714</w:t>
            </w:r>
          </w:p>
        </w:tc>
        <w:tc>
          <w:tcPr>
            <w:tcW w:type="dxa" w:w="1872"/>
          </w:tcPr>
          <w:p>
            <w:pPr>
              <w:spacing w:line="240" w:lineRule="auto" w:after="40"/>
              <w:ind w:firstLine="0"/>
              <w:jc w:val="right"/>
            </w:pPr>
            <w:r>
              <w:rPr>
                <w:sz w:val="21"/>
              </w:rPr>
              <w:t>Telangana</w:t>
            </w:r>
          </w:p>
        </w:tc>
        <w:tc>
          <w:tcPr>
            <w:tcW w:type="dxa" w:w="1152"/>
          </w:tcPr>
          <w:p>
            <w:pPr>
              <w:spacing w:line="240" w:lineRule="auto" w:after="40"/>
              <w:ind w:firstLine="0"/>
              <w:jc w:val="right"/>
            </w:pPr>
            <w:r>
              <w:rPr>
                <w:sz w:val="21"/>
              </w:rPr>
              <w:t>27.56</w:t>
            </w:r>
          </w:p>
        </w:tc>
        <w:tc>
          <w:tcPr>
            <w:tcW w:type="dxa" w:w="1296"/>
          </w:tcPr>
          <w:p>
            <w:pPr>
              <w:spacing w:line="240" w:lineRule="auto" w:after="40"/>
              <w:ind w:firstLine="0"/>
              <w:jc w:val="right"/>
            </w:pPr>
            <w:r>
              <w:rPr>
                <w:sz w:val="21"/>
              </w:rPr>
              <w:t>0.99550</w:t>
            </w:r>
          </w:p>
        </w:tc>
        <w:tc>
          <w:tcPr>
            <w:tcW w:type="dxa" w:w="1584"/>
          </w:tcPr>
          <w:p>
            <w:pPr>
              <w:spacing w:line="240" w:lineRule="auto" w:after="40"/>
              <w:ind w:firstLine="0"/>
              <w:jc w:val="right"/>
            </w:pPr>
            <w:r>
              <w:rPr>
                <w:sz w:val="21"/>
              </w:rPr>
              <w:t>2018–2022</w:t>
            </w:r>
          </w:p>
        </w:tc>
      </w:tr>
      <w:tr>
        <w:tc>
          <w:tcPr>
            <w:tcW w:type="dxa" w:w="576"/>
            <w:tcBorders>
              <w:top w:val="nil"/>
              <w:bottom w:val="single" w:sz="6" w:color="000000"/>
            </w:tcBorders>
          </w:tcPr>
          <w:p>
            <w:pPr>
              <w:spacing w:line="240" w:lineRule="auto" w:after="40"/>
              <w:ind w:firstLine="0"/>
              <w:jc w:val="left"/>
            </w:pPr>
            <w:r>
              <w:rPr>
                <w:sz w:val="21"/>
              </w:rPr>
              <w:t>5</w:t>
            </w:r>
          </w:p>
        </w:tc>
        <w:tc>
          <w:tcPr>
            <w:tcW w:type="dxa" w:w="2448"/>
            <w:tcBorders>
              <w:top w:val="nil"/>
              <w:bottom w:val="single" w:sz="6" w:color="000000"/>
            </w:tcBorders>
          </w:tcPr>
          <w:p>
            <w:pPr>
              <w:spacing w:line="240" w:lineRule="auto" w:after="40"/>
              <w:ind w:firstLine="0"/>
              <w:jc w:val="right"/>
            </w:pPr>
            <w:r>
              <w:rPr>
                <w:sz w:val="21"/>
              </w:rPr>
              <w:t>1509</w:t>
            </w:r>
          </w:p>
        </w:tc>
        <w:tc>
          <w:tcPr>
            <w:tcW w:type="dxa" w:w="1872"/>
            <w:tcBorders>
              <w:top w:val="nil"/>
              <w:bottom w:val="single" w:sz="6" w:color="000000"/>
            </w:tcBorders>
          </w:tcPr>
          <w:p>
            <w:pPr>
              <w:spacing w:line="240" w:lineRule="auto" w:after="40"/>
              <w:ind w:firstLine="0"/>
              <w:jc w:val="right"/>
            </w:pPr>
            <w:r>
              <w:rPr>
                <w:sz w:val="21"/>
              </w:rPr>
              <w:t>Telangana</w:t>
            </w:r>
          </w:p>
        </w:tc>
        <w:tc>
          <w:tcPr>
            <w:tcW w:type="dxa" w:w="1152"/>
            <w:tcBorders>
              <w:top w:val="nil"/>
              <w:bottom w:val="single" w:sz="6" w:color="000000"/>
            </w:tcBorders>
          </w:tcPr>
          <w:p>
            <w:pPr>
              <w:spacing w:line="240" w:lineRule="auto" w:after="40"/>
              <w:ind w:firstLine="0"/>
              <w:jc w:val="right"/>
            </w:pPr>
            <w:r>
              <w:rPr>
                <w:sz w:val="21"/>
              </w:rPr>
              <w:t>335.78</w:t>
            </w:r>
          </w:p>
        </w:tc>
        <w:tc>
          <w:tcPr>
            <w:tcW w:type="dxa" w:w="1296"/>
            <w:tcBorders>
              <w:top w:val="nil"/>
              <w:bottom w:val="single" w:sz="6" w:color="000000"/>
            </w:tcBorders>
          </w:tcPr>
          <w:p>
            <w:pPr>
              <w:spacing w:line="240" w:lineRule="auto" w:after="40"/>
              <w:ind w:firstLine="0"/>
              <w:jc w:val="right"/>
            </w:pPr>
            <w:r>
              <w:rPr>
                <w:sz w:val="21"/>
              </w:rPr>
              <w:t>0.99536</w:t>
            </w:r>
          </w:p>
        </w:tc>
        <w:tc>
          <w:tcPr>
            <w:tcW w:type="dxa" w:w="1584"/>
            <w:tcBorders>
              <w:top w:val="nil"/>
              <w:bottom w:val="single" w:sz="6" w:color="000000"/>
            </w:tcBorders>
          </w:tcPr>
          <w:p>
            <w:pPr>
              <w:spacing w:line="240" w:lineRule="auto" w:after="40"/>
              <w:ind w:firstLine="0"/>
              <w:jc w:val="right"/>
            </w:pPr>
            <w:r>
              <w:rPr>
                <w:sz w:val="21"/>
              </w:rPr>
              <w:t>2020–2024</w:t>
            </w:r>
          </w:p>
        </w:tc>
      </w:tr>
    </w:tbl>
    <w:p>
      <w:pPr>
        <w:pStyle w:val="APABodyNoIndent"/>
      </w:pPr>
    </w:p>
    <w:p>
      <w:pPr>
        <w:pStyle w:val="APABody"/>
      </w:pPr>
      <w:r>
        <w:t xml:space="preserve">Three of the five matched windows are </w:t>
      </w:r>
      <w:r>
        <w:rPr>
          <w:i/>
        </w:rPr>
        <w:t>time-shifted</w:t>
      </w:r>
      <w:r>
        <w:t>: the top analog matched on 2017–2021, so its 2022–2024 behaviour is already-observed evidence about a trajectory Chilika is only now traversing.</w:t>
      </w:r>
    </w:p>
    <w:p>
      <w:pPr>
        <w:pStyle w:val="APACaptionLabel"/>
      </w:pPr>
      <w:r>
        <w:t>Figure 14</w:t>
      </w:r>
    </w:p>
    <w:p>
      <w:pPr>
        <w:pStyle w:val="APACaptionTitle"/>
      </w:pPr>
      <w:r>
        <w:t>Chilika's retrieved analogs in the live application.</w:t>
      </w:r>
    </w:p>
    <w:p>
      <w:pPr>
        <w:spacing w:line="240" w:lineRule="auto"/>
        <w:ind w:firstLine="0"/>
      </w:pPr>
      <w:r>
        <w:drawing>
          <wp:inline xmlns:a="http://schemas.openxmlformats.org/drawingml/2006/main" xmlns:pic="http://schemas.openxmlformats.org/drawingml/2006/picture">
            <wp:extent cx="4297680" cy="3129299"/>
            <wp:docPr id="14" name="Picture 14"/>
            <wp:cNvGraphicFramePr>
              <a:graphicFrameLocks noChangeAspect="1"/>
            </wp:cNvGraphicFramePr>
            <a:graphic>
              <a:graphicData uri="http://schemas.openxmlformats.org/drawingml/2006/picture">
                <pic:pic>
                  <pic:nvPicPr>
                    <pic:cNvPr id="0" name="chilika_analog.png"/>
                    <pic:cNvPicPr/>
                  </pic:nvPicPr>
                  <pic:blipFill>
                    <a:blip r:embed="rId23"/>
                    <a:stretch>
                      <a:fillRect/>
                    </a:stretch>
                  </pic:blipFill>
                  <pic:spPr>
                    <a:xfrm>
                      <a:off x="0" y="0"/>
                      <a:ext cx="4297680" cy="3129299"/>
                    </a:xfrm>
                    <a:prstGeom prst="rect"/>
                  </pic:spPr>
                </pic:pic>
              </a:graphicData>
            </a:graphic>
          </wp:inline>
        </w:drawing>
      </w:r>
    </w:p>
    <w:p>
      <w:pPr>
        <w:pStyle w:val="APABodyNoIndent"/>
      </w:pPr>
    </w:p>
    <w:p>
      <w:pPr>
        <w:pStyle w:val="APAH3"/>
      </w:pPr>
      <w:r>
        <w:t>Measured History</w:t>
      </w:r>
    </w:p>
    <w:p>
      <w:pPr>
        <w:pStyle w:val="APACaptionLabel"/>
      </w:pPr>
      <w:r>
        <w:t>Table 10</w:t>
      </w:r>
    </w:p>
    <w:p>
      <w:pPr>
        <w:pStyle w:val="APACaptionTitle"/>
      </w:pPr>
      <w:r>
        <w:t>Chilika — measured index history, 2016–2025.</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337"/>
        <w:gridCol w:w="1337"/>
        <w:gridCol w:w="1337"/>
        <w:gridCol w:w="1337"/>
        <w:gridCol w:w="1337"/>
        <w:gridCol w:w="1337"/>
        <w:gridCol w:w="1337"/>
      </w:tblGrid>
      <w:tr>
        <w:tc>
          <w:tcPr>
            <w:tcW w:type="dxa" w:w="1872"/>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2016</w:t>
            </w:r>
          </w:p>
        </w:tc>
        <w:tc>
          <w:tcPr>
            <w:tcW w:type="dxa" w:w="1152"/>
            <w:tcBorders>
              <w:top w:val="single" w:sz="6" w:color="000000"/>
              <w:bottom w:val="single" w:sz="6" w:color="000000"/>
            </w:tcBorders>
          </w:tcPr>
          <w:p>
            <w:pPr>
              <w:spacing w:line="240" w:lineRule="auto" w:after="40"/>
              <w:ind w:firstLine="0"/>
              <w:jc w:val="left"/>
            </w:pPr>
            <w:r>
              <w:rPr>
                <w:sz w:val="21"/>
              </w:rPr>
              <w:t>2018</w:t>
            </w:r>
          </w:p>
        </w:tc>
        <w:tc>
          <w:tcPr>
            <w:tcW w:type="dxa" w:w="1152"/>
            <w:tcBorders>
              <w:top w:val="single" w:sz="6" w:color="000000"/>
              <w:bottom w:val="single" w:sz="6" w:color="000000"/>
            </w:tcBorders>
          </w:tcPr>
          <w:p>
            <w:pPr>
              <w:spacing w:line="240" w:lineRule="auto" w:after="40"/>
              <w:ind w:firstLine="0"/>
              <w:jc w:val="left"/>
            </w:pPr>
            <w:r>
              <w:rPr>
                <w:sz w:val="21"/>
              </w:rPr>
              <w:t>2020</w:t>
            </w:r>
          </w:p>
        </w:tc>
        <w:tc>
          <w:tcPr>
            <w:tcW w:type="dxa" w:w="1152"/>
            <w:tcBorders>
              <w:top w:val="single" w:sz="6" w:color="000000"/>
              <w:bottom w:val="single" w:sz="6" w:color="000000"/>
            </w:tcBorders>
          </w:tcPr>
          <w:p>
            <w:pPr>
              <w:spacing w:line="240" w:lineRule="auto" w:after="40"/>
              <w:ind w:firstLine="0"/>
              <w:jc w:val="left"/>
            </w:pPr>
            <w:r>
              <w:rPr>
                <w:sz w:val="21"/>
              </w:rPr>
              <w:t>2022</w:t>
            </w:r>
          </w:p>
        </w:tc>
        <w:tc>
          <w:tcPr>
            <w:tcW w:type="dxa" w:w="1152"/>
            <w:tcBorders>
              <w:top w:val="single" w:sz="6" w:color="000000"/>
              <w:bottom w:val="single" w:sz="6" w:color="000000"/>
            </w:tcBorders>
          </w:tcPr>
          <w:p>
            <w:pPr>
              <w:spacing w:line="240" w:lineRule="auto" w:after="40"/>
              <w:ind w:firstLine="0"/>
              <w:jc w:val="left"/>
            </w:pPr>
            <w:r>
              <w:rPr>
                <w:sz w:val="21"/>
              </w:rPr>
              <w:t>2024</w:t>
            </w:r>
          </w:p>
        </w:tc>
        <w:tc>
          <w:tcPr>
            <w:tcW w:type="dxa" w:w="1152"/>
            <w:tcBorders>
              <w:top w:val="single" w:sz="6" w:color="000000"/>
              <w:bottom w:val="single" w:sz="6" w:color="000000"/>
            </w:tcBorders>
          </w:tcPr>
          <w:p>
            <w:pPr>
              <w:spacing w:line="240" w:lineRule="auto" w:after="40"/>
              <w:ind w:firstLine="0"/>
              <w:jc w:val="left"/>
            </w:pPr>
            <w:r>
              <w:rPr>
                <w:sz w:val="21"/>
              </w:rPr>
              <w:t>2025</w:t>
            </w:r>
          </w:p>
        </w:tc>
      </w:tr>
      <w:tr>
        <w:tc>
          <w:tcPr>
            <w:tcW w:type="dxa" w:w="1872"/>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0.0360</w:t>
            </w:r>
          </w:p>
        </w:tc>
        <w:tc>
          <w:tcPr>
            <w:tcW w:type="dxa" w:w="1152"/>
          </w:tcPr>
          <w:p>
            <w:pPr>
              <w:spacing w:line="240" w:lineRule="auto" w:after="40"/>
              <w:ind w:firstLine="0"/>
              <w:jc w:val="right"/>
            </w:pPr>
            <w:r>
              <w:rPr>
                <w:sz w:val="21"/>
              </w:rPr>
              <w:t>0.0323</w:t>
            </w:r>
          </w:p>
        </w:tc>
        <w:tc>
          <w:tcPr>
            <w:tcW w:type="dxa" w:w="1152"/>
          </w:tcPr>
          <w:p>
            <w:pPr>
              <w:spacing w:line="240" w:lineRule="auto" w:after="40"/>
              <w:ind w:firstLine="0"/>
              <w:jc w:val="right"/>
            </w:pPr>
            <w:r>
              <w:rPr>
                <w:sz w:val="21"/>
              </w:rPr>
              <w:t>0.0463</w:t>
            </w:r>
          </w:p>
        </w:tc>
        <w:tc>
          <w:tcPr>
            <w:tcW w:type="dxa" w:w="1152"/>
          </w:tcPr>
          <w:p>
            <w:pPr>
              <w:spacing w:line="240" w:lineRule="auto" w:after="40"/>
              <w:ind w:firstLine="0"/>
              <w:jc w:val="right"/>
            </w:pPr>
            <w:r>
              <w:rPr>
                <w:sz w:val="21"/>
              </w:rPr>
              <w:t>0.0518</w:t>
            </w:r>
          </w:p>
        </w:tc>
        <w:tc>
          <w:tcPr>
            <w:tcW w:type="dxa" w:w="1152"/>
          </w:tcPr>
          <w:p>
            <w:pPr>
              <w:spacing w:line="240" w:lineRule="auto" w:after="40"/>
              <w:ind w:firstLine="0"/>
              <w:jc w:val="right"/>
            </w:pPr>
            <w:r>
              <w:rPr>
                <w:sz w:val="21"/>
              </w:rPr>
              <w:t>0.0527</w:t>
            </w:r>
          </w:p>
        </w:tc>
        <w:tc>
          <w:tcPr>
            <w:tcW w:type="dxa" w:w="1152"/>
          </w:tcPr>
          <w:p>
            <w:pPr>
              <w:spacing w:line="240" w:lineRule="auto" w:after="40"/>
              <w:ind w:firstLine="0"/>
              <w:jc w:val="right"/>
            </w:pPr>
            <w:r>
              <w:rPr>
                <w:sz w:val="21"/>
              </w:rPr>
              <w:t>0.0415</w:t>
            </w:r>
          </w:p>
        </w:tc>
      </w:tr>
      <w:tr>
        <w:tc>
          <w:tcPr>
            <w:tcW w:type="dxa" w:w="1872"/>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−0.0773</w:t>
            </w:r>
          </w:p>
        </w:tc>
        <w:tc>
          <w:tcPr>
            <w:tcW w:type="dxa" w:w="1152"/>
          </w:tcPr>
          <w:p>
            <w:pPr>
              <w:spacing w:line="240" w:lineRule="auto" w:after="40"/>
              <w:ind w:firstLine="0"/>
              <w:jc w:val="right"/>
            </w:pPr>
            <w:r>
              <w:rPr>
                <w:sz w:val="21"/>
              </w:rPr>
              <w:t>−0.1893</w:t>
            </w:r>
          </w:p>
        </w:tc>
        <w:tc>
          <w:tcPr>
            <w:tcW w:type="dxa" w:w="1152"/>
          </w:tcPr>
          <w:p>
            <w:pPr>
              <w:spacing w:line="240" w:lineRule="auto" w:after="40"/>
              <w:ind w:firstLine="0"/>
              <w:jc w:val="right"/>
            </w:pPr>
            <w:r>
              <w:rPr>
                <w:sz w:val="21"/>
              </w:rPr>
              <w:t>−0.1410</w:t>
            </w:r>
          </w:p>
        </w:tc>
        <w:tc>
          <w:tcPr>
            <w:tcW w:type="dxa" w:w="1152"/>
          </w:tcPr>
          <w:p>
            <w:pPr>
              <w:spacing w:line="240" w:lineRule="auto" w:after="40"/>
              <w:ind w:firstLine="0"/>
              <w:jc w:val="right"/>
            </w:pPr>
            <w:r>
              <w:rPr>
                <w:sz w:val="21"/>
              </w:rPr>
              <w:t>−0.1246</w:t>
            </w:r>
          </w:p>
        </w:tc>
        <w:tc>
          <w:tcPr>
            <w:tcW w:type="dxa" w:w="1152"/>
          </w:tcPr>
          <w:p>
            <w:pPr>
              <w:spacing w:line="240" w:lineRule="auto" w:after="40"/>
              <w:ind w:firstLine="0"/>
              <w:jc w:val="right"/>
            </w:pPr>
            <w:r>
              <w:rPr>
                <w:sz w:val="21"/>
              </w:rPr>
              <w:t>−0.1092</w:t>
            </w:r>
          </w:p>
        </w:tc>
        <w:tc>
          <w:tcPr>
            <w:tcW w:type="dxa" w:w="1152"/>
          </w:tcPr>
          <w:p>
            <w:pPr>
              <w:spacing w:line="240" w:lineRule="auto" w:after="40"/>
              <w:ind w:firstLine="0"/>
              <w:jc w:val="right"/>
            </w:pPr>
            <w:r>
              <w:rPr>
                <w:sz w:val="21"/>
              </w:rPr>
              <w:t>−0.1280</w:t>
            </w:r>
          </w:p>
        </w:tc>
      </w:tr>
      <w:tr>
        <w:tc>
          <w:tcPr>
            <w:tcW w:type="dxa" w:w="1872"/>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0.1231</w:t>
            </w:r>
          </w:p>
        </w:tc>
        <w:tc>
          <w:tcPr>
            <w:tcW w:type="dxa" w:w="1152"/>
          </w:tcPr>
          <w:p>
            <w:pPr>
              <w:spacing w:line="240" w:lineRule="auto" w:after="40"/>
              <w:ind w:firstLine="0"/>
              <w:jc w:val="right"/>
            </w:pPr>
            <w:r>
              <w:rPr>
                <w:sz w:val="21"/>
              </w:rPr>
              <w:t>0.3170</w:t>
            </w:r>
          </w:p>
        </w:tc>
        <w:tc>
          <w:tcPr>
            <w:tcW w:type="dxa" w:w="1152"/>
          </w:tcPr>
          <w:p>
            <w:pPr>
              <w:spacing w:line="240" w:lineRule="auto" w:after="40"/>
              <w:ind w:firstLine="0"/>
              <w:jc w:val="right"/>
            </w:pPr>
            <w:r>
              <w:rPr>
                <w:sz w:val="21"/>
              </w:rPr>
              <w:t>0.2688</w:t>
            </w:r>
          </w:p>
        </w:tc>
        <w:tc>
          <w:tcPr>
            <w:tcW w:type="dxa" w:w="1152"/>
          </w:tcPr>
          <w:p>
            <w:pPr>
              <w:spacing w:line="240" w:lineRule="auto" w:after="40"/>
              <w:ind w:firstLine="0"/>
              <w:jc w:val="right"/>
            </w:pPr>
            <w:r>
              <w:rPr>
                <w:sz w:val="21"/>
              </w:rPr>
              <w:t>0.2258</w:t>
            </w:r>
          </w:p>
        </w:tc>
        <w:tc>
          <w:tcPr>
            <w:tcW w:type="dxa" w:w="1152"/>
          </w:tcPr>
          <w:p>
            <w:pPr>
              <w:spacing w:line="240" w:lineRule="auto" w:after="40"/>
              <w:ind w:firstLine="0"/>
              <w:jc w:val="right"/>
            </w:pPr>
            <w:r>
              <w:rPr>
                <w:sz w:val="21"/>
              </w:rPr>
              <w:t>0.2161</w:t>
            </w:r>
          </w:p>
        </w:tc>
        <w:tc>
          <w:tcPr>
            <w:tcW w:type="dxa" w:w="1152"/>
          </w:tcPr>
          <w:p>
            <w:pPr>
              <w:spacing w:line="240" w:lineRule="auto" w:after="40"/>
              <w:ind w:firstLine="0"/>
              <w:jc w:val="right"/>
            </w:pPr>
            <w:r>
              <w:rPr>
                <w:sz w:val="21"/>
              </w:rPr>
              <w:t>0.2441</w:t>
            </w:r>
          </w:p>
        </w:tc>
      </w:tr>
      <w:tr>
        <w:tc>
          <w:tcPr>
            <w:tcW w:type="dxa" w:w="1872"/>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−0.0463</w:t>
            </w:r>
          </w:p>
        </w:tc>
        <w:tc>
          <w:tcPr>
            <w:tcW w:type="dxa" w:w="1152"/>
          </w:tcPr>
          <w:p>
            <w:pPr>
              <w:spacing w:line="240" w:lineRule="auto" w:after="40"/>
              <w:ind w:firstLine="0"/>
              <w:jc w:val="right"/>
            </w:pPr>
            <w:r>
              <w:rPr>
                <w:sz w:val="21"/>
              </w:rPr>
              <w:t>−0.1359</w:t>
            </w:r>
          </w:p>
        </w:tc>
        <w:tc>
          <w:tcPr>
            <w:tcW w:type="dxa" w:w="1152"/>
          </w:tcPr>
          <w:p>
            <w:pPr>
              <w:spacing w:line="240" w:lineRule="auto" w:after="40"/>
              <w:ind w:firstLine="0"/>
              <w:jc w:val="right"/>
            </w:pPr>
            <w:r>
              <w:rPr>
                <w:sz w:val="21"/>
              </w:rPr>
              <w:t>−0.1328</w:t>
            </w:r>
          </w:p>
        </w:tc>
        <w:tc>
          <w:tcPr>
            <w:tcW w:type="dxa" w:w="1152"/>
          </w:tcPr>
          <w:p>
            <w:pPr>
              <w:spacing w:line="240" w:lineRule="auto" w:after="40"/>
              <w:ind w:firstLine="0"/>
              <w:jc w:val="right"/>
            </w:pPr>
            <w:r>
              <w:rPr>
                <w:sz w:val="21"/>
              </w:rPr>
              <w:t>−0.1041</w:t>
            </w:r>
          </w:p>
        </w:tc>
        <w:tc>
          <w:tcPr>
            <w:tcW w:type="dxa" w:w="1152"/>
          </w:tcPr>
          <w:p>
            <w:pPr>
              <w:spacing w:line="240" w:lineRule="auto" w:after="40"/>
              <w:ind w:firstLine="0"/>
              <w:jc w:val="right"/>
            </w:pPr>
            <w:r>
              <w:rPr>
                <w:sz w:val="21"/>
              </w:rPr>
              <w:t>−0.1095</w:t>
            </w:r>
          </w:p>
        </w:tc>
        <w:tc>
          <w:tcPr>
            <w:tcW w:type="dxa" w:w="1152"/>
          </w:tcPr>
          <w:p>
            <w:pPr>
              <w:spacing w:line="240" w:lineRule="auto" w:after="40"/>
              <w:ind w:firstLine="0"/>
              <w:jc w:val="right"/>
            </w:pPr>
            <w:r>
              <w:rPr>
                <w:sz w:val="21"/>
              </w:rPr>
              <w:t>−0.1198</w:t>
            </w:r>
          </w:p>
        </w:tc>
      </w:tr>
      <w:tr>
        <w:tc>
          <w:tcPr>
            <w:tcW w:type="dxa" w:w="1872"/>
            <w:tcBorders>
              <w:top w:val="nil"/>
              <w:bottom w:val="single" w:sz="6" w:color="000000"/>
            </w:tcBorders>
          </w:tcPr>
          <w:p>
            <w:pPr>
              <w:spacing w:line="240" w:lineRule="auto" w:after="40"/>
              <w:ind w:firstLine="0"/>
              <w:jc w:val="left"/>
            </w:pPr>
            <w:r>
              <w:rPr>
                <w:sz w:val="21"/>
              </w:rPr>
              <w:t>Red-edge slope</w:t>
            </w:r>
          </w:p>
        </w:tc>
        <w:tc>
          <w:tcPr>
            <w:tcW w:type="dxa" w:w="1152"/>
            <w:tcBorders>
              <w:top w:val="nil"/>
              <w:bottom w:val="single" w:sz="6" w:color="000000"/>
            </w:tcBorders>
          </w:tcPr>
          <w:p>
            <w:pPr>
              <w:spacing w:line="240" w:lineRule="auto" w:after="40"/>
              <w:ind w:firstLine="0"/>
              <w:jc w:val="right"/>
            </w:pPr>
            <w:r>
              <w:rPr>
                <w:sz w:val="21"/>
              </w:rPr>
              <w:t>−2.3037</w:t>
            </w:r>
          </w:p>
        </w:tc>
        <w:tc>
          <w:tcPr>
            <w:tcW w:type="dxa" w:w="1152"/>
            <w:tcBorders>
              <w:top w:val="nil"/>
              <w:bottom w:val="single" w:sz="6" w:color="000000"/>
            </w:tcBorders>
          </w:tcPr>
          <w:p>
            <w:pPr>
              <w:spacing w:line="240" w:lineRule="auto" w:after="40"/>
              <w:ind w:firstLine="0"/>
              <w:jc w:val="right"/>
            </w:pPr>
            <w:r>
              <w:rPr>
                <w:sz w:val="21"/>
              </w:rPr>
              <w:t>−2.9020</w:t>
            </w:r>
          </w:p>
        </w:tc>
        <w:tc>
          <w:tcPr>
            <w:tcW w:type="dxa" w:w="1152"/>
            <w:tcBorders>
              <w:top w:val="nil"/>
              <w:bottom w:val="single" w:sz="6" w:color="000000"/>
            </w:tcBorders>
          </w:tcPr>
          <w:p>
            <w:pPr>
              <w:spacing w:line="240" w:lineRule="auto" w:after="40"/>
              <w:ind w:firstLine="0"/>
              <w:jc w:val="right"/>
            </w:pPr>
            <w:r>
              <w:rPr>
                <w:sz w:val="21"/>
              </w:rPr>
              <w:t>−2.5017</w:t>
            </w:r>
          </w:p>
        </w:tc>
        <w:tc>
          <w:tcPr>
            <w:tcW w:type="dxa" w:w="1152"/>
            <w:tcBorders>
              <w:top w:val="nil"/>
              <w:bottom w:val="single" w:sz="6" w:color="000000"/>
            </w:tcBorders>
          </w:tcPr>
          <w:p>
            <w:pPr>
              <w:spacing w:line="240" w:lineRule="auto" w:after="40"/>
              <w:ind w:firstLine="0"/>
              <w:jc w:val="right"/>
            </w:pPr>
            <w:r>
              <w:rPr>
                <w:sz w:val="21"/>
              </w:rPr>
              <w:t>−2.7318</w:t>
            </w:r>
          </w:p>
        </w:tc>
        <w:tc>
          <w:tcPr>
            <w:tcW w:type="dxa" w:w="1152"/>
            <w:tcBorders>
              <w:top w:val="nil"/>
              <w:bottom w:val="single" w:sz="6" w:color="000000"/>
            </w:tcBorders>
          </w:tcPr>
          <w:p>
            <w:pPr>
              <w:spacing w:line="240" w:lineRule="auto" w:after="40"/>
              <w:ind w:firstLine="0"/>
              <w:jc w:val="right"/>
            </w:pPr>
            <w:r>
              <w:rPr>
                <w:sz w:val="21"/>
              </w:rPr>
              <w:t>−2.2062</w:t>
            </w:r>
          </w:p>
        </w:tc>
        <w:tc>
          <w:tcPr>
            <w:tcW w:type="dxa" w:w="1152"/>
            <w:tcBorders>
              <w:top w:val="nil"/>
              <w:bottom w:val="single" w:sz="6" w:color="000000"/>
            </w:tcBorders>
          </w:tcPr>
          <w:p>
            <w:pPr>
              <w:spacing w:line="240" w:lineRule="auto" w:after="40"/>
              <w:ind w:firstLine="0"/>
              <w:jc w:val="right"/>
            </w:pPr>
            <w:r>
              <w:rPr>
                <w:sz w:val="21"/>
              </w:rPr>
              <w:t>−2.3865</w:t>
            </w:r>
          </w:p>
        </w:tc>
      </w:tr>
    </w:tbl>
    <w:p>
      <w:pPr>
        <w:pStyle w:val="APABodyNoIndent"/>
      </w:pPr>
    </w:p>
    <w:p>
      <w:pPr>
        <w:pStyle w:val="APACaptionLabel"/>
      </w:pPr>
      <w:r>
        <w:t>Figure 15</w:t>
      </w:r>
    </w:p>
    <w:p>
      <w:pPr>
        <w:pStyle w:val="APACaptionTitle"/>
      </w:pPr>
      <w:r>
        <w:t>Chilika — measured index trajectory, 2016–2025.</w:t>
      </w:r>
    </w:p>
    <w:p>
      <w:pPr>
        <w:spacing w:line="240" w:lineRule="auto"/>
        <w:ind w:firstLine="0"/>
      </w:pPr>
      <w:r>
        <w:drawing>
          <wp:inline xmlns:a="http://schemas.openxmlformats.org/drawingml/2006/main" xmlns:pic="http://schemas.openxmlformats.org/drawingml/2006/picture">
            <wp:extent cx="5120640" cy="2622497"/>
            <wp:docPr id="15" name="Picture 15"/>
            <wp:cNvGraphicFramePr>
              <a:graphicFrameLocks noChangeAspect="1"/>
            </wp:cNvGraphicFramePr>
            <a:graphic>
              <a:graphicData uri="http://schemas.openxmlformats.org/drawingml/2006/picture">
                <pic:pic>
                  <pic:nvPicPr>
                    <pic:cNvPr id="0" name="chilika_hist_chart.png"/>
                    <pic:cNvPicPr/>
                  </pic:nvPicPr>
                  <pic:blipFill>
                    <a:blip r:embed="rId24"/>
                    <a:stretch>
                      <a:fillRect/>
                    </a:stretch>
                  </pic:blipFill>
                  <pic:spPr>
                    <a:xfrm>
                      <a:off x="0" y="0"/>
                      <a:ext cx="5120640" cy="2622497"/>
                    </a:xfrm>
                    <a:prstGeom prst="rect"/>
                  </pic:spPr>
                </pic:pic>
              </a:graphicData>
            </a:graphic>
          </wp:inline>
        </w:drawing>
      </w:r>
    </w:p>
    <w:p>
      <w:pPr>
        <w:pStyle w:val="APABodyNoIndent"/>
      </w:pPr>
    </w:p>
    <w:p>
      <w:pPr>
        <w:pStyle w:val="APABody"/>
      </w:pPr>
      <w:r>
        <w:t>The persistently negative NDVI and positive NDWI are the expected signature of a large, genuinely open water body.</w:t>
      </w:r>
    </w:p>
    <w:p>
      <w:pPr>
        <w:pStyle w:val="APAH3"/>
      </w:pPr>
      <w:r>
        <w:t>Forecast</w:t>
      </w:r>
    </w:p>
    <w:p>
      <w:pPr>
        <w:pStyle w:val="APACaptionLabel"/>
      </w:pPr>
      <w:r>
        <w:t>Table 11</w:t>
      </w:r>
    </w:p>
    <w:p>
      <w:pPr>
        <w:pStyle w:val="APACaptionTitle"/>
      </w:pPr>
      <w:r>
        <w:t>Chilika — directional forecast 2026–2028.</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c>
          <w:tcPr>
            <w:tcW w:type="dxa" w:w="1440"/>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2025</w:t>
            </w:r>
          </w:p>
        </w:tc>
        <w:tc>
          <w:tcPr>
            <w:tcW w:type="dxa" w:w="2160"/>
            <w:tcBorders>
              <w:top w:val="single" w:sz="6" w:color="000000"/>
              <w:bottom w:val="single" w:sz="6" w:color="000000"/>
            </w:tcBorders>
          </w:tcPr>
          <w:p>
            <w:pPr>
              <w:spacing w:line="240" w:lineRule="auto" w:after="40"/>
              <w:ind w:firstLine="0"/>
              <w:jc w:val="left"/>
            </w:pPr>
            <w:r>
              <w:rPr>
                <w:sz w:val="21"/>
              </w:rPr>
              <w:t>2026</w:t>
            </w:r>
          </w:p>
        </w:tc>
        <w:tc>
          <w:tcPr>
            <w:tcW w:type="dxa" w:w="2160"/>
            <w:tcBorders>
              <w:top w:val="single" w:sz="6" w:color="000000"/>
              <w:bottom w:val="single" w:sz="6" w:color="000000"/>
            </w:tcBorders>
          </w:tcPr>
          <w:p>
            <w:pPr>
              <w:spacing w:line="240" w:lineRule="auto" w:after="40"/>
              <w:ind w:firstLine="0"/>
              <w:jc w:val="left"/>
            </w:pPr>
            <w:r>
              <w:rPr>
                <w:sz w:val="21"/>
              </w:rPr>
              <w:t>2027</w:t>
            </w:r>
          </w:p>
        </w:tc>
        <w:tc>
          <w:tcPr>
            <w:tcW w:type="dxa" w:w="2160"/>
            <w:tcBorders>
              <w:top w:val="single" w:sz="6" w:color="000000"/>
              <w:bottom w:val="single" w:sz="6" w:color="000000"/>
            </w:tcBorders>
          </w:tcPr>
          <w:p>
            <w:pPr>
              <w:spacing w:line="240" w:lineRule="auto" w:after="40"/>
              <w:ind w:firstLine="0"/>
              <w:jc w:val="left"/>
            </w:pPr>
            <w:r>
              <w:rPr>
                <w:sz w:val="21"/>
              </w:rPr>
              <w:t>2028</w:t>
            </w:r>
          </w:p>
        </w:tc>
      </w:tr>
      <w:tr>
        <w:tc>
          <w:tcPr>
            <w:tcW w:type="dxa" w:w="1440"/>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0.0415</w:t>
            </w:r>
          </w:p>
        </w:tc>
        <w:tc>
          <w:tcPr>
            <w:tcW w:type="dxa" w:w="2160"/>
          </w:tcPr>
          <w:p>
            <w:pPr>
              <w:spacing w:line="240" w:lineRule="auto" w:after="40"/>
              <w:ind w:firstLine="0"/>
              <w:jc w:val="right"/>
            </w:pPr>
            <w:r>
              <w:rPr>
                <w:sz w:val="21"/>
              </w:rPr>
              <w:t>→ (+0.0029, n=5)</w:t>
            </w:r>
          </w:p>
        </w:tc>
        <w:tc>
          <w:tcPr>
            <w:tcW w:type="dxa" w:w="2160"/>
          </w:tcPr>
          <w:p>
            <w:pPr>
              <w:spacing w:line="240" w:lineRule="auto" w:after="40"/>
              <w:ind w:firstLine="0"/>
              <w:jc w:val="right"/>
            </w:pPr>
            <w:r>
              <w:rPr>
                <w:sz w:val="21"/>
              </w:rPr>
              <w:t>→ (+0.0008, n=4)</w:t>
            </w:r>
          </w:p>
        </w:tc>
        <w:tc>
          <w:tcPr>
            <w:tcW w:type="dxa" w:w="2160"/>
          </w:tcPr>
          <w:p>
            <w:pPr>
              <w:spacing w:line="240" w:lineRule="auto" w:after="40"/>
              <w:ind w:firstLine="0"/>
              <w:jc w:val="right"/>
            </w:pPr>
            <w:r>
              <w:rPr>
                <w:sz w:val="21"/>
              </w:rPr>
              <w:t>↑ (+0.0391, n=3)</w:t>
            </w:r>
          </w:p>
        </w:tc>
      </w:tr>
      <w:tr>
        <w:tc>
          <w:tcPr>
            <w:tcW w:type="dxa" w:w="1440"/>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−0.1280</w:t>
            </w:r>
          </w:p>
        </w:tc>
        <w:tc>
          <w:tcPr>
            <w:tcW w:type="dxa" w:w="2160"/>
          </w:tcPr>
          <w:p>
            <w:pPr>
              <w:spacing w:line="240" w:lineRule="auto" w:after="40"/>
              <w:ind w:firstLine="0"/>
              <w:jc w:val="right"/>
            </w:pPr>
            <w:r>
              <w:rPr>
                <w:sz w:val="21"/>
              </w:rPr>
              <w:t>↑ (+0.0253, n=5)</w:t>
            </w:r>
          </w:p>
        </w:tc>
        <w:tc>
          <w:tcPr>
            <w:tcW w:type="dxa" w:w="2160"/>
          </w:tcPr>
          <w:p>
            <w:pPr>
              <w:spacing w:line="240" w:lineRule="auto" w:after="40"/>
              <w:ind w:firstLine="0"/>
              <w:jc w:val="right"/>
            </w:pPr>
            <w:r>
              <w:rPr>
                <w:sz w:val="21"/>
              </w:rPr>
              <w:t>↑ (+0.0420, n=4)</w:t>
            </w:r>
          </w:p>
        </w:tc>
        <w:tc>
          <w:tcPr>
            <w:tcW w:type="dxa" w:w="2160"/>
          </w:tcPr>
          <w:p>
            <w:pPr>
              <w:spacing w:line="240" w:lineRule="auto" w:after="40"/>
              <w:ind w:firstLine="0"/>
              <w:jc w:val="right"/>
            </w:pPr>
            <w:r>
              <w:rPr>
                <w:sz w:val="21"/>
              </w:rPr>
              <w:t>↑ (+0.0730, n=3)</w:t>
            </w:r>
          </w:p>
        </w:tc>
      </w:tr>
      <w:tr>
        <w:tc>
          <w:tcPr>
            <w:tcW w:type="dxa" w:w="1440"/>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0.2441</w:t>
            </w:r>
          </w:p>
        </w:tc>
        <w:tc>
          <w:tcPr>
            <w:tcW w:type="dxa" w:w="2160"/>
          </w:tcPr>
          <w:p>
            <w:pPr>
              <w:spacing w:line="240" w:lineRule="auto" w:after="40"/>
              <w:ind w:firstLine="0"/>
              <w:jc w:val="right"/>
            </w:pPr>
            <w:r>
              <w:rPr>
                <w:sz w:val="21"/>
              </w:rPr>
              <w:t>↓ (−0.0219, n=5)</w:t>
            </w:r>
          </w:p>
        </w:tc>
        <w:tc>
          <w:tcPr>
            <w:tcW w:type="dxa" w:w="2160"/>
          </w:tcPr>
          <w:p>
            <w:pPr>
              <w:spacing w:line="240" w:lineRule="auto" w:after="40"/>
              <w:ind w:firstLine="0"/>
              <w:jc w:val="right"/>
            </w:pPr>
            <w:r>
              <w:rPr>
                <w:sz w:val="21"/>
              </w:rPr>
              <w:t>↓ (−0.0578, n=4)</w:t>
            </w:r>
          </w:p>
        </w:tc>
        <w:tc>
          <w:tcPr>
            <w:tcW w:type="dxa" w:w="2160"/>
          </w:tcPr>
          <w:p>
            <w:pPr>
              <w:spacing w:line="240" w:lineRule="auto" w:after="40"/>
              <w:ind w:firstLine="0"/>
              <w:jc w:val="right"/>
            </w:pPr>
            <w:r>
              <w:rPr>
                <w:sz w:val="21"/>
              </w:rPr>
              <w:t>↓ (−0.0986, n=3)</w:t>
            </w:r>
          </w:p>
        </w:tc>
      </w:tr>
      <w:tr>
        <w:tc>
          <w:tcPr>
            <w:tcW w:type="dxa" w:w="1440"/>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−0.1198</w:t>
            </w:r>
          </w:p>
        </w:tc>
        <w:tc>
          <w:tcPr>
            <w:tcW w:type="dxa" w:w="2160"/>
          </w:tcPr>
          <w:p>
            <w:pPr>
              <w:spacing w:line="240" w:lineRule="auto" w:after="40"/>
              <w:ind w:firstLine="0"/>
              <w:jc w:val="right"/>
            </w:pPr>
            <w:r>
              <w:rPr>
                <w:sz w:val="21"/>
              </w:rPr>
              <w:t>→ (−0.0032, n=5)</w:t>
            </w:r>
          </w:p>
        </w:tc>
        <w:tc>
          <w:tcPr>
            <w:tcW w:type="dxa" w:w="2160"/>
          </w:tcPr>
          <w:p>
            <w:pPr>
              <w:spacing w:line="240" w:lineRule="auto" w:after="40"/>
              <w:ind w:firstLine="0"/>
              <w:jc w:val="right"/>
            </w:pPr>
            <w:r>
              <w:rPr>
                <w:sz w:val="21"/>
              </w:rPr>
              <w:t>↑ (+0.0219, n=4)</w:t>
            </w:r>
          </w:p>
        </w:tc>
        <w:tc>
          <w:tcPr>
            <w:tcW w:type="dxa" w:w="2160"/>
          </w:tcPr>
          <w:p>
            <w:pPr>
              <w:spacing w:line="240" w:lineRule="auto" w:after="40"/>
              <w:ind w:firstLine="0"/>
              <w:jc w:val="right"/>
            </w:pPr>
            <w:r>
              <w:rPr>
                <w:sz w:val="21"/>
              </w:rPr>
              <w:t>↑ (+0.0333, n=3)</w:t>
            </w:r>
          </w:p>
        </w:tc>
      </w:tr>
      <w:tr>
        <w:tc>
          <w:tcPr>
            <w:tcW w:type="dxa" w:w="1440"/>
            <w:tcBorders>
              <w:top w:val="nil"/>
              <w:bottom w:val="single" w:sz="6" w:color="000000"/>
            </w:tcBorders>
          </w:tcPr>
          <w:p>
            <w:pPr>
              <w:spacing w:line="240" w:lineRule="auto" w:after="40"/>
              <w:ind w:firstLine="0"/>
              <w:jc w:val="left"/>
            </w:pPr>
            <w:r>
              <w:rPr>
                <w:sz w:val="21"/>
              </w:rPr>
              <w:t>Red-edge</w:t>
            </w:r>
          </w:p>
        </w:tc>
        <w:tc>
          <w:tcPr>
            <w:tcW w:type="dxa" w:w="1152"/>
            <w:tcBorders>
              <w:top w:val="nil"/>
              <w:bottom w:val="single" w:sz="6" w:color="000000"/>
            </w:tcBorders>
          </w:tcPr>
          <w:p>
            <w:pPr>
              <w:spacing w:line="240" w:lineRule="auto" w:after="40"/>
              <w:ind w:firstLine="0"/>
              <w:jc w:val="right"/>
            </w:pPr>
            <w:r>
              <w:rPr>
                <w:sz w:val="21"/>
              </w:rPr>
              <w:t>−2.3865</w:t>
            </w:r>
          </w:p>
        </w:tc>
        <w:tc>
          <w:tcPr>
            <w:tcW w:type="dxa" w:w="2160"/>
            <w:tcBorders>
              <w:top w:val="nil"/>
              <w:bottom w:val="single" w:sz="6" w:color="000000"/>
            </w:tcBorders>
          </w:tcPr>
          <w:p>
            <w:pPr>
              <w:spacing w:line="240" w:lineRule="auto" w:after="40"/>
              <w:ind w:firstLine="0"/>
              <w:jc w:val="right"/>
            </w:pPr>
            <w:r>
              <w:rPr>
                <w:sz w:val="21"/>
              </w:rPr>
              <w:t>↑ (+0.2800, n=5)</w:t>
            </w:r>
          </w:p>
        </w:tc>
        <w:tc>
          <w:tcPr>
            <w:tcW w:type="dxa" w:w="2160"/>
            <w:tcBorders>
              <w:top w:val="nil"/>
              <w:bottom w:val="single" w:sz="6" w:color="000000"/>
            </w:tcBorders>
          </w:tcPr>
          <w:p>
            <w:pPr>
              <w:spacing w:line="240" w:lineRule="auto" w:after="40"/>
              <w:ind w:firstLine="0"/>
              <w:jc w:val="right"/>
            </w:pPr>
            <w:r>
              <w:rPr>
                <w:sz w:val="21"/>
              </w:rPr>
              <w:t>↑ (+0.3180, n=4)</w:t>
            </w:r>
          </w:p>
        </w:tc>
        <w:tc>
          <w:tcPr>
            <w:tcW w:type="dxa" w:w="2160"/>
            <w:tcBorders>
              <w:top w:val="nil"/>
              <w:bottom w:val="single" w:sz="6" w:color="000000"/>
            </w:tcBorders>
          </w:tcPr>
          <w:p>
            <w:pPr>
              <w:spacing w:line="240" w:lineRule="auto" w:after="40"/>
              <w:ind w:firstLine="0"/>
              <w:jc w:val="right"/>
            </w:pPr>
            <w:r>
              <w:rPr>
                <w:sz w:val="21"/>
              </w:rPr>
              <w:t>↑ (+0.2312, n=3)</w:t>
            </w:r>
          </w:p>
        </w:tc>
      </w:tr>
    </w:tbl>
    <w:p>
      <w:pPr>
        <w:pStyle w:val="APABodyNoIndent"/>
      </w:pPr>
    </w:p>
    <w:p>
      <w:pPr>
        <w:pStyle w:val="APACaptionLabel"/>
      </w:pPr>
      <w:r>
        <w:t>Figure 16</w:t>
      </w:r>
    </w:p>
    <w:p>
      <w:pPr>
        <w:pStyle w:val="APACaptionTitle"/>
      </w:pPr>
      <w:r>
        <w:t>Chilika — projected index trajectory, 2025–2028.</w:t>
      </w:r>
    </w:p>
    <w:p>
      <w:pPr>
        <w:spacing w:line="240" w:lineRule="auto"/>
        <w:ind w:firstLine="0"/>
      </w:pPr>
      <w:r>
        <w:drawing>
          <wp:inline xmlns:a="http://schemas.openxmlformats.org/drawingml/2006/main" xmlns:pic="http://schemas.openxmlformats.org/drawingml/2006/picture">
            <wp:extent cx="3840480" cy="2051141"/>
            <wp:docPr id="16" name="Picture 16"/>
            <wp:cNvGraphicFramePr>
              <a:graphicFrameLocks noChangeAspect="1"/>
            </wp:cNvGraphicFramePr>
            <a:graphic>
              <a:graphicData uri="http://schemas.openxmlformats.org/drawingml/2006/picture">
                <pic:pic>
                  <pic:nvPicPr>
                    <pic:cNvPr id="0" name="chilika_fc_chart.png"/>
                    <pic:cNvPicPr/>
                  </pic:nvPicPr>
                  <pic:blipFill>
                    <a:blip r:embed="rId25"/>
                    <a:stretch>
                      <a:fillRect/>
                    </a:stretch>
                  </pic:blipFill>
                  <pic:spPr>
                    <a:xfrm>
                      <a:off x="0" y="0"/>
                      <a:ext cx="3840480" cy="2051141"/>
                    </a:xfrm>
                    <a:prstGeom prst="rect"/>
                  </pic:spPr>
                </pic:pic>
              </a:graphicData>
            </a:graphic>
          </wp:inline>
        </w:drawing>
      </w:r>
    </w:p>
    <w:p>
      <w:pPr>
        <w:pStyle w:val="APABodyNoIndent"/>
      </w:pPr>
    </w:p>
    <w:p>
      <w:pPr>
        <w:pStyle w:val="APAH3"/>
      </w:pPr>
      <w:r>
        <w:t>Interpretation</w:t>
      </w:r>
    </w:p>
    <w:p>
      <w:pPr>
        <w:pStyle w:val="APABody"/>
      </w:pPr>
      <w:r>
        <w:t xml:space="preserve">The forecast is internally coherent: NDVI rises while NDWI falls by a comparable magnitude every year (both share B8), and rising red-edge slope and turbidity reinforce the same reading — </w:t>
      </w:r>
      <w:r>
        <w:rPr>
          <w:b/>
        </w:rPr>
        <w:t>gradual vegetative encroachment and reduction of open water</w:t>
      </w:r>
      <w:r>
        <w:t xml:space="preserve"> — with the declining twin count (5, 4, 3) signalling 2028 should be read more cautiously than 2026.</w:t>
      </w:r>
    </w:p>
    <w:p>
      <w:pPr>
        <w:pStyle w:val="APAH3"/>
      </w:pPr>
      <w:r>
        <w:t>Documented Condition</w:t>
      </w:r>
    </w:p>
    <w:p>
      <w:pPr>
        <w:pStyle w:val="APABody"/>
      </w:pPr>
      <w:r>
        <w:t>Chilika's weed cover exploded from ~20 to ~685 km² between 1972 and 2000 as siltation reduced salinity, prompting the 2000 sea-mouth reopening that sharply cut weed cover (Chilika Development Authority, n.d.; Down To Earth, n.d.). Recent reporting describes renewed weed growth interfering with fishing — consistent with the gradual encroachment signal measured here, a real but far milder trend than the pre-2000 crisis.</w:t>
      </w:r>
    </w:p>
    <w:p>
      <w:pPr>
        <w:pStyle w:val="APAH2"/>
      </w:pPr>
      <w:r>
        <w:t>Maharana Pratap Sagar (Beas), Himachal Pradesh</w:t>
      </w:r>
    </w:p>
    <w:p>
      <w:pPr>
        <w:pStyle w:val="APABody"/>
      </w:pPr>
      <w:r>
        <w:t xml:space="preserve">Maharana Pratap Sagar — the reservoir impounded by the Pong Dam on the Beas River, a Ramsar site since 2002 and a major wintering ground for migratory waterfowl in the western Himalayan foothills — is identified in the dataset by its source river, </w:t>
      </w:r>
      <w:r>
        <w:rPr>
          <w:b/>
        </w:rPr>
        <w:t>Beas</w:t>
      </w:r>
      <w:r>
        <w:t xml:space="preserve"> (lake_id 1423). Unlike the natural wetlands elsewhere in this chapter, it is a dam-regulated reservoir, so its surface extent and shoreline vegetation respond to reservoir operations (drawdown and refill) as much as to natural hydrology or ecological succession.</w:t>
      </w:r>
    </w:p>
    <w:p>
      <w:pPr>
        <w:pStyle w:val="APACaptionLabel"/>
      </w:pPr>
      <w:r>
        <w:t>Figure 17</w:t>
      </w:r>
    </w:p>
    <w:p>
      <w:pPr>
        <w:pStyle w:val="APACaptionTitle"/>
      </w:pPr>
      <w:r>
        <w:t>Beas (Maharana Pratap Sagar)'s lake boundary in the live application.</w:t>
      </w:r>
    </w:p>
    <w:p>
      <w:pPr>
        <w:spacing w:line="240" w:lineRule="auto"/>
        <w:ind w:firstLine="0"/>
      </w:pPr>
      <w:r>
        <w:drawing>
          <wp:inline xmlns:a="http://schemas.openxmlformats.org/drawingml/2006/main" xmlns:pic="http://schemas.openxmlformats.org/drawingml/2006/picture">
            <wp:extent cx="4754880" cy="2115222"/>
            <wp:docPr id="17" name="Picture 17"/>
            <wp:cNvGraphicFramePr>
              <a:graphicFrameLocks noChangeAspect="1"/>
            </wp:cNvGraphicFramePr>
            <a:graphic>
              <a:graphicData uri="http://schemas.openxmlformats.org/drawingml/2006/picture">
                <pic:pic>
                  <pic:nvPicPr>
                    <pic:cNvPr id="0" name="Beas_overview.png"/>
                    <pic:cNvPicPr/>
                  </pic:nvPicPr>
                  <pic:blipFill>
                    <a:blip r:embed="rId26"/>
                    <a:stretch>
                      <a:fillRect/>
                    </a:stretch>
                  </pic:blipFill>
                  <pic:spPr>
                    <a:xfrm>
                      <a:off x="0" y="0"/>
                      <a:ext cx="4754880" cy="2115222"/>
                    </a:xfrm>
                    <a:prstGeom prst="rect"/>
                  </pic:spPr>
                </pic:pic>
              </a:graphicData>
            </a:graphic>
          </wp:inline>
        </w:drawing>
      </w:r>
    </w:p>
    <w:p>
      <w:pPr>
        <w:pStyle w:val="APABodyNoIndent"/>
      </w:pPr>
    </w:p>
    <w:p>
      <w:pPr>
        <w:pStyle w:val="APAH3"/>
      </w:pPr>
      <w:r>
        <w:t>Retrieved Analogs</w:t>
      </w:r>
    </w:p>
    <w:p>
      <w:pPr>
        <w:pStyle w:val="APACaptionLabel"/>
      </w:pPr>
      <w:r>
        <w:t>Table 12</w:t>
      </w:r>
    </w:p>
    <w:p>
      <w:pPr>
        <w:pStyle w:val="APACaptionTitle"/>
      </w:pPr>
      <w:r>
        <w:t>Beas — top five analogs (828 candidates).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576"/>
            <w:tcBorders>
              <w:top w:val="single" w:sz="6" w:color="000000"/>
              <w:bottom w:val="single" w:sz="6" w:color="000000"/>
            </w:tcBorders>
          </w:tcPr>
          <w:p>
            <w:pPr>
              <w:spacing w:line="240" w:lineRule="auto" w:after="40"/>
              <w:ind w:firstLine="0"/>
              <w:jc w:val="left"/>
            </w:pPr>
            <w:r>
              <w:rPr>
                <w:sz w:val="21"/>
              </w:rPr>
              <w:t>#</w:t>
            </w:r>
          </w:p>
        </w:tc>
        <w:tc>
          <w:tcPr>
            <w:tcW w:type="dxa" w:w="2448"/>
            <w:tcBorders>
              <w:top w:val="single" w:sz="6" w:color="000000"/>
              <w:bottom w:val="single" w:sz="6" w:color="000000"/>
            </w:tcBorders>
          </w:tcPr>
          <w:p>
            <w:pPr>
              <w:spacing w:line="240" w:lineRule="auto" w:after="40"/>
              <w:ind w:firstLine="0"/>
              <w:jc w:val="left"/>
            </w:pPr>
            <w:r>
              <w:rPr>
                <w:sz w:val="21"/>
              </w:rPr>
              <w:t>Lake</w:t>
            </w:r>
          </w:p>
        </w:tc>
        <w:tc>
          <w:tcPr>
            <w:tcW w:type="dxa" w:w="1872"/>
            <w:tcBorders>
              <w:top w:val="single" w:sz="6" w:color="000000"/>
              <w:bottom w:val="single" w:sz="6" w:color="000000"/>
            </w:tcBorders>
          </w:tcPr>
          <w:p>
            <w:pPr>
              <w:spacing w:line="240" w:lineRule="auto" w:after="40"/>
              <w:ind w:firstLine="0"/>
              <w:jc w:val="left"/>
            </w:pPr>
            <w:r>
              <w:rPr>
                <w:sz w:val="21"/>
              </w:rPr>
              <w:t>State</w:t>
            </w:r>
          </w:p>
        </w:tc>
        <w:tc>
          <w:tcPr>
            <w:tcW w:type="dxa" w:w="1152"/>
            <w:tcBorders>
              <w:top w:val="single" w:sz="6" w:color="000000"/>
              <w:bottom w:val="single" w:sz="6" w:color="000000"/>
            </w:tcBorders>
          </w:tcPr>
          <w:p>
            <w:pPr>
              <w:spacing w:line="240" w:lineRule="auto" w:after="40"/>
              <w:ind w:firstLine="0"/>
              <w:jc w:val="left"/>
            </w:pPr>
            <w:r>
              <w:rPr>
                <w:sz w:val="21"/>
              </w:rPr>
              <w:t>Area</w:t>
            </w:r>
          </w:p>
        </w:tc>
        <w:tc>
          <w:tcPr>
            <w:tcW w:type="dxa" w:w="1296"/>
            <w:tcBorders>
              <w:top w:val="single" w:sz="6" w:color="000000"/>
              <w:bottom w:val="single" w:sz="6" w:color="000000"/>
            </w:tcBorders>
          </w:tcPr>
          <w:p>
            <w:pPr>
              <w:spacing w:line="240" w:lineRule="auto" w:after="40"/>
              <w:ind w:firstLine="0"/>
              <w:jc w:val="left"/>
            </w:pPr>
            <w:r>
              <w:rPr>
                <w:sz w:val="21"/>
              </w:rPr>
              <w:t>Raw cos.</w:t>
            </w:r>
          </w:p>
        </w:tc>
        <w:tc>
          <w:tcPr>
            <w:tcW w:type="dxa" w:w="1584"/>
            <w:tcBorders>
              <w:top w:val="single" w:sz="6" w:color="000000"/>
              <w:bottom w:val="single" w:sz="6" w:color="000000"/>
            </w:tcBorders>
          </w:tcPr>
          <w:p>
            <w:pPr>
              <w:spacing w:line="240" w:lineRule="auto" w:after="40"/>
              <w:ind w:firstLine="0"/>
              <w:jc w:val="left"/>
            </w:pPr>
            <w:r>
              <w:rPr>
                <w:sz w:val="21"/>
              </w:rPr>
              <w:t>Window</w:t>
            </w:r>
          </w:p>
        </w:tc>
      </w:tr>
      <w:tr>
        <w:tc>
          <w:tcPr>
            <w:tcW w:type="dxa" w:w="576"/>
          </w:tcPr>
          <w:p>
            <w:pPr>
              <w:spacing w:line="240" w:lineRule="auto" w:after="40"/>
              <w:ind w:firstLine="0"/>
              <w:jc w:val="left"/>
            </w:pPr>
            <w:r>
              <w:rPr>
                <w:sz w:val="21"/>
              </w:rPr>
              <w:t>1</w:t>
            </w:r>
          </w:p>
        </w:tc>
        <w:tc>
          <w:tcPr>
            <w:tcW w:type="dxa" w:w="2448"/>
          </w:tcPr>
          <w:p>
            <w:pPr>
              <w:spacing w:line="240" w:lineRule="auto" w:after="40"/>
              <w:ind w:firstLine="0"/>
              <w:jc w:val="right"/>
            </w:pPr>
            <w:r>
              <w:rPr>
                <w:sz w:val="21"/>
              </w:rPr>
              <w:t>Gandhisagar Reservoir</w:t>
            </w:r>
          </w:p>
        </w:tc>
        <w:tc>
          <w:tcPr>
            <w:tcW w:type="dxa" w:w="1872"/>
          </w:tcPr>
          <w:p>
            <w:pPr>
              <w:spacing w:line="240" w:lineRule="auto" w:after="40"/>
              <w:ind w:firstLine="0"/>
              <w:jc w:val="right"/>
            </w:pPr>
            <w:r>
              <w:rPr>
                <w:sz w:val="21"/>
              </w:rPr>
              <w:t>Madhya Pradesh</w:t>
            </w:r>
          </w:p>
        </w:tc>
        <w:tc>
          <w:tcPr>
            <w:tcW w:type="dxa" w:w="1152"/>
          </w:tcPr>
          <w:p>
            <w:pPr>
              <w:spacing w:line="240" w:lineRule="auto" w:after="40"/>
              <w:ind w:firstLine="0"/>
              <w:jc w:val="right"/>
            </w:pPr>
            <w:r>
              <w:rPr>
                <w:sz w:val="21"/>
              </w:rPr>
              <w:t>523.51</w:t>
            </w:r>
          </w:p>
        </w:tc>
        <w:tc>
          <w:tcPr>
            <w:tcW w:type="dxa" w:w="1296"/>
          </w:tcPr>
          <w:p>
            <w:pPr>
              <w:spacing w:line="240" w:lineRule="auto" w:after="40"/>
              <w:ind w:firstLine="0"/>
              <w:jc w:val="right"/>
            </w:pPr>
            <w:r>
              <w:rPr>
                <w:sz w:val="21"/>
              </w:rPr>
              <w:t>0.99884</w:t>
            </w:r>
          </w:p>
        </w:tc>
        <w:tc>
          <w:tcPr>
            <w:tcW w:type="dxa" w:w="1584"/>
          </w:tcPr>
          <w:p>
            <w:pPr>
              <w:spacing w:line="240" w:lineRule="auto" w:after="40"/>
              <w:ind w:firstLine="0"/>
              <w:jc w:val="right"/>
            </w:pPr>
            <w:r>
              <w:rPr>
                <w:sz w:val="21"/>
              </w:rPr>
              <w:t>2021–2025</w:t>
            </w:r>
          </w:p>
        </w:tc>
      </w:tr>
      <w:tr>
        <w:tc>
          <w:tcPr>
            <w:tcW w:type="dxa" w:w="576"/>
          </w:tcPr>
          <w:p>
            <w:pPr>
              <w:spacing w:line="240" w:lineRule="auto" w:after="40"/>
              <w:ind w:firstLine="0"/>
              <w:jc w:val="left"/>
            </w:pPr>
            <w:r>
              <w:rPr>
                <w:sz w:val="21"/>
              </w:rPr>
              <w:t>2</w:t>
            </w:r>
          </w:p>
        </w:tc>
        <w:tc>
          <w:tcPr>
            <w:tcW w:type="dxa" w:w="2448"/>
          </w:tcPr>
          <w:p>
            <w:pPr>
              <w:spacing w:line="240" w:lineRule="auto" w:after="40"/>
              <w:ind w:firstLine="0"/>
              <w:jc w:val="right"/>
            </w:pPr>
            <w:r>
              <w:rPr>
                <w:sz w:val="21"/>
              </w:rPr>
              <w:t>15581</w:t>
            </w:r>
          </w:p>
        </w:tc>
        <w:tc>
          <w:tcPr>
            <w:tcW w:type="dxa" w:w="1872"/>
          </w:tcPr>
          <w:p>
            <w:pPr>
              <w:spacing w:line="240" w:lineRule="auto" w:after="40"/>
              <w:ind w:firstLine="0"/>
              <w:jc w:val="right"/>
            </w:pPr>
            <w:r>
              <w:rPr>
                <w:sz w:val="21"/>
              </w:rPr>
              <w:t>Chhattīsgarh</w:t>
            </w:r>
          </w:p>
        </w:tc>
        <w:tc>
          <w:tcPr>
            <w:tcW w:type="dxa" w:w="1152"/>
          </w:tcPr>
          <w:p>
            <w:pPr>
              <w:spacing w:line="240" w:lineRule="auto" w:after="40"/>
              <w:ind w:firstLine="0"/>
              <w:jc w:val="right"/>
            </w:pPr>
            <w:r>
              <w:rPr>
                <w:sz w:val="21"/>
              </w:rPr>
              <w:t>28.46</w:t>
            </w:r>
          </w:p>
        </w:tc>
        <w:tc>
          <w:tcPr>
            <w:tcW w:type="dxa" w:w="1296"/>
          </w:tcPr>
          <w:p>
            <w:pPr>
              <w:spacing w:line="240" w:lineRule="auto" w:after="40"/>
              <w:ind w:firstLine="0"/>
              <w:jc w:val="right"/>
            </w:pPr>
            <w:r>
              <w:rPr>
                <w:sz w:val="21"/>
              </w:rPr>
              <w:t>0.99824</w:t>
            </w:r>
          </w:p>
        </w:tc>
        <w:tc>
          <w:tcPr>
            <w:tcW w:type="dxa" w:w="1584"/>
          </w:tcPr>
          <w:p>
            <w:pPr>
              <w:spacing w:line="240" w:lineRule="auto" w:after="40"/>
              <w:ind w:firstLine="0"/>
              <w:jc w:val="right"/>
            </w:pPr>
            <w:r>
              <w:rPr>
                <w:sz w:val="21"/>
              </w:rPr>
              <w:t>2021–2025</w:t>
            </w:r>
          </w:p>
        </w:tc>
      </w:tr>
      <w:tr>
        <w:tc>
          <w:tcPr>
            <w:tcW w:type="dxa" w:w="576"/>
          </w:tcPr>
          <w:p>
            <w:pPr>
              <w:spacing w:line="240" w:lineRule="auto" w:after="40"/>
              <w:ind w:firstLine="0"/>
              <w:jc w:val="left"/>
            </w:pPr>
            <w:r>
              <w:rPr>
                <w:sz w:val="21"/>
              </w:rPr>
              <w:t>3</w:t>
            </w:r>
          </w:p>
        </w:tc>
        <w:tc>
          <w:tcPr>
            <w:tcW w:type="dxa" w:w="2448"/>
          </w:tcPr>
          <w:p>
            <w:pPr>
              <w:spacing w:line="240" w:lineRule="auto" w:after="40"/>
              <w:ind w:firstLine="0"/>
              <w:jc w:val="right"/>
            </w:pPr>
            <w:r>
              <w:rPr>
                <w:sz w:val="21"/>
              </w:rPr>
              <w:t>15672</w:t>
            </w:r>
          </w:p>
        </w:tc>
        <w:tc>
          <w:tcPr>
            <w:tcW w:type="dxa" w:w="1872"/>
          </w:tcPr>
          <w:p>
            <w:pPr>
              <w:spacing w:line="240" w:lineRule="auto" w:after="40"/>
              <w:ind w:firstLine="0"/>
              <w:jc w:val="right"/>
            </w:pPr>
            <w:r>
              <w:rPr>
                <w:sz w:val="21"/>
              </w:rPr>
              <w:t>Telangana</w:t>
            </w:r>
          </w:p>
        </w:tc>
        <w:tc>
          <w:tcPr>
            <w:tcW w:type="dxa" w:w="1152"/>
          </w:tcPr>
          <w:p>
            <w:pPr>
              <w:spacing w:line="240" w:lineRule="auto" w:after="40"/>
              <w:ind w:firstLine="0"/>
              <w:jc w:val="right"/>
            </w:pPr>
            <w:r>
              <w:rPr>
                <w:sz w:val="21"/>
              </w:rPr>
              <w:t>49.45</w:t>
            </w:r>
          </w:p>
        </w:tc>
        <w:tc>
          <w:tcPr>
            <w:tcW w:type="dxa" w:w="1296"/>
          </w:tcPr>
          <w:p>
            <w:pPr>
              <w:spacing w:line="240" w:lineRule="auto" w:after="40"/>
              <w:ind w:firstLine="0"/>
              <w:jc w:val="right"/>
            </w:pPr>
            <w:r>
              <w:rPr>
                <w:sz w:val="21"/>
              </w:rPr>
              <w:t>0.99816</w:t>
            </w:r>
          </w:p>
        </w:tc>
        <w:tc>
          <w:tcPr>
            <w:tcW w:type="dxa" w:w="1584"/>
          </w:tcPr>
          <w:p>
            <w:pPr>
              <w:spacing w:line="240" w:lineRule="auto" w:after="40"/>
              <w:ind w:firstLine="0"/>
              <w:jc w:val="right"/>
            </w:pPr>
            <w:r>
              <w:rPr>
                <w:sz w:val="21"/>
              </w:rPr>
              <w:t>2020–2024</w:t>
            </w:r>
          </w:p>
        </w:tc>
      </w:tr>
      <w:tr>
        <w:tc>
          <w:tcPr>
            <w:tcW w:type="dxa" w:w="576"/>
          </w:tcPr>
          <w:p>
            <w:pPr>
              <w:spacing w:line="240" w:lineRule="auto" w:after="40"/>
              <w:ind w:firstLine="0"/>
              <w:jc w:val="left"/>
            </w:pPr>
            <w:r>
              <w:rPr>
                <w:sz w:val="21"/>
              </w:rPr>
              <w:t>4</w:t>
            </w:r>
          </w:p>
        </w:tc>
        <w:tc>
          <w:tcPr>
            <w:tcW w:type="dxa" w:w="2448"/>
          </w:tcPr>
          <w:p>
            <w:pPr>
              <w:spacing w:line="240" w:lineRule="auto" w:after="40"/>
              <w:ind w:firstLine="0"/>
              <w:jc w:val="right"/>
            </w:pPr>
            <w:r>
              <w:rPr>
                <w:sz w:val="21"/>
              </w:rPr>
              <w:t>178210</w:t>
            </w:r>
          </w:p>
        </w:tc>
        <w:tc>
          <w:tcPr>
            <w:tcW w:type="dxa" w:w="1872"/>
          </w:tcPr>
          <w:p>
            <w:pPr>
              <w:spacing w:line="240" w:lineRule="auto" w:after="40"/>
              <w:ind w:firstLine="0"/>
              <w:jc w:val="right"/>
            </w:pPr>
            <w:r>
              <w:rPr>
                <w:sz w:val="21"/>
              </w:rPr>
              <w:t>Chhattīsgarh</w:t>
            </w:r>
          </w:p>
        </w:tc>
        <w:tc>
          <w:tcPr>
            <w:tcW w:type="dxa" w:w="1152"/>
          </w:tcPr>
          <w:p>
            <w:pPr>
              <w:spacing w:line="240" w:lineRule="auto" w:after="40"/>
              <w:ind w:firstLine="0"/>
              <w:jc w:val="right"/>
            </w:pPr>
            <w:r>
              <w:rPr>
                <w:sz w:val="21"/>
              </w:rPr>
              <w:t>8.75</w:t>
            </w:r>
          </w:p>
        </w:tc>
        <w:tc>
          <w:tcPr>
            <w:tcW w:type="dxa" w:w="1296"/>
          </w:tcPr>
          <w:p>
            <w:pPr>
              <w:spacing w:line="240" w:lineRule="auto" w:after="40"/>
              <w:ind w:firstLine="0"/>
              <w:jc w:val="right"/>
            </w:pPr>
            <w:r>
              <w:rPr>
                <w:sz w:val="21"/>
              </w:rPr>
              <w:t>0.99812</w:t>
            </w:r>
          </w:p>
        </w:tc>
        <w:tc>
          <w:tcPr>
            <w:tcW w:type="dxa" w:w="1584"/>
          </w:tcPr>
          <w:p>
            <w:pPr>
              <w:spacing w:line="240" w:lineRule="auto" w:after="40"/>
              <w:ind w:firstLine="0"/>
              <w:jc w:val="right"/>
            </w:pPr>
            <w:r>
              <w:rPr>
                <w:sz w:val="21"/>
              </w:rPr>
              <w:t>2020–2024</w:t>
            </w:r>
          </w:p>
        </w:tc>
      </w:tr>
      <w:tr>
        <w:tc>
          <w:tcPr>
            <w:tcW w:type="dxa" w:w="576"/>
            <w:tcBorders>
              <w:top w:val="nil"/>
              <w:bottom w:val="single" w:sz="6" w:color="000000"/>
            </w:tcBorders>
          </w:tcPr>
          <w:p>
            <w:pPr>
              <w:spacing w:line="240" w:lineRule="auto" w:after="40"/>
              <w:ind w:firstLine="0"/>
              <w:jc w:val="left"/>
            </w:pPr>
            <w:r>
              <w:rPr>
                <w:sz w:val="21"/>
              </w:rPr>
              <w:t>5</w:t>
            </w:r>
          </w:p>
        </w:tc>
        <w:tc>
          <w:tcPr>
            <w:tcW w:type="dxa" w:w="2448"/>
            <w:tcBorders>
              <w:top w:val="nil"/>
              <w:bottom w:val="single" w:sz="6" w:color="000000"/>
            </w:tcBorders>
          </w:tcPr>
          <w:p>
            <w:pPr>
              <w:spacing w:line="240" w:lineRule="auto" w:after="40"/>
              <w:ind w:firstLine="0"/>
              <w:jc w:val="right"/>
            </w:pPr>
            <w:r>
              <w:rPr>
                <w:sz w:val="21"/>
              </w:rPr>
              <w:t>15727</w:t>
            </w:r>
          </w:p>
        </w:tc>
        <w:tc>
          <w:tcPr>
            <w:tcW w:type="dxa" w:w="1872"/>
            <w:tcBorders>
              <w:top w:val="nil"/>
              <w:bottom w:val="single" w:sz="6" w:color="000000"/>
            </w:tcBorders>
          </w:tcPr>
          <w:p>
            <w:pPr>
              <w:spacing w:line="240" w:lineRule="auto" w:after="40"/>
              <w:ind w:firstLine="0"/>
              <w:jc w:val="right"/>
            </w:pPr>
            <w:r>
              <w:rPr>
                <w:sz w:val="21"/>
              </w:rPr>
              <w:t>Andhra Pradesh</w:t>
            </w:r>
          </w:p>
        </w:tc>
        <w:tc>
          <w:tcPr>
            <w:tcW w:type="dxa" w:w="1152"/>
            <w:tcBorders>
              <w:top w:val="nil"/>
              <w:bottom w:val="single" w:sz="6" w:color="000000"/>
            </w:tcBorders>
          </w:tcPr>
          <w:p>
            <w:pPr>
              <w:spacing w:line="240" w:lineRule="auto" w:after="40"/>
              <w:ind w:firstLine="0"/>
              <w:jc w:val="right"/>
            </w:pPr>
            <w:r>
              <w:rPr>
                <w:sz w:val="21"/>
              </w:rPr>
              <w:t>19.52</w:t>
            </w:r>
          </w:p>
        </w:tc>
        <w:tc>
          <w:tcPr>
            <w:tcW w:type="dxa" w:w="1296"/>
            <w:tcBorders>
              <w:top w:val="nil"/>
              <w:bottom w:val="single" w:sz="6" w:color="000000"/>
            </w:tcBorders>
          </w:tcPr>
          <w:p>
            <w:pPr>
              <w:spacing w:line="240" w:lineRule="auto" w:after="40"/>
              <w:ind w:firstLine="0"/>
              <w:jc w:val="right"/>
            </w:pPr>
            <w:r>
              <w:rPr>
                <w:sz w:val="21"/>
              </w:rPr>
              <w:t>0.99810</w:t>
            </w:r>
          </w:p>
        </w:tc>
        <w:tc>
          <w:tcPr>
            <w:tcW w:type="dxa" w:w="1584"/>
            <w:tcBorders>
              <w:top w:val="nil"/>
              <w:bottom w:val="single" w:sz="6" w:color="000000"/>
            </w:tcBorders>
          </w:tcPr>
          <w:p>
            <w:pPr>
              <w:spacing w:line="240" w:lineRule="auto" w:after="40"/>
              <w:ind w:firstLine="0"/>
              <w:jc w:val="right"/>
            </w:pPr>
            <w:r>
              <w:rPr>
                <w:sz w:val="21"/>
              </w:rPr>
              <w:t>2016–2020</w:t>
            </w:r>
          </w:p>
        </w:tc>
      </w:tr>
    </w:tbl>
    <w:p>
      <w:pPr>
        <w:pStyle w:val="APABodyNoIndent"/>
      </w:pPr>
    </w:p>
    <w:p>
      <w:pPr>
        <w:pStyle w:val="APABody"/>
      </w:pPr>
      <w:r>
        <w:t>The top analog is itself another large dam reservoir (Gandhisagar, on the Chambal), sharing Beas's man-made, regulated character. The two top-ranked analogs' matched windows both end at 2025 (the anchor year), so neither has an observed future to contribute; the twins actually used for forecasting are drawn from further down the ranked pool.</w:t>
      </w:r>
    </w:p>
    <w:p>
      <w:pPr>
        <w:pStyle w:val="APACaptionLabel"/>
      </w:pPr>
      <w:r>
        <w:t>Figure 18</w:t>
      </w:r>
    </w:p>
    <w:p>
      <w:pPr>
        <w:pStyle w:val="APACaptionTitle"/>
      </w:pPr>
      <w:r>
        <w:t>Beas's retrieved analogs in the live application.</w:t>
      </w:r>
    </w:p>
    <w:p>
      <w:pPr>
        <w:spacing w:line="240" w:lineRule="auto"/>
        <w:ind w:firstLine="0"/>
      </w:pPr>
      <w:r>
        <w:drawing>
          <wp:inline xmlns:a="http://schemas.openxmlformats.org/drawingml/2006/main" xmlns:pic="http://schemas.openxmlformats.org/drawingml/2006/picture">
            <wp:extent cx="4297680" cy="3183095"/>
            <wp:docPr id="18" name="Picture 18"/>
            <wp:cNvGraphicFramePr>
              <a:graphicFrameLocks noChangeAspect="1"/>
            </wp:cNvGraphicFramePr>
            <a:graphic>
              <a:graphicData uri="http://schemas.openxmlformats.org/drawingml/2006/picture">
                <pic:pic>
                  <pic:nvPicPr>
                    <pic:cNvPr id="0" name="Beas_analog.png"/>
                    <pic:cNvPicPr/>
                  </pic:nvPicPr>
                  <pic:blipFill>
                    <a:blip r:embed="rId27"/>
                    <a:stretch>
                      <a:fillRect/>
                    </a:stretch>
                  </pic:blipFill>
                  <pic:spPr>
                    <a:xfrm>
                      <a:off x="0" y="0"/>
                      <a:ext cx="4297680" cy="3183095"/>
                    </a:xfrm>
                    <a:prstGeom prst="rect"/>
                  </pic:spPr>
                </pic:pic>
              </a:graphicData>
            </a:graphic>
          </wp:inline>
        </w:drawing>
      </w:r>
    </w:p>
    <w:p>
      <w:pPr>
        <w:pStyle w:val="APABodyNoIndent"/>
      </w:pPr>
    </w:p>
    <w:p>
      <w:pPr>
        <w:pStyle w:val="APAH3"/>
      </w:pPr>
      <w:r>
        <w:t>Measured History</w:t>
      </w:r>
    </w:p>
    <w:p>
      <w:pPr>
        <w:pStyle w:val="APACaptionLabel"/>
      </w:pPr>
      <w:r>
        <w:t>Table 13</w:t>
      </w:r>
    </w:p>
    <w:p>
      <w:pPr>
        <w:pStyle w:val="APACaptionTitle"/>
      </w:pPr>
      <w:r>
        <w:t>Beas — measured index history, 2016–2025.</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337"/>
        <w:gridCol w:w="1337"/>
        <w:gridCol w:w="1337"/>
        <w:gridCol w:w="1337"/>
        <w:gridCol w:w="1337"/>
        <w:gridCol w:w="1337"/>
        <w:gridCol w:w="1337"/>
      </w:tblGrid>
      <w:tr>
        <w:tc>
          <w:tcPr>
            <w:tcW w:type="dxa" w:w="1872"/>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2016</w:t>
            </w:r>
          </w:p>
        </w:tc>
        <w:tc>
          <w:tcPr>
            <w:tcW w:type="dxa" w:w="1152"/>
            <w:tcBorders>
              <w:top w:val="single" w:sz="6" w:color="000000"/>
              <w:bottom w:val="single" w:sz="6" w:color="000000"/>
            </w:tcBorders>
          </w:tcPr>
          <w:p>
            <w:pPr>
              <w:spacing w:line="240" w:lineRule="auto" w:after="40"/>
              <w:ind w:firstLine="0"/>
              <w:jc w:val="left"/>
            </w:pPr>
            <w:r>
              <w:rPr>
                <w:sz w:val="21"/>
              </w:rPr>
              <w:t>2018</w:t>
            </w:r>
          </w:p>
        </w:tc>
        <w:tc>
          <w:tcPr>
            <w:tcW w:type="dxa" w:w="1152"/>
            <w:tcBorders>
              <w:top w:val="single" w:sz="6" w:color="000000"/>
              <w:bottom w:val="single" w:sz="6" w:color="000000"/>
            </w:tcBorders>
          </w:tcPr>
          <w:p>
            <w:pPr>
              <w:spacing w:line="240" w:lineRule="auto" w:after="40"/>
              <w:ind w:firstLine="0"/>
              <w:jc w:val="left"/>
            </w:pPr>
            <w:r>
              <w:rPr>
                <w:sz w:val="21"/>
              </w:rPr>
              <w:t>2020</w:t>
            </w:r>
          </w:p>
        </w:tc>
        <w:tc>
          <w:tcPr>
            <w:tcW w:type="dxa" w:w="1152"/>
            <w:tcBorders>
              <w:top w:val="single" w:sz="6" w:color="000000"/>
              <w:bottom w:val="single" w:sz="6" w:color="000000"/>
            </w:tcBorders>
          </w:tcPr>
          <w:p>
            <w:pPr>
              <w:spacing w:line="240" w:lineRule="auto" w:after="40"/>
              <w:ind w:firstLine="0"/>
              <w:jc w:val="left"/>
            </w:pPr>
            <w:r>
              <w:rPr>
                <w:sz w:val="21"/>
              </w:rPr>
              <w:t>2022</w:t>
            </w:r>
          </w:p>
        </w:tc>
        <w:tc>
          <w:tcPr>
            <w:tcW w:type="dxa" w:w="1152"/>
            <w:tcBorders>
              <w:top w:val="single" w:sz="6" w:color="000000"/>
              <w:bottom w:val="single" w:sz="6" w:color="000000"/>
            </w:tcBorders>
          </w:tcPr>
          <w:p>
            <w:pPr>
              <w:spacing w:line="240" w:lineRule="auto" w:after="40"/>
              <w:ind w:firstLine="0"/>
              <w:jc w:val="left"/>
            </w:pPr>
            <w:r>
              <w:rPr>
                <w:sz w:val="21"/>
              </w:rPr>
              <w:t>2024</w:t>
            </w:r>
          </w:p>
        </w:tc>
        <w:tc>
          <w:tcPr>
            <w:tcW w:type="dxa" w:w="1152"/>
            <w:tcBorders>
              <w:top w:val="single" w:sz="6" w:color="000000"/>
              <w:bottom w:val="single" w:sz="6" w:color="000000"/>
            </w:tcBorders>
          </w:tcPr>
          <w:p>
            <w:pPr>
              <w:spacing w:line="240" w:lineRule="auto" w:after="40"/>
              <w:ind w:firstLine="0"/>
              <w:jc w:val="left"/>
            </w:pPr>
            <w:r>
              <w:rPr>
                <w:sz w:val="21"/>
              </w:rPr>
              <w:t>2025</w:t>
            </w:r>
          </w:p>
        </w:tc>
      </w:tr>
      <w:tr>
        <w:tc>
          <w:tcPr>
            <w:tcW w:type="dxa" w:w="1872"/>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−0.0039</w:t>
            </w:r>
          </w:p>
        </w:tc>
        <w:tc>
          <w:tcPr>
            <w:tcW w:type="dxa" w:w="1152"/>
          </w:tcPr>
          <w:p>
            <w:pPr>
              <w:spacing w:line="240" w:lineRule="auto" w:after="40"/>
              <w:ind w:firstLine="0"/>
              <w:jc w:val="right"/>
            </w:pPr>
            <w:r>
              <w:rPr>
                <w:sz w:val="21"/>
              </w:rPr>
              <w:t>−0.0061</w:t>
            </w:r>
          </w:p>
        </w:tc>
        <w:tc>
          <w:tcPr>
            <w:tcW w:type="dxa" w:w="1152"/>
          </w:tcPr>
          <w:p>
            <w:pPr>
              <w:spacing w:line="240" w:lineRule="auto" w:after="40"/>
              <w:ind w:firstLine="0"/>
              <w:jc w:val="right"/>
            </w:pPr>
            <w:r>
              <w:rPr>
                <w:sz w:val="21"/>
              </w:rPr>
              <w:t>−0.0231</w:t>
            </w:r>
          </w:p>
        </w:tc>
        <w:tc>
          <w:tcPr>
            <w:tcW w:type="dxa" w:w="1152"/>
          </w:tcPr>
          <w:p>
            <w:pPr>
              <w:spacing w:line="240" w:lineRule="auto" w:after="40"/>
              <w:ind w:firstLine="0"/>
              <w:jc w:val="right"/>
            </w:pPr>
            <w:r>
              <w:rPr>
                <w:sz w:val="21"/>
              </w:rPr>
              <w:t>0.0589</w:t>
            </w:r>
          </w:p>
        </w:tc>
        <w:tc>
          <w:tcPr>
            <w:tcW w:type="dxa" w:w="1152"/>
          </w:tcPr>
          <w:p>
            <w:pPr>
              <w:spacing w:line="240" w:lineRule="auto" w:after="40"/>
              <w:ind w:firstLine="0"/>
              <w:jc w:val="right"/>
            </w:pPr>
            <w:r>
              <w:rPr>
                <w:sz w:val="21"/>
              </w:rPr>
              <w:t>−0.0021</w:t>
            </w:r>
          </w:p>
        </w:tc>
        <w:tc>
          <w:tcPr>
            <w:tcW w:type="dxa" w:w="1152"/>
          </w:tcPr>
          <w:p>
            <w:pPr>
              <w:spacing w:line="240" w:lineRule="auto" w:after="40"/>
              <w:ind w:firstLine="0"/>
              <w:jc w:val="right"/>
            </w:pPr>
            <w:r>
              <w:rPr>
                <w:sz w:val="21"/>
              </w:rPr>
              <w:t>0.0208</w:t>
            </w:r>
          </w:p>
        </w:tc>
      </w:tr>
      <w:tr>
        <w:tc>
          <w:tcPr>
            <w:tcW w:type="dxa" w:w="1872"/>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−0.0996</w:t>
            </w:r>
          </w:p>
        </w:tc>
        <w:tc>
          <w:tcPr>
            <w:tcW w:type="dxa" w:w="1152"/>
          </w:tcPr>
          <w:p>
            <w:pPr>
              <w:spacing w:line="240" w:lineRule="auto" w:after="40"/>
              <w:ind w:firstLine="0"/>
              <w:jc w:val="right"/>
            </w:pPr>
            <w:r>
              <w:rPr>
                <w:sz w:val="21"/>
              </w:rPr>
              <w:t>−0.0818</w:t>
            </w:r>
          </w:p>
        </w:tc>
        <w:tc>
          <w:tcPr>
            <w:tcW w:type="dxa" w:w="1152"/>
          </w:tcPr>
          <w:p>
            <w:pPr>
              <w:spacing w:line="240" w:lineRule="auto" w:after="40"/>
              <w:ind w:firstLine="0"/>
              <w:jc w:val="right"/>
            </w:pPr>
            <w:r>
              <w:rPr>
                <w:sz w:val="21"/>
              </w:rPr>
              <w:t>−0.1595</w:t>
            </w:r>
          </w:p>
        </w:tc>
        <w:tc>
          <w:tcPr>
            <w:tcW w:type="dxa" w:w="1152"/>
          </w:tcPr>
          <w:p>
            <w:pPr>
              <w:spacing w:line="240" w:lineRule="auto" w:after="40"/>
              <w:ind w:firstLine="0"/>
              <w:jc w:val="right"/>
            </w:pPr>
            <w:r>
              <w:rPr>
                <w:sz w:val="21"/>
              </w:rPr>
              <w:t>0.0749</w:t>
            </w:r>
          </w:p>
        </w:tc>
        <w:tc>
          <w:tcPr>
            <w:tcW w:type="dxa" w:w="1152"/>
          </w:tcPr>
          <w:p>
            <w:pPr>
              <w:spacing w:line="240" w:lineRule="auto" w:after="40"/>
              <w:ind w:firstLine="0"/>
              <w:jc w:val="right"/>
            </w:pPr>
            <w:r>
              <w:rPr>
                <w:sz w:val="21"/>
              </w:rPr>
              <w:t>−0.1185</w:t>
            </w:r>
          </w:p>
        </w:tc>
        <w:tc>
          <w:tcPr>
            <w:tcW w:type="dxa" w:w="1152"/>
          </w:tcPr>
          <w:p>
            <w:pPr>
              <w:spacing w:line="240" w:lineRule="auto" w:after="40"/>
              <w:ind w:firstLine="0"/>
              <w:jc w:val="right"/>
            </w:pPr>
            <w:r>
              <w:rPr>
                <w:sz w:val="21"/>
              </w:rPr>
              <w:t>−0.2293</w:t>
            </w:r>
          </w:p>
        </w:tc>
      </w:tr>
      <w:tr>
        <w:tc>
          <w:tcPr>
            <w:tcW w:type="dxa" w:w="1872"/>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0.2673</w:t>
            </w:r>
          </w:p>
        </w:tc>
        <w:tc>
          <w:tcPr>
            <w:tcW w:type="dxa" w:w="1152"/>
          </w:tcPr>
          <w:p>
            <w:pPr>
              <w:spacing w:line="240" w:lineRule="auto" w:after="40"/>
              <w:ind w:firstLine="0"/>
              <w:jc w:val="right"/>
            </w:pPr>
            <w:r>
              <w:rPr>
                <w:sz w:val="21"/>
              </w:rPr>
              <w:t>0.2647</w:t>
            </w:r>
          </w:p>
        </w:tc>
        <w:tc>
          <w:tcPr>
            <w:tcW w:type="dxa" w:w="1152"/>
          </w:tcPr>
          <w:p>
            <w:pPr>
              <w:spacing w:line="240" w:lineRule="auto" w:after="40"/>
              <w:ind w:firstLine="0"/>
              <w:jc w:val="right"/>
            </w:pPr>
            <w:r>
              <w:rPr>
                <w:sz w:val="21"/>
              </w:rPr>
              <w:t>0.3680</w:t>
            </w:r>
          </w:p>
        </w:tc>
        <w:tc>
          <w:tcPr>
            <w:tcW w:type="dxa" w:w="1152"/>
          </w:tcPr>
          <w:p>
            <w:pPr>
              <w:spacing w:line="240" w:lineRule="auto" w:after="40"/>
              <w:ind w:firstLine="0"/>
              <w:jc w:val="right"/>
            </w:pPr>
            <w:r>
              <w:rPr>
                <w:sz w:val="21"/>
              </w:rPr>
              <w:t>0.1325</w:t>
            </w:r>
          </w:p>
        </w:tc>
        <w:tc>
          <w:tcPr>
            <w:tcW w:type="dxa" w:w="1152"/>
          </w:tcPr>
          <w:p>
            <w:pPr>
              <w:spacing w:line="240" w:lineRule="auto" w:after="40"/>
              <w:ind w:firstLine="0"/>
              <w:jc w:val="right"/>
            </w:pPr>
            <w:r>
              <w:rPr>
                <w:sz w:val="21"/>
              </w:rPr>
              <w:t>0.2746</w:t>
            </w:r>
          </w:p>
        </w:tc>
        <w:tc>
          <w:tcPr>
            <w:tcW w:type="dxa" w:w="1152"/>
          </w:tcPr>
          <w:p>
            <w:pPr>
              <w:spacing w:line="240" w:lineRule="auto" w:after="40"/>
              <w:ind w:firstLine="0"/>
              <w:jc w:val="right"/>
            </w:pPr>
            <w:r>
              <w:rPr>
                <w:sz w:val="21"/>
              </w:rPr>
              <w:t>0.3733</w:t>
            </w:r>
          </w:p>
        </w:tc>
      </w:tr>
      <w:tr>
        <w:tc>
          <w:tcPr>
            <w:tcW w:type="dxa" w:w="1872"/>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−0.1723</w:t>
            </w:r>
          </w:p>
        </w:tc>
        <w:tc>
          <w:tcPr>
            <w:tcW w:type="dxa" w:w="1152"/>
          </w:tcPr>
          <w:p>
            <w:pPr>
              <w:spacing w:line="240" w:lineRule="auto" w:after="40"/>
              <w:ind w:firstLine="0"/>
              <w:jc w:val="right"/>
            </w:pPr>
            <w:r>
              <w:rPr>
                <w:sz w:val="21"/>
              </w:rPr>
              <w:t>−0.1870</w:t>
            </w:r>
          </w:p>
        </w:tc>
        <w:tc>
          <w:tcPr>
            <w:tcW w:type="dxa" w:w="1152"/>
          </w:tcPr>
          <w:p>
            <w:pPr>
              <w:spacing w:line="240" w:lineRule="auto" w:after="40"/>
              <w:ind w:firstLine="0"/>
              <w:jc w:val="right"/>
            </w:pPr>
            <w:r>
              <w:rPr>
                <w:sz w:val="21"/>
              </w:rPr>
              <w:t>−0.2215</w:t>
            </w:r>
          </w:p>
        </w:tc>
        <w:tc>
          <w:tcPr>
            <w:tcW w:type="dxa" w:w="1152"/>
          </w:tcPr>
          <w:p>
            <w:pPr>
              <w:spacing w:line="240" w:lineRule="auto" w:after="40"/>
              <w:ind w:firstLine="0"/>
              <w:jc w:val="right"/>
            </w:pPr>
            <w:r>
              <w:rPr>
                <w:sz w:val="21"/>
              </w:rPr>
              <w:t>−0.2054</w:t>
            </w:r>
          </w:p>
        </w:tc>
        <w:tc>
          <w:tcPr>
            <w:tcW w:type="dxa" w:w="1152"/>
          </w:tcPr>
          <w:p>
            <w:pPr>
              <w:spacing w:line="240" w:lineRule="auto" w:after="40"/>
              <w:ind w:firstLine="0"/>
              <w:jc w:val="right"/>
            </w:pPr>
            <w:r>
              <w:rPr>
                <w:sz w:val="21"/>
              </w:rPr>
              <w:t>−0.1614</w:t>
            </w:r>
          </w:p>
        </w:tc>
        <w:tc>
          <w:tcPr>
            <w:tcW w:type="dxa" w:w="1152"/>
          </w:tcPr>
          <w:p>
            <w:pPr>
              <w:spacing w:line="240" w:lineRule="auto" w:after="40"/>
              <w:ind w:firstLine="0"/>
              <w:jc w:val="right"/>
            </w:pPr>
            <w:r>
              <w:rPr>
                <w:sz w:val="21"/>
              </w:rPr>
              <w:t>−0.1574</w:t>
            </w:r>
          </w:p>
        </w:tc>
      </w:tr>
      <w:tr>
        <w:tc>
          <w:tcPr>
            <w:tcW w:type="dxa" w:w="1872"/>
            <w:tcBorders>
              <w:top w:val="nil"/>
              <w:bottom w:val="single" w:sz="6" w:color="000000"/>
            </w:tcBorders>
          </w:tcPr>
          <w:p>
            <w:pPr>
              <w:spacing w:line="240" w:lineRule="auto" w:after="40"/>
              <w:ind w:firstLine="0"/>
              <w:jc w:val="left"/>
            </w:pPr>
            <w:r>
              <w:rPr>
                <w:sz w:val="21"/>
              </w:rPr>
              <w:t>Red-edge slope</w:t>
            </w:r>
          </w:p>
        </w:tc>
        <w:tc>
          <w:tcPr>
            <w:tcW w:type="dxa" w:w="1152"/>
            <w:tcBorders>
              <w:top w:val="nil"/>
              <w:bottom w:val="single" w:sz="6" w:color="000000"/>
            </w:tcBorders>
          </w:tcPr>
          <w:p>
            <w:pPr>
              <w:spacing w:line="240" w:lineRule="auto" w:after="40"/>
              <w:ind w:firstLine="0"/>
              <w:jc w:val="right"/>
            </w:pPr>
            <w:r>
              <w:rPr>
                <w:sz w:val="21"/>
              </w:rPr>
              <w:t>−0.8025</w:t>
            </w:r>
          </w:p>
        </w:tc>
        <w:tc>
          <w:tcPr>
            <w:tcW w:type="dxa" w:w="1152"/>
            <w:tcBorders>
              <w:top w:val="nil"/>
              <w:bottom w:val="single" w:sz="6" w:color="000000"/>
            </w:tcBorders>
          </w:tcPr>
          <w:p>
            <w:pPr>
              <w:spacing w:line="240" w:lineRule="auto" w:after="40"/>
              <w:ind w:firstLine="0"/>
              <w:jc w:val="right"/>
            </w:pPr>
            <w:r>
              <w:rPr>
                <w:sz w:val="21"/>
              </w:rPr>
              <w:t>−0.7993</w:t>
            </w:r>
          </w:p>
        </w:tc>
        <w:tc>
          <w:tcPr>
            <w:tcW w:type="dxa" w:w="1152"/>
            <w:tcBorders>
              <w:top w:val="nil"/>
              <w:bottom w:val="single" w:sz="6" w:color="000000"/>
            </w:tcBorders>
          </w:tcPr>
          <w:p>
            <w:pPr>
              <w:spacing w:line="240" w:lineRule="auto" w:after="40"/>
              <w:ind w:firstLine="0"/>
              <w:jc w:val="right"/>
            </w:pPr>
            <w:r>
              <w:rPr>
                <w:sz w:val="21"/>
              </w:rPr>
              <w:t>−0.5696</w:t>
            </w:r>
          </w:p>
        </w:tc>
        <w:tc>
          <w:tcPr>
            <w:tcW w:type="dxa" w:w="1152"/>
            <w:tcBorders>
              <w:top w:val="nil"/>
              <w:bottom w:val="single" w:sz="6" w:color="000000"/>
            </w:tcBorders>
          </w:tcPr>
          <w:p>
            <w:pPr>
              <w:spacing w:line="240" w:lineRule="auto" w:after="40"/>
              <w:ind w:firstLine="0"/>
              <w:jc w:val="right"/>
            </w:pPr>
            <w:r>
              <w:rPr>
                <w:sz w:val="21"/>
              </w:rPr>
              <w:t>0.2272</w:t>
            </w:r>
          </w:p>
        </w:tc>
        <w:tc>
          <w:tcPr>
            <w:tcW w:type="dxa" w:w="1152"/>
            <w:tcBorders>
              <w:top w:val="nil"/>
              <w:bottom w:val="single" w:sz="6" w:color="000000"/>
            </w:tcBorders>
          </w:tcPr>
          <w:p>
            <w:pPr>
              <w:spacing w:line="240" w:lineRule="auto" w:after="40"/>
              <w:ind w:firstLine="0"/>
              <w:jc w:val="right"/>
            </w:pPr>
            <w:r>
              <w:rPr>
                <w:sz w:val="21"/>
              </w:rPr>
              <w:t>−0.9782</w:t>
            </w:r>
          </w:p>
        </w:tc>
        <w:tc>
          <w:tcPr>
            <w:tcW w:type="dxa" w:w="1152"/>
            <w:tcBorders>
              <w:top w:val="nil"/>
              <w:bottom w:val="single" w:sz="6" w:color="000000"/>
            </w:tcBorders>
          </w:tcPr>
          <w:p>
            <w:pPr>
              <w:spacing w:line="240" w:lineRule="auto" w:after="40"/>
              <w:ind w:firstLine="0"/>
              <w:jc w:val="right"/>
            </w:pPr>
            <w:r>
              <w:rPr>
                <w:sz w:val="21"/>
              </w:rPr>
              <w:t>−2.8268</w:t>
            </w:r>
          </w:p>
        </w:tc>
      </w:tr>
    </w:tbl>
    <w:p>
      <w:pPr>
        <w:pStyle w:val="APABodyNoIndent"/>
      </w:pPr>
    </w:p>
    <w:p>
      <w:pPr>
        <w:pStyle w:val="APACaptionLabel"/>
      </w:pPr>
      <w:r>
        <w:t>Figure 19</w:t>
      </w:r>
    </w:p>
    <w:p>
      <w:pPr>
        <w:pStyle w:val="APACaptionTitle"/>
      </w:pPr>
      <w:r>
        <w:t>Beas — measured index trajectory, 2016–2025.</w:t>
      </w:r>
    </w:p>
    <w:p>
      <w:pPr>
        <w:spacing w:line="240" w:lineRule="auto"/>
        <w:ind w:firstLine="0"/>
      </w:pPr>
      <w:r>
        <w:drawing>
          <wp:inline xmlns:a="http://schemas.openxmlformats.org/drawingml/2006/main" xmlns:pic="http://schemas.openxmlformats.org/drawingml/2006/picture">
            <wp:extent cx="5120640" cy="2299638"/>
            <wp:docPr id="19" name="Picture 19"/>
            <wp:cNvGraphicFramePr>
              <a:graphicFrameLocks noChangeAspect="1"/>
            </wp:cNvGraphicFramePr>
            <a:graphic>
              <a:graphicData uri="http://schemas.openxmlformats.org/drawingml/2006/picture">
                <pic:pic>
                  <pic:nvPicPr>
                    <pic:cNvPr id="0" name="beas_hist_chart.png"/>
                    <pic:cNvPicPr/>
                  </pic:nvPicPr>
                  <pic:blipFill>
                    <a:blip r:embed="rId28"/>
                    <a:stretch>
                      <a:fillRect/>
                    </a:stretch>
                  </pic:blipFill>
                  <pic:spPr>
                    <a:xfrm>
                      <a:off x="0" y="0"/>
                      <a:ext cx="5120640" cy="2299638"/>
                    </a:xfrm>
                    <a:prstGeom prst="rect"/>
                  </pic:spPr>
                </pic:pic>
              </a:graphicData>
            </a:graphic>
          </wp:inline>
        </w:drawing>
      </w:r>
    </w:p>
    <w:p>
      <w:pPr>
        <w:pStyle w:val="APABodyNoIndent"/>
      </w:pPr>
    </w:p>
    <w:p>
      <w:pPr>
        <w:pStyle w:val="APABody"/>
      </w:pPr>
      <w:r>
        <w:t>Beas shows no sustained directional trend: NDVI oscillates between roughly −0.23 and +0.07 and NDWI between 0.13 and 0.41 with no monotone drift, consistent with a reservoir whose surface extent is driven by dam operations (seasonal drawdown and refill for irrigation and hydropower) rather than by a one-way ecological process. The red-edge slope is the most volatile series measured anywhere in this study, swinging from +0.23 in 2022 to −2.83 in 2025 — a signal to read cautiously rather than as a pigment trend, since it is exactly the kind of index a fluctuating reservoir shoreline can perturb independently of vegetation health.</w:t>
      </w:r>
    </w:p>
    <w:p>
      <w:pPr>
        <w:pStyle w:val="APAH3"/>
      </w:pPr>
      <w:r>
        <w:t>Forecast</w:t>
      </w:r>
    </w:p>
    <w:p>
      <w:pPr>
        <w:pStyle w:val="APACaptionLabel"/>
      </w:pPr>
      <w:r>
        <w:t>Table 14</w:t>
      </w:r>
    </w:p>
    <w:p>
      <w:pPr>
        <w:pStyle w:val="APACaptionTitle"/>
      </w:pPr>
      <w:r>
        <w:t>Beas — directional forecast 2026–2028.</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c>
          <w:tcPr>
            <w:tcW w:type="dxa" w:w="1440"/>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2025</w:t>
            </w:r>
          </w:p>
        </w:tc>
        <w:tc>
          <w:tcPr>
            <w:tcW w:type="dxa" w:w="2160"/>
            <w:tcBorders>
              <w:top w:val="single" w:sz="6" w:color="000000"/>
              <w:bottom w:val="single" w:sz="6" w:color="000000"/>
            </w:tcBorders>
          </w:tcPr>
          <w:p>
            <w:pPr>
              <w:spacing w:line="240" w:lineRule="auto" w:after="40"/>
              <w:ind w:firstLine="0"/>
              <w:jc w:val="left"/>
            </w:pPr>
            <w:r>
              <w:rPr>
                <w:sz w:val="21"/>
              </w:rPr>
              <w:t>2026</w:t>
            </w:r>
          </w:p>
        </w:tc>
        <w:tc>
          <w:tcPr>
            <w:tcW w:type="dxa" w:w="2160"/>
            <w:tcBorders>
              <w:top w:val="single" w:sz="6" w:color="000000"/>
              <w:bottom w:val="single" w:sz="6" w:color="000000"/>
            </w:tcBorders>
          </w:tcPr>
          <w:p>
            <w:pPr>
              <w:spacing w:line="240" w:lineRule="auto" w:after="40"/>
              <w:ind w:firstLine="0"/>
              <w:jc w:val="left"/>
            </w:pPr>
            <w:r>
              <w:rPr>
                <w:sz w:val="21"/>
              </w:rPr>
              <w:t>2027</w:t>
            </w:r>
          </w:p>
        </w:tc>
        <w:tc>
          <w:tcPr>
            <w:tcW w:type="dxa" w:w="2160"/>
            <w:tcBorders>
              <w:top w:val="single" w:sz="6" w:color="000000"/>
              <w:bottom w:val="single" w:sz="6" w:color="000000"/>
            </w:tcBorders>
          </w:tcPr>
          <w:p>
            <w:pPr>
              <w:spacing w:line="240" w:lineRule="auto" w:after="40"/>
              <w:ind w:firstLine="0"/>
              <w:jc w:val="left"/>
            </w:pPr>
            <w:r>
              <w:rPr>
                <w:sz w:val="21"/>
              </w:rPr>
              <w:t>2028</w:t>
            </w:r>
          </w:p>
        </w:tc>
      </w:tr>
      <w:tr>
        <w:tc>
          <w:tcPr>
            <w:tcW w:type="dxa" w:w="1440"/>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0.0208</w:t>
            </w:r>
          </w:p>
        </w:tc>
        <w:tc>
          <w:tcPr>
            <w:tcW w:type="dxa" w:w="2160"/>
          </w:tcPr>
          <w:p>
            <w:pPr>
              <w:spacing w:line="240" w:lineRule="auto" w:after="40"/>
              <w:ind w:firstLine="0"/>
              <w:jc w:val="right"/>
            </w:pPr>
            <w:r>
              <w:rPr>
                <w:sz w:val="21"/>
              </w:rPr>
              <w:t>↓ (−0.0276, n=5)</w:t>
            </w:r>
          </w:p>
        </w:tc>
        <w:tc>
          <w:tcPr>
            <w:tcW w:type="dxa" w:w="2160"/>
          </w:tcPr>
          <w:p>
            <w:pPr>
              <w:spacing w:line="240" w:lineRule="auto" w:after="40"/>
              <w:ind w:firstLine="0"/>
              <w:jc w:val="right"/>
            </w:pPr>
            <w:r>
              <w:rPr>
                <w:sz w:val="21"/>
              </w:rPr>
              <w:t>? (n=1)</w:t>
            </w:r>
          </w:p>
        </w:tc>
        <w:tc>
          <w:tcPr>
            <w:tcW w:type="dxa" w:w="2160"/>
          </w:tcPr>
          <w:p>
            <w:pPr>
              <w:spacing w:line="240" w:lineRule="auto" w:after="40"/>
              <w:ind w:firstLine="0"/>
              <w:jc w:val="right"/>
            </w:pPr>
            <w:r>
              <w:rPr>
                <w:sz w:val="21"/>
              </w:rPr>
              <w:t>? (n=1)</w:t>
            </w:r>
          </w:p>
        </w:tc>
      </w:tr>
      <w:tr>
        <w:tc>
          <w:tcPr>
            <w:tcW w:type="dxa" w:w="1440"/>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−0.2293</w:t>
            </w:r>
          </w:p>
        </w:tc>
        <w:tc>
          <w:tcPr>
            <w:tcW w:type="dxa" w:w="2160"/>
          </w:tcPr>
          <w:p>
            <w:pPr>
              <w:spacing w:line="240" w:lineRule="auto" w:after="40"/>
              <w:ind w:firstLine="0"/>
              <w:jc w:val="right"/>
            </w:pPr>
            <w:r>
              <w:rPr>
                <w:sz w:val="21"/>
              </w:rPr>
              <w:t>↑ (+0.0123, n=5)</w:t>
            </w:r>
          </w:p>
        </w:tc>
        <w:tc>
          <w:tcPr>
            <w:tcW w:type="dxa" w:w="2160"/>
          </w:tcPr>
          <w:p>
            <w:pPr>
              <w:spacing w:line="240" w:lineRule="auto" w:after="40"/>
              <w:ind w:firstLine="0"/>
              <w:jc w:val="right"/>
            </w:pPr>
            <w:r>
              <w:rPr>
                <w:sz w:val="21"/>
              </w:rPr>
              <w:t>? (n=1)</w:t>
            </w:r>
          </w:p>
        </w:tc>
        <w:tc>
          <w:tcPr>
            <w:tcW w:type="dxa" w:w="2160"/>
          </w:tcPr>
          <w:p>
            <w:pPr>
              <w:spacing w:line="240" w:lineRule="auto" w:after="40"/>
              <w:ind w:firstLine="0"/>
              <w:jc w:val="right"/>
            </w:pPr>
            <w:r>
              <w:rPr>
                <w:sz w:val="21"/>
              </w:rPr>
              <w:t>? (n=1)</w:t>
            </w:r>
          </w:p>
        </w:tc>
      </w:tr>
      <w:tr>
        <w:tc>
          <w:tcPr>
            <w:tcW w:type="dxa" w:w="1440"/>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0.3733</w:t>
            </w:r>
          </w:p>
        </w:tc>
        <w:tc>
          <w:tcPr>
            <w:tcW w:type="dxa" w:w="2160"/>
          </w:tcPr>
          <w:p>
            <w:pPr>
              <w:spacing w:line="240" w:lineRule="auto" w:after="40"/>
              <w:ind w:firstLine="0"/>
              <w:jc w:val="right"/>
            </w:pPr>
            <w:r>
              <w:rPr>
                <w:sz w:val="21"/>
              </w:rPr>
              <w:t>→ (−0.0006, n=5)</w:t>
            </w:r>
          </w:p>
        </w:tc>
        <w:tc>
          <w:tcPr>
            <w:tcW w:type="dxa" w:w="2160"/>
          </w:tcPr>
          <w:p>
            <w:pPr>
              <w:spacing w:line="240" w:lineRule="auto" w:after="40"/>
              <w:ind w:firstLine="0"/>
              <w:jc w:val="right"/>
            </w:pPr>
            <w:r>
              <w:rPr>
                <w:sz w:val="21"/>
              </w:rPr>
              <w:t>? (n=1)</w:t>
            </w:r>
          </w:p>
        </w:tc>
        <w:tc>
          <w:tcPr>
            <w:tcW w:type="dxa" w:w="2160"/>
          </w:tcPr>
          <w:p>
            <w:pPr>
              <w:spacing w:line="240" w:lineRule="auto" w:after="40"/>
              <w:ind w:firstLine="0"/>
              <w:jc w:val="right"/>
            </w:pPr>
            <w:r>
              <w:rPr>
                <w:sz w:val="21"/>
              </w:rPr>
              <w:t>? (n=1)</w:t>
            </w:r>
          </w:p>
        </w:tc>
      </w:tr>
      <w:tr>
        <w:tc>
          <w:tcPr>
            <w:tcW w:type="dxa" w:w="1440"/>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−0.1574</w:t>
            </w:r>
          </w:p>
        </w:tc>
        <w:tc>
          <w:tcPr>
            <w:tcW w:type="dxa" w:w="2160"/>
          </w:tcPr>
          <w:p>
            <w:pPr>
              <w:spacing w:line="240" w:lineRule="auto" w:after="40"/>
              <w:ind w:firstLine="0"/>
              <w:jc w:val="right"/>
            </w:pPr>
            <w:r>
              <w:rPr>
                <w:sz w:val="21"/>
              </w:rPr>
              <w:t>↓ (−0.0118, n=5)</w:t>
            </w:r>
          </w:p>
        </w:tc>
        <w:tc>
          <w:tcPr>
            <w:tcW w:type="dxa" w:w="2160"/>
          </w:tcPr>
          <w:p>
            <w:pPr>
              <w:spacing w:line="240" w:lineRule="auto" w:after="40"/>
              <w:ind w:firstLine="0"/>
              <w:jc w:val="right"/>
            </w:pPr>
            <w:r>
              <w:rPr>
                <w:sz w:val="21"/>
              </w:rPr>
              <w:t>? (n=1)</w:t>
            </w:r>
          </w:p>
        </w:tc>
        <w:tc>
          <w:tcPr>
            <w:tcW w:type="dxa" w:w="2160"/>
          </w:tcPr>
          <w:p>
            <w:pPr>
              <w:spacing w:line="240" w:lineRule="auto" w:after="40"/>
              <w:ind w:firstLine="0"/>
              <w:jc w:val="right"/>
            </w:pPr>
            <w:r>
              <w:rPr>
                <w:sz w:val="21"/>
              </w:rPr>
              <w:t>? (n=1)</w:t>
            </w:r>
          </w:p>
        </w:tc>
      </w:tr>
      <w:tr>
        <w:tc>
          <w:tcPr>
            <w:tcW w:type="dxa" w:w="1440"/>
            <w:tcBorders>
              <w:top w:val="nil"/>
              <w:bottom w:val="single" w:sz="6" w:color="000000"/>
            </w:tcBorders>
          </w:tcPr>
          <w:p>
            <w:pPr>
              <w:spacing w:line="240" w:lineRule="auto" w:after="40"/>
              <w:ind w:firstLine="0"/>
              <w:jc w:val="left"/>
            </w:pPr>
            <w:r>
              <w:rPr>
                <w:sz w:val="21"/>
              </w:rPr>
              <w:t>Red-edge</w:t>
            </w:r>
          </w:p>
        </w:tc>
        <w:tc>
          <w:tcPr>
            <w:tcW w:type="dxa" w:w="1152"/>
            <w:tcBorders>
              <w:top w:val="nil"/>
              <w:bottom w:val="single" w:sz="6" w:color="000000"/>
            </w:tcBorders>
          </w:tcPr>
          <w:p>
            <w:pPr>
              <w:spacing w:line="240" w:lineRule="auto" w:after="40"/>
              <w:ind w:firstLine="0"/>
              <w:jc w:val="right"/>
            </w:pPr>
            <w:r>
              <w:rPr>
                <w:sz w:val="21"/>
              </w:rPr>
              <w:t>−2.8268</w:t>
            </w:r>
          </w:p>
        </w:tc>
        <w:tc>
          <w:tcPr>
            <w:tcW w:type="dxa" w:w="2160"/>
            <w:tcBorders>
              <w:top w:val="nil"/>
              <w:bottom w:val="single" w:sz="6" w:color="000000"/>
            </w:tcBorders>
          </w:tcPr>
          <w:p>
            <w:pPr>
              <w:spacing w:line="240" w:lineRule="auto" w:after="40"/>
              <w:ind w:firstLine="0"/>
              <w:jc w:val="right"/>
            </w:pPr>
            <w:r>
              <w:rPr>
                <w:sz w:val="21"/>
              </w:rPr>
              <w:t>↑ (+0.5993, n=5)</w:t>
            </w:r>
          </w:p>
        </w:tc>
        <w:tc>
          <w:tcPr>
            <w:tcW w:type="dxa" w:w="2160"/>
            <w:tcBorders>
              <w:top w:val="nil"/>
              <w:bottom w:val="single" w:sz="6" w:color="000000"/>
            </w:tcBorders>
          </w:tcPr>
          <w:p>
            <w:pPr>
              <w:spacing w:line="240" w:lineRule="auto" w:after="40"/>
              <w:ind w:firstLine="0"/>
              <w:jc w:val="right"/>
            </w:pPr>
            <w:r>
              <w:rPr>
                <w:sz w:val="21"/>
              </w:rPr>
              <w:t>? (n=1)</w:t>
            </w:r>
          </w:p>
        </w:tc>
        <w:tc>
          <w:tcPr>
            <w:tcW w:type="dxa" w:w="2160"/>
            <w:tcBorders>
              <w:top w:val="nil"/>
              <w:bottom w:val="single" w:sz="6" w:color="000000"/>
            </w:tcBorders>
          </w:tcPr>
          <w:p>
            <w:pPr>
              <w:spacing w:line="240" w:lineRule="auto" w:after="40"/>
              <w:ind w:firstLine="0"/>
              <w:jc w:val="right"/>
            </w:pPr>
            <w:r>
              <w:rPr>
                <w:sz w:val="21"/>
              </w:rPr>
              <w:t>? (n=1)</w:t>
            </w:r>
          </w:p>
        </w:tc>
      </w:tr>
    </w:tbl>
    <w:p>
      <w:pPr>
        <w:pStyle w:val="APABodyNoIndent"/>
      </w:pPr>
    </w:p>
    <w:p>
      <w:pPr>
        <w:pStyle w:val="APACaptionLabel"/>
      </w:pPr>
      <w:r>
        <w:t>Figure 20</w:t>
      </w:r>
    </w:p>
    <w:p>
      <w:pPr>
        <w:pStyle w:val="APACaptionTitle"/>
      </w:pPr>
      <w:r>
        <w:t>Beas — projected index trajectory, 2025–2028.</w:t>
      </w:r>
    </w:p>
    <w:p>
      <w:pPr>
        <w:spacing w:line="240" w:lineRule="auto"/>
        <w:ind w:firstLine="0"/>
      </w:pPr>
      <w:r>
        <w:drawing>
          <wp:inline xmlns:a="http://schemas.openxmlformats.org/drawingml/2006/main" xmlns:pic="http://schemas.openxmlformats.org/drawingml/2006/picture">
            <wp:extent cx="3840480" cy="2180815"/>
            <wp:docPr id="20" name="Picture 20"/>
            <wp:cNvGraphicFramePr>
              <a:graphicFrameLocks noChangeAspect="1"/>
            </wp:cNvGraphicFramePr>
            <a:graphic>
              <a:graphicData uri="http://schemas.openxmlformats.org/drawingml/2006/picture">
                <pic:pic>
                  <pic:nvPicPr>
                    <pic:cNvPr id="0" name="beas_fc_chart.png"/>
                    <pic:cNvPicPr/>
                  </pic:nvPicPr>
                  <pic:blipFill>
                    <a:blip r:embed="rId29"/>
                    <a:stretch>
                      <a:fillRect/>
                    </a:stretch>
                  </pic:blipFill>
                  <pic:spPr>
                    <a:xfrm>
                      <a:off x="0" y="0"/>
                      <a:ext cx="3840480" cy="2180815"/>
                    </a:xfrm>
                    <a:prstGeom prst="rect"/>
                  </pic:spPr>
                </pic:pic>
              </a:graphicData>
            </a:graphic>
          </wp:inline>
        </w:drawing>
      </w:r>
    </w:p>
    <w:p>
      <w:pPr>
        <w:pStyle w:val="APABodyNoIndent"/>
      </w:pPr>
    </w:p>
    <w:p>
      <w:pPr>
        <w:pStyle w:val="APAH3"/>
      </w:pPr>
      <w:r>
        <w:t>Interpretation</w:t>
      </w:r>
    </w:p>
    <w:p>
      <w:pPr>
        <w:pStyle w:val="APABody"/>
      </w:pPr>
      <w:r>
        <w:t xml:space="preserve">Beas shows the most confidence degradation in the study: four of its five twins matched on windows ending in 2024, leaving only 2026 (h=1) with all five contributing (n=5,1,1), so 2027/2028 are correctly reported as </w:t>
      </w:r>
      <w:r>
        <w:rPr>
          <w:i/>
        </w:rPr>
        <w:t>uncertain</w:t>
      </w:r>
      <w:r>
        <w:t xml:space="preserve"> rather than resting on one lake's trajectory. The 2026 read is mild: NDCI down, NDVI and red-edge up, NDWI essentially flat.</w:t>
      </w:r>
    </w:p>
    <w:p>
      <w:pPr>
        <w:pStyle w:val="APAH3"/>
      </w:pPr>
      <w:r>
        <w:t>Documented Condition</w:t>
      </w:r>
    </w:p>
    <w:p>
      <w:pPr>
        <w:pStyle w:val="APABody"/>
      </w:pPr>
      <w:r>
        <w:t>Public documentation of Maharana Pratap Sagar (Pong Dam Lake) centres on its status as a Ramsar-designated bird sanctuary and a multi-use reservoir combining fishery and hydroelectric generation (Ramsar Convention Secretariat, 2002; Wikipedia, n.d.). No published account of a directional trend specific to this reservoir was found — consistent with, but not confirmation of, the oscillating, no-sustained-trend signal measured here.</w:t>
      </w:r>
    </w:p>
    <w:p>
      <w:pPr>
        <w:pStyle w:val="APAH2"/>
      </w:pPr>
      <w:r>
        <w:t>Tawa Reservoir, Madhya Pradesh</w:t>
      </w:r>
    </w:p>
    <w:p>
      <w:pPr>
        <w:pStyle w:val="APABody"/>
      </w:pPr>
      <w:r>
        <w:t>Tawa Reservoir is a large irrigation and flood-control reservoir on the Tawa River, a tributary of the Narmada, in Madhya Pradesh's Narmadapuram district, within the Satpura Tiger Reserve — notified as a Ramsar site of international importance in 2024. It is included here as a second dam-regulated freshwater comparison point alongside Beas, replacing Loktak, which turned out not to be identifiable with confidence in the active processing cohort (there is no lake named “Loktak” in the underlying HydroLAKES-derived table; the earlier identification of lake_id 15510 with Loktak was an unverified inference from area and state alone).</w:t>
      </w:r>
    </w:p>
    <w:p>
      <w:pPr>
        <w:pStyle w:val="APACaptionLabel"/>
      </w:pPr>
      <w:r>
        <w:t>Figure 21</w:t>
      </w:r>
    </w:p>
    <w:p>
      <w:pPr>
        <w:pStyle w:val="APACaptionTitle"/>
      </w:pPr>
      <w:r>
        <w:t>Tawa Reservoir's lake boundary in the live application.</w:t>
      </w:r>
    </w:p>
    <w:p>
      <w:pPr>
        <w:spacing w:line="240" w:lineRule="auto"/>
        <w:ind w:firstLine="0"/>
      </w:pPr>
      <w:r>
        <w:drawing>
          <wp:inline xmlns:a="http://schemas.openxmlformats.org/drawingml/2006/main" xmlns:pic="http://schemas.openxmlformats.org/drawingml/2006/picture">
            <wp:extent cx="4754880" cy="2751389"/>
            <wp:docPr id="21" name="Picture 21"/>
            <wp:cNvGraphicFramePr>
              <a:graphicFrameLocks noChangeAspect="1"/>
            </wp:cNvGraphicFramePr>
            <a:graphic>
              <a:graphicData uri="http://schemas.openxmlformats.org/drawingml/2006/picture">
                <pic:pic>
                  <pic:nvPicPr>
                    <pic:cNvPr id="0" name="Tawa_reservoir.png"/>
                    <pic:cNvPicPr/>
                  </pic:nvPicPr>
                  <pic:blipFill>
                    <a:blip r:embed="rId30"/>
                    <a:stretch>
                      <a:fillRect/>
                    </a:stretch>
                  </pic:blipFill>
                  <pic:spPr>
                    <a:xfrm>
                      <a:off x="0" y="0"/>
                      <a:ext cx="4754880" cy="2751389"/>
                    </a:xfrm>
                    <a:prstGeom prst="rect"/>
                  </pic:spPr>
                </pic:pic>
              </a:graphicData>
            </a:graphic>
          </wp:inline>
        </w:drawing>
      </w:r>
    </w:p>
    <w:p>
      <w:pPr>
        <w:pStyle w:val="APABodyNoIndent"/>
      </w:pPr>
    </w:p>
    <w:p>
      <w:pPr>
        <w:pStyle w:val="APAH3"/>
      </w:pPr>
      <w:r>
        <w:t>Retrieved Analogs</w:t>
      </w:r>
    </w:p>
    <w:p>
      <w:pPr>
        <w:pStyle w:val="APACaptionLabel"/>
      </w:pPr>
      <w:r>
        <w:t>Table 15</w:t>
      </w:r>
    </w:p>
    <w:p>
      <w:pPr>
        <w:pStyle w:val="APACaptionTitle"/>
      </w:pPr>
      <w:r>
        <w:t>Tawa Reservoir — top five analogs (828 candidates).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576"/>
            <w:tcBorders>
              <w:top w:val="single" w:sz="6" w:color="000000"/>
              <w:bottom w:val="single" w:sz="6" w:color="000000"/>
            </w:tcBorders>
          </w:tcPr>
          <w:p>
            <w:pPr>
              <w:spacing w:line="240" w:lineRule="auto" w:after="40"/>
              <w:ind w:firstLine="0"/>
              <w:jc w:val="left"/>
            </w:pPr>
            <w:r>
              <w:rPr>
                <w:sz w:val="21"/>
              </w:rPr>
              <w:t>#</w:t>
            </w:r>
          </w:p>
        </w:tc>
        <w:tc>
          <w:tcPr>
            <w:tcW w:type="dxa" w:w="2448"/>
            <w:tcBorders>
              <w:top w:val="single" w:sz="6" w:color="000000"/>
              <w:bottom w:val="single" w:sz="6" w:color="000000"/>
            </w:tcBorders>
          </w:tcPr>
          <w:p>
            <w:pPr>
              <w:spacing w:line="240" w:lineRule="auto" w:after="40"/>
              <w:ind w:firstLine="0"/>
              <w:jc w:val="left"/>
            </w:pPr>
            <w:r>
              <w:rPr>
                <w:sz w:val="21"/>
              </w:rPr>
              <w:t>Lake</w:t>
            </w:r>
          </w:p>
        </w:tc>
        <w:tc>
          <w:tcPr>
            <w:tcW w:type="dxa" w:w="1872"/>
            <w:tcBorders>
              <w:top w:val="single" w:sz="6" w:color="000000"/>
              <w:bottom w:val="single" w:sz="6" w:color="000000"/>
            </w:tcBorders>
          </w:tcPr>
          <w:p>
            <w:pPr>
              <w:spacing w:line="240" w:lineRule="auto" w:after="40"/>
              <w:ind w:firstLine="0"/>
              <w:jc w:val="left"/>
            </w:pPr>
            <w:r>
              <w:rPr>
                <w:sz w:val="21"/>
              </w:rPr>
              <w:t>State</w:t>
            </w:r>
          </w:p>
        </w:tc>
        <w:tc>
          <w:tcPr>
            <w:tcW w:type="dxa" w:w="1152"/>
            <w:tcBorders>
              <w:top w:val="single" w:sz="6" w:color="000000"/>
              <w:bottom w:val="single" w:sz="6" w:color="000000"/>
            </w:tcBorders>
          </w:tcPr>
          <w:p>
            <w:pPr>
              <w:spacing w:line="240" w:lineRule="auto" w:after="40"/>
              <w:ind w:firstLine="0"/>
              <w:jc w:val="left"/>
            </w:pPr>
            <w:r>
              <w:rPr>
                <w:sz w:val="21"/>
              </w:rPr>
              <w:t>Area</w:t>
            </w:r>
          </w:p>
        </w:tc>
        <w:tc>
          <w:tcPr>
            <w:tcW w:type="dxa" w:w="1296"/>
            <w:tcBorders>
              <w:top w:val="single" w:sz="6" w:color="000000"/>
              <w:bottom w:val="single" w:sz="6" w:color="000000"/>
            </w:tcBorders>
          </w:tcPr>
          <w:p>
            <w:pPr>
              <w:spacing w:line="240" w:lineRule="auto" w:after="40"/>
              <w:ind w:firstLine="0"/>
              <w:jc w:val="left"/>
            </w:pPr>
            <w:r>
              <w:rPr>
                <w:sz w:val="21"/>
              </w:rPr>
              <w:t>Raw cos.</w:t>
            </w:r>
          </w:p>
        </w:tc>
        <w:tc>
          <w:tcPr>
            <w:tcW w:type="dxa" w:w="1584"/>
            <w:tcBorders>
              <w:top w:val="single" w:sz="6" w:color="000000"/>
              <w:bottom w:val="single" w:sz="6" w:color="000000"/>
            </w:tcBorders>
          </w:tcPr>
          <w:p>
            <w:pPr>
              <w:spacing w:line="240" w:lineRule="auto" w:after="40"/>
              <w:ind w:firstLine="0"/>
              <w:jc w:val="left"/>
            </w:pPr>
            <w:r>
              <w:rPr>
                <w:sz w:val="21"/>
              </w:rPr>
              <w:t>Window</w:t>
            </w:r>
          </w:p>
        </w:tc>
      </w:tr>
      <w:tr>
        <w:tc>
          <w:tcPr>
            <w:tcW w:type="dxa" w:w="576"/>
          </w:tcPr>
          <w:p>
            <w:pPr>
              <w:spacing w:line="240" w:lineRule="auto" w:after="40"/>
              <w:ind w:firstLine="0"/>
              <w:jc w:val="left"/>
            </w:pPr>
            <w:r>
              <w:rPr>
                <w:sz w:val="21"/>
              </w:rPr>
              <w:t>1</w:t>
            </w:r>
          </w:p>
        </w:tc>
        <w:tc>
          <w:tcPr>
            <w:tcW w:type="dxa" w:w="2448"/>
          </w:tcPr>
          <w:p>
            <w:pPr>
              <w:spacing w:line="240" w:lineRule="auto" w:after="40"/>
              <w:ind w:firstLine="0"/>
              <w:jc w:val="right"/>
            </w:pPr>
            <w:r>
              <w:rPr>
                <w:sz w:val="21"/>
              </w:rPr>
              <w:t>15544</w:t>
            </w:r>
          </w:p>
        </w:tc>
        <w:tc>
          <w:tcPr>
            <w:tcW w:type="dxa" w:w="1872"/>
          </w:tcPr>
          <w:p>
            <w:pPr>
              <w:spacing w:line="240" w:lineRule="auto" w:after="40"/>
              <w:ind w:firstLine="0"/>
              <w:jc w:val="right"/>
            </w:pPr>
            <w:r>
              <w:rPr>
                <w:sz w:val="21"/>
              </w:rPr>
              <w:t>Madhya Pradesh</w:t>
            </w:r>
          </w:p>
        </w:tc>
        <w:tc>
          <w:tcPr>
            <w:tcW w:type="dxa" w:w="1152"/>
          </w:tcPr>
          <w:p>
            <w:pPr>
              <w:spacing w:line="240" w:lineRule="auto" w:after="40"/>
              <w:ind w:firstLine="0"/>
              <w:jc w:val="right"/>
            </w:pPr>
            <w:r>
              <w:rPr>
                <w:sz w:val="21"/>
              </w:rPr>
              <w:t>15.03</w:t>
            </w:r>
          </w:p>
        </w:tc>
        <w:tc>
          <w:tcPr>
            <w:tcW w:type="dxa" w:w="1296"/>
          </w:tcPr>
          <w:p>
            <w:pPr>
              <w:spacing w:line="240" w:lineRule="auto" w:after="40"/>
              <w:ind w:firstLine="0"/>
              <w:jc w:val="right"/>
            </w:pPr>
            <w:r>
              <w:rPr>
                <w:sz w:val="21"/>
              </w:rPr>
              <w:t>0.99936</w:t>
            </w:r>
          </w:p>
        </w:tc>
        <w:tc>
          <w:tcPr>
            <w:tcW w:type="dxa" w:w="1584"/>
          </w:tcPr>
          <w:p>
            <w:pPr>
              <w:spacing w:line="240" w:lineRule="auto" w:after="40"/>
              <w:ind w:firstLine="0"/>
              <w:jc w:val="right"/>
            </w:pPr>
            <w:r>
              <w:rPr>
                <w:sz w:val="21"/>
              </w:rPr>
              <w:t>2021–2025</w:t>
            </w:r>
          </w:p>
        </w:tc>
      </w:tr>
      <w:tr>
        <w:tc>
          <w:tcPr>
            <w:tcW w:type="dxa" w:w="576"/>
          </w:tcPr>
          <w:p>
            <w:pPr>
              <w:spacing w:line="240" w:lineRule="auto" w:after="40"/>
              <w:ind w:firstLine="0"/>
              <w:jc w:val="left"/>
            </w:pPr>
            <w:r>
              <w:rPr>
                <w:sz w:val="21"/>
              </w:rPr>
              <w:t>2</w:t>
            </w:r>
          </w:p>
        </w:tc>
        <w:tc>
          <w:tcPr>
            <w:tcW w:type="dxa" w:w="2448"/>
          </w:tcPr>
          <w:p>
            <w:pPr>
              <w:spacing w:line="240" w:lineRule="auto" w:after="40"/>
              <w:ind w:firstLine="0"/>
              <w:jc w:val="right"/>
            </w:pPr>
            <w:r>
              <w:rPr>
                <w:sz w:val="21"/>
              </w:rPr>
              <w:t>15634</w:t>
            </w:r>
          </w:p>
        </w:tc>
        <w:tc>
          <w:tcPr>
            <w:tcW w:type="dxa" w:w="1872"/>
          </w:tcPr>
          <w:p>
            <w:pPr>
              <w:spacing w:line="240" w:lineRule="auto" w:after="40"/>
              <w:ind w:firstLine="0"/>
              <w:jc w:val="right"/>
            </w:pPr>
            <w:r>
              <w:rPr>
                <w:sz w:val="21"/>
              </w:rPr>
              <w:t>Maharashtra</w:t>
            </w:r>
          </w:p>
        </w:tc>
        <w:tc>
          <w:tcPr>
            <w:tcW w:type="dxa" w:w="1152"/>
          </w:tcPr>
          <w:p>
            <w:pPr>
              <w:spacing w:line="240" w:lineRule="auto" w:after="40"/>
              <w:ind w:firstLine="0"/>
              <w:jc w:val="right"/>
            </w:pPr>
            <w:r>
              <w:rPr>
                <w:sz w:val="21"/>
              </w:rPr>
              <w:t>15.54</w:t>
            </w:r>
          </w:p>
        </w:tc>
        <w:tc>
          <w:tcPr>
            <w:tcW w:type="dxa" w:w="1296"/>
          </w:tcPr>
          <w:p>
            <w:pPr>
              <w:spacing w:line="240" w:lineRule="auto" w:after="40"/>
              <w:ind w:firstLine="0"/>
              <w:jc w:val="right"/>
            </w:pPr>
            <w:r>
              <w:rPr>
                <w:sz w:val="21"/>
              </w:rPr>
              <w:t>0.99931</w:t>
            </w:r>
          </w:p>
        </w:tc>
        <w:tc>
          <w:tcPr>
            <w:tcW w:type="dxa" w:w="1584"/>
          </w:tcPr>
          <w:p>
            <w:pPr>
              <w:spacing w:line="240" w:lineRule="auto" w:after="40"/>
              <w:ind w:firstLine="0"/>
              <w:jc w:val="right"/>
            </w:pPr>
            <w:r>
              <w:rPr>
                <w:sz w:val="21"/>
              </w:rPr>
              <w:t>2019–2023</w:t>
            </w:r>
          </w:p>
        </w:tc>
      </w:tr>
      <w:tr>
        <w:tc>
          <w:tcPr>
            <w:tcW w:type="dxa" w:w="576"/>
          </w:tcPr>
          <w:p>
            <w:pPr>
              <w:spacing w:line="240" w:lineRule="auto" w:after="40"/>
              <w:ind w:firstLine="0"/>
              <w:jc w:val="left"/>
            </w:pPr>
            <w:r>
              <w:rPr>
                <w:sz w:val="21"/>
              </w:rPr>
              <w:t>3</w:t>
            </w:r>
          </w:p>
        </w:tc>
        <w:tc>
          <w:tcPr>
            <w:tcW w:type="dxa" w:w="2448"/>
          </w:tcPr>
          <w:p>
            <w:pPr>
              <w:spacing w:line="240" w:lineRule="auto" w:after="40"/>
              <w:ind w:firstLine="0"/>
              <w:jc w:val="right"/>
            </w:pPr>
            <w:r>
              <w:rPr>
                <w:sz w:val="21"/>
              </w:rPr>
              <w:t>15616</w:t>
            </w:r>
          </w:p>
        </w:tc>
        <w:tc>
          <w:tcPr>
            <w:tcW w:type="dxa" w:w="1872"/>
          </w:tcPr>
          <w:p>
            <w:pPr>
              <w:spacing w:line="240" w:lineRule="auto" w:after="40"/>
              <w:ind w:firstLine="0"/>
              <w:jc w:val="right"/>
            </w:pPr>
            <w:r>
              <w:rPr>
                <w:sz w:val="21"/>
              </w:rPr>
              <w:t>Maharashtra</w:t>
            </w:r>
          </w:p>
        </w:tc>
        <w:tc>
          <w:tcPr>
            <w:tcW w:type="dxa" w:w="1152"/>
          </w:tcPr>
          <w:p>
            <w:pPr>
              <w:spacing w:line="240" w:lineRule="auto" w:after="40"/>
              <w:ind w:firstLine="0"/>
              <w:jc w:val="right"/>
            </w:pPr>
            <w:r>
              <w:rPr>
                <w:sz w:val="21"/>
              </w:rPr>
              <w:t>39.91</w:t>
            </w:r>
          </w:p>
        </w:tc>
        <w:tc>
          <w:tcPr>
            <w:tcW w:type="dxa" w:w="1296"/>
          </w:tcPr>
          <w:p>
            <w:pPr>
              <w:spacing w:line="240" w:lineRule="auto" w:after="40"/>
              <w:ind w:firstLine="0"/>
              <w:jc w:val="right"/>
            </w:pPr>
            <w:r>
              <w:rPr>
                <w:sz w:val="21"/>
              </w:rPr>
              <w:t>0.99926</w:t>
            </w:r>
          </w:p>
        </w:tc>
        <w:tc>
          <w:tcPr>
            <w:tcW w:type="dxa" w:w="1584"/>
          </w:tcPr>
          <w:p>
            <w:pPr>
              <w:spacing w:line="240" w:lineRule="auto" w:after="40"/>
              <w:ind w:firstLine="0"/>
              <w:jc w:val="right"/>
            </w:pPr>
            <w:r>
              <w:rPr>
                <w:sz w:val="21"/>
              </w:rPr>
              <w:t>2017–2021</w:t>
            </w:r>
          </w:p>
        </w:tc>
      </w:tr>
      <w:tr>
        <w:tc>
          <w:tcPr>
            <w:tcW w:type="dxa" w:w="576"/>
          </w:tcPr>
          <w:p>
            <w:pPr>
              <w:spacing w:line="240" w:lineRule="auto" w:after="40"/>
              <w:ind w:firstLine="0"/>
              <w:jc w:val="left"/>
            </w:pPr>
            <w:r>
              <w:rPr>
                <w:sz w:val="21"/>
              </w:rPr>
              <w:t>4</w:t>
            </w:r>
          </w:p>
        </w:tc>
        <w:tc>
          <w:tcPr>
            <w:tcW w:type="dxa" w:w="2448"/>
          </w:tcPr>
          <w:p>
            <w:pPr>
              <w:spacing w:line="240" w:lineRule="auto" w:after="40"/>
              <w:ind w:firstLine="0"/>
              <w:jc w:val="right"/>
            </w:pPr>
            <w:r>
              <w:rPr>
                <w:sz w:val="21"/>
              </w:rPr>
              <w:t>178333</w:t>
            </w:r>
          </w:p>
        </w:tc>
        <w:tc>
          <w:tcPr>
            <w:tcW w:type="dxa" w:w="1872"/>
          </w:tcPr>
          <w:p>
            <w:pPr>
              <w:spacing w:line="240" w:lineRule="auto" w:after="40"/>
              <w:ind w:firstLine="0"/>
              <w:jc w:val="right"/>
            </w:pPr>
            <w:r>
              <w:rPr>
                <w:sz w:val="21"/>
              </w:rPr>
              <w:t>Telangana</w:t>
            </w:r>
          </w:p>
        </w:tc>
        <w:tc>
          <w:tcPr>
            <w:tcW w:type="dxa" w:w="1152"/>
          </w:tcPr>
          <w:p>
            <w:pPr>
              <w:spacing w:line="240" w:lineRule="auto" w:after="40"/>
              <w:ind w:firstLine="0"/>
              <w:jc w:val="right"/>
            </w:pPr>
            <w:r>
              <w:rPr>
                <w:sz w:val="21"/>
              </w:rPr>
              <w:t>5.12</w:t>
            </w:r>
          </w:p>
        </w:tc>
        <w:tc>
          <w:tcPr>
            <w:tcW w:type="dxa" w:w="1296"/>
          </w:tcPr>
          <w:p>
            <w:pPr>
              <w:spacing w:line="240" w:lineRule="auto" w:after="40"/>
              <w:ind w:firstLine="0"/>
              <w:jc w:val="right"/>
            </w:pPr>
            <w:r>
              <w:rPr>
                <w:sz w:val="21"/>
              </w:rPr>
              <w:t>0.99921</w:t>
            </w:r>
          </w:p>
        </w:tc>
        <w:tc>
          <w:tcPr>
            <w:tcW w:type="dxa" w:w="1584"/>
          </w:tcPr>
          <w:p>
            <w:pPr>
              <w:spacing w:line="240" w:lineRule="auto" w:after="40"/>
              <w:ind w:firstLine="0"/>
              <w:jc w:val="right"/>
            </w:pPr>
            <w:r>
              <w:rPr>
                <w:sz w:val="21"/>
              </w:rPr>
              <w:t>2019–2023</w:t>
            </w:r>
          </w:p>
        </w:tc>
      </w:tr>
      <w:tr>
        <w:tc>
          <w:tcPr>
            <w:tcW w:type="dxa" w:w="576"/>
            <w:tcBorders>
              <w:top w:val="nil"/>
              <w:bottom w:val="single" w:sz="6" w:color="000000"/>
            </w:tcBorders>
          </w:tcPr>
          <w:p>
            <w:pPr>
              <w:spacing w:line="240" w:lineRule="auto" w:after="40"/>
              <w:ind w:firstLine="0"/>
              <w:jc w:val="left"/>
            </w:pPr>
            <w:r>
              <w:rPr>
                <w:sz w:val="21"/>
              </w:rPr>
              <w:t>5</w:t>
            </w:r>
          </w:p>
        </w:tc>
        <w:tc>
          <w:tcPr>
            <w:tcW w:type="dxa" w:w="2448"/>
            <w:tcBorders>
              <w:top w:val="nil"/>
              <w:bottom w:val="single" w:sz="6" w:color="000000"/>
            </w:tcBorders>
          </w:tcPr>
          <w:p>
            <w:pPr>
              <w:spacing w:line="240" w:lineRule="auto" w:after="40"/>
              <w:ind w:firstLine="0"/>
              <w:jc w:val="right"/>
            </w:pPr>
            <w:r>
              <w:rPr>
                <w:sz w:val="21"/>
              </w:rPr>
              <w:t>15577</w:t>
            </w:r>
          </w:p>
        </w:tc>
        <w:tc>
          <w:tcPr>
            <w:tcW w:type="dxa" w:w="1872"/>
            <w:tcBorders>
              <w:top w:val="nil"/>
              <w:bottom w:val="single" w:sz="6" w:color="000000"/>
            </w:tcBorders>
          </w:tcPr>
          <w:p>
            <w:pPr>
              <w:spacing w:line="240" w:lineRule="auto" w:after="40"/>
              <w:ind w:firstLine="0"/>
              <w:jc w:val="right"/>
            </w:pPr>
            <w:r>
              <w:rPr>
                <w:sz w:val="21"/>
              </w:rPr>
              <w:t>Madhya Pradesh</w:t>
            </w:r>
          </w:p>
        </w:tc>
        <w:tc>
          <w:tcPr>
            <w:tcW w:type="dxa" w:w="1152"/>
            <w:tcBorders>
              <w:top w:val="nil"/>
              <w:bottom w:val="single" w:sz="6" w:color="000000"/>
            </w:tcBorders>
          </w:tcPr>
          <w:p>
            <w:pPr>
              <w:spacing w:line="240" w:lineRule="auto" w:after="40"/>
              <w:ind w:firstLine="0"/>
              <w:jc w:val="right"/>
            </w:pPr>
            <w:r>
              <w:rPr>
                <w:sz w:val="21"/>
              </w:rPr>
              <w:t>36.00</w:t>
            </w:r>
          </w:p>
        </w:tc>
        <w:tc>
          <w:tcPr>
            <w:tcW w:type="dxa" w:w="1296"/>
            <w:tcBorders>
              <w:top w:val="nil"/>
              <w:bottom w:val="single" w:sz="6" w:color="000000"/>
            </w:tcBorders>
          </w:tcPr>
          <w:p>
            <w:pPr>
              <w:spacing w:line="240" w:lineRule="auto" w:after="40"/>
              <w:ind w:firstLine="0"/>
              <w:jc w:val="right"/>
            </w:pPr>
            <w:r>
              <w:rPr>
                <w:sz w:val="21"/>
              </w:rPr>
              <w:t>0.99913</w:t>
            </w:r>
          </w:p>
        </w:tc>
        <w:tc>
          <w:tcPr>
            <w:tcW w:type="dxa" w:w="1584"/>
            <w:tcBorders>
              <w:top w:val="nil"/>
              <w:bottom w:val="single" w:sz="6" w:color="000000"/>
            </w:tcBorders>
          </w:tcPr>
          <w:p>
            <w:pPr>
              <w:spacing w:line="240" w:lineRule="auto" w:after="40"/>
              <w:ind w:firstLine="0"/>
              <w:jc w:val="right"/>
            </w:pPr>
            <w:r>
              <w:rPr>
                <w:sz w:val="21"/>
              </w:rPr>
              <w:t>2021–2025</w:t>
            </w:r>
          </w:p>
        </w:tc>
      </w:tr>
    </w:tbl>
    <w:p>
      <w:pPr>
        <w:pStyle w:val="APABodyNoIndent"/>
      </w:pPr>
    </w:p>
    <w:p>
      <w:pPr>
        <w:pStyle w:val="APABody"/>
      </w:pPr>
      <w:r>
        <w:t>The top and fifth-ranked analogs both match on windows ending at 2025 and so carry no observed future, so the forecast twins used below are drawn from ranks 2–4 plus two further candidates.</w:t>
      </w:r>
    </w:p>
    <w:p>
      <w:pPr>
        <w:pStyle w:val="APACaptionLabel"/>
      </w:pPr>
      <w:r>
        <w:t>Figure 22</w:t>
      </w:r>
    </w:p>
    <w:p>
      <w:pPr>
        <w:pStyle w:val="APACaptionTitle"/>
      </w:pPr>
      <w:r>
        <w:t>Tawa Reservoir's retrieved analogs in the live application.</w:t>
      </w:r>
    </w:p>
    <w:p>
      <w:pPr>
        <w:spacing w:line="240" w:lineRule="auto"/>
        <w:ind w:firstLine="0"/>
      </w:pPr>
      <w:r>
        <w:drawing>
          <wp:inline xmlns:a="http://schemas.openxmlformats.org/drawingml/2006/main" xmlns:pic="http://schemas.openxmlformats.org/drawingml/2006/picture">
            <wp:extent cx="4297680" cy="2572826"/>
            <wp:docPr id="22" name="Picture 22"/>
            <wp:cNvGraphicFramePr>
              <a:graphicFrameLocks noChangeAspect="1"/>
            </wp:cNvGraphicFramePr>
            <a:graphic>
              <a:graphicData uri="http://schemas.openxmlformats.org/drawingml/2006/picture">
                <pic:pic>
                  <pic:nvPicPr>
                    <pic:cNvPr id="0" name="Tawa_analog.png"/>
                    <pic:cNvPicPr/>
                  </pic:nvPicPr>
                  <pic:blipFill>
                    <a:blip r:embed="rId31"/>
                    <a:stretch>
                      <a:fillRect/>
                    </a:stretch>
                  </pic:blipFill>
                  <pic:spPr>
                    <a:xfrm>
                      <a:off x="0" y="0"/>
                      <a:ext cx="4297680" cy="2572826"/>
                    </a:xfrm>
                    <a:prstGeom prst="rect"/>
                  </pic:spPr>
                </pic:pic>
              </a:graphicData>
            </a:graphic>
          </wp:inline>
        </w:drawing>
      </w:r>
    </w:p>
    <w:p>
      <w:pPr>
        <w:pStyle w:val="APABodyNoIndent"/>
      </w:pPr>
    </w:p>
    <w:p>
      <w:pPr>
        <w:pStyle w:val="APAH3"/>
      </w:pPr>
      <w:r>
        <w:t>Measured History</w:t>
      </w:r>
    </w:p>
    <w:p>
      <w:pPr>
        <w:pStyle w:val="APACaptionLabel"/>
      </w:pPr>
      <w:r>
        <w:t>Table 16</w:t>
      </w:r>
    </w:p>
    <w:p>
      <w:pPr>
        <w:pStyle w:val="APACaptionTitle"/>
      </w:pPr>
      <w:r>
        <w:t>Tawa Reservoir — measured index history, 2016–2025.</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337"/>
        <w:gridCol w:w="1337"/>
        <w:gridCol w:w="1337"/>
        <w:gridCol w:w="1337"/>
        <w:gridCol w:w="1337"/>
        <w:gridCol w:w="1337"/>
        <w:gridCol w:w="1337"/>
      </w:tblGrid>
      <w:tr>
        <w:tc>
          <w:tcPr>
            <w:tcW w:type="dxa" w:w="1872"/>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2016</w:t>
            </w:r>
          </w:p>
        </w:tc>
        <w:tc>
          <w:tcPr>
            <w:tcW w:type="dxa" w:w="1152"/>
            <w:tcBorders>
              <w:top w:val="single" w:sz="6" w:color="000000"/>
              <w:bottom w:val="single" w:sz="6" w:color="000000"/>
            </w:tcBorders>
          </w:tcPr>
          <w:p>
            <w:pPr>
              <w:spacing w:line="240" w:lineRule="auto" w:after="40"/>
              <w:ind w:firstLine="0"/>
              <w:jc w:val="left"/>
            </w:pPr>
            <w:r>
              <w:rPr>
                <w:sz w:val="21"/>
              </w:rPr>
              <w:t>2018</w:t>
            </w:r>
          </w:p>
        </w:tc>
        <w:tc>
          <w:tcPr>
            <w:tcW w:type="dxa" w:w="1152"/>
            <w:tcBorders>
              <w:top w:val="single" w:sz="6" w:color="000000"/>
              <w:bottom w:val="single" w:sz="6" w:color="000000"/>
            </w:tcBorders>
          </w:tcPr>
          <w:p>
            <w:pPr>
              <w:spacing w:line="240" w:lineRule="auto" w:after="40"/>
              <w:ind w:firstLine="0"/>
              <w:jc w:val="left"/>
            </w:pPr>
            <w:r>
              <w:rPr>
                <w:sz w:val="21"/>
              </w:rPr>
              <w:t>2020</w:t>
            </w:r>
          </w:p>
        </w:tc>
        <w:tc>
          <w:tcPr>
            <w:tcW w:type="dxa" w:w="1152"/>
            <w:tcBorders>
              <w:top w:val="single" w:sz="6" w:color="000000"/>
              <w:bottom w:val="single" w:sz="6" w:color="000000"/>
            </w:tcBorders>
          </w:tcPr>
          <w:p>
            <w:pPr>
              <w:spacing w:line="240" w:lineRule="auto" w:after="40"/>
              <w:ind w:firstLine="0"/>
              <w:jc w:val="left"/>
            </w:pPr>
            <w:r>
              <w:rPr>
                <w:sz w:val="21"/>
              </w:rPr>
              <w:t>2022</w:t>
            </w:r>
          </w:p>
        </w:tc>
        <w:tc>
          <w:tcPr>
            <w:tcW w:type="dxa" w:w="1152"/>
            <w:tcBorders>
              <w:top w:val="single" w:sz="6" w:color="000000"/>
              <w:bottom w:val="single" w:sz="6" w:color="000000"/>
            </w:tcBorders>
          </w:tcPr>
          <w:p>
            <w:pPr>
              <w:spacing w:line="240" w:lineRule="auto" w:after="40"/>
              <w:ind w:firstLine="0"/>
              <w:jc w:val="left"/>
            </w:pPr>
            <w:r>
              <w:rPr>
                <w:sz w:val="21"/>
              </w:rPr>
              <w:t>2024</w:t>
            </w:r>
          </w:p>
        </w:tc>
        <w:tc>
          <w:tcPr>
            <w:tcW w:type="dxa" w:w="1152"/>
            <w:tcBorders>
              <w:top w:val="single" w:sz="6" w:color="000000"/>
              <w:bottom w:val="single" w:sz="6" w:color="000000"/>
            </w:tcBorders>
          </w:tcPr>
          <w:p>
            <w:pPr>
              <w:spacing w:line="240" w:lineRule="auto" w:after="40"/>
              <w:ind w:firstLine="0"/>
              <w:jc w:val="left"/>
            </w:pPr>
            <w:r>
              <w:rPr>
                <w:sz w:val="21"/>
              </w:rPr>
              <w:t>2025</w:t>
            </w:r>
          </w:p>
        </w:tc>
      </w:tr>
      <w:tr>
        <w:tc>
          <w:tcPr>
            <w:tcW w:type="dxa" w:w="1872"/>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−0.0874</w:t>
            </w:r>
          </w:p>
        </w:tc>
        <w:tc>
          <w:tcPr>
            <w:tcW w:type="dxa" w:w="1152"/>
          </w:tcPr>
          <w:p>
            <w:pPr>
              <w:spacing w:line="240" w:lineRule="auto" w:after="40"/>
              <w:ind w:firstLine="0"/>
              <w:jc w:val="right"/>
            </w:pPr>
            <w:r>
              <w:rPr>
                <w:sz w:val="21"/>
              </w:rPr>
              <w:t>0.0479</w:t>
            </w:r>
          </w:p>
        </w:tc>
        <w:tc>
          <w:tcPr>
            <w:tcW w:type="dxa" w:w="1152"/>
          </w:tcPr>
          <w:p>
            <w:pPr>
              <w:spacing w:line="240" w:lineRule="auto" w:after="40"/>
              <w:ind w:firstLine="0"/>
              <w:jc w:val="right"/>
            </w:pPr>
            <w:r>
              <w:rPr>
                <w:sz w:val="21"/>
              </w:rPr>
              <w:t>0.0011</w:t>
            </w:r>
          </w:p>
        </w:tc>
        <w:tc>
          <w:tcPr>
            <w:tcW w:type="dxa" w:w="1152"/>
          </w:tcPr>
          <w:p>
            <w:pPr>
              <w:spacing w:line="240" w:lineRule="auto" w:after="40"/>
              <w:ind w:firstLine="0"/>
              <w:jc w:val="right"/>
            </w:pPr>
            <w:r>
              <w:rPr>
                <w:sz w:val="21"/>
              </w:rPr>
              <w:t>0.0009</w:t>
            </w:r>
          </w:p>
        </w:tc>
        <w:tc>
          <w:tcPr>
            <w:tcW w:type="dxa" w:w="1152"/>
          </w:tcPr>
          <w:p>
            <w:pPr>
              <w:spacing w:line="240" w:lineRule="auto" w:after="40"/>
              <w:ind w:firstLine="0"/>
              <w:jc w:val="right"/>
            </w:pPr>
            <w:r>
              <w:rPr>
                <w:sz w:val="21"/>
              </w:rPr>
              <w:t>−0.0107</w:t>
            </w:r>
          </w:p>
        </w:tc>
        <w:tc>
          <w:tcPr>
            <w:tcW w:type="dxa" w:w="1152"/>
          </w:tcPr>
          <w:p>
            <w:pPr>
              <w:spacing w:line="240" w:lineRule="auto" w:after="40"/>
              <w:ind w:firstLine="0"/>
              <w:jc w:val="right"/>
            </w:pPr>
            <w:r>
              <w:rPr>
                <w:sz w:val="21"/>
              </w:rPr>
              <w:t>−0.0423</w:t>
            </w:r>
          </w:p>
        </w:tc>
      </w:tr>
      <w:tr>
        <w:tc>
          <w:tcPr>
            <w:tcW w:type="dxa" w:w="1872"/>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−0.2939</w:t>
            </w:r>
          </w:p>
        </w:tc>
        <w:tc>
          <w:tcPr>
            <w:tcW w:type="dxa" w:w="1152"/>
          </w:tcPr>
          <w:p>
            <w:pPr>
              <w:spacing w:line="240" w:lineRule="auto" w:after="40"/>
              <w:ind w:firstLine="0"/>
              <w:jc w:val="right"/>
            </w:pPr>
            <w:r>
              <w:rPr>
                <w:sz w:val="21"/>
              </w:rPr>
              <w:t>0.0681</w:t>
            </w:r>
          </w:p>
        </w:tc>
        <w:tc>
          <w:tcPr>
            <w:tcW w:type="dxa" w:w="1152"/>
          </w:tcPr>
          <w:p>
            <w:pPr>
              <w:spacing w:line="240" w:lineRule="auto" w:after="40"/>
              <w:ind w:firstLine="0"/>
              <w:jc w:val="right"/>
            </w:pPr>
            <w:r>
              <w:rPr>
                <w:sz w:val="21"/>
              </w:rPr>
              <w:t>−0.1323</w:t>
            </w:r>
          </w:p>
        </w:tc>
        <w:tc>
          <w:tcPr>
            <w:tcW w:type="dxa" w:w="1152"/>
          </w:tcPr>
          <w:p>
            <w:pPr>
              <w:spacing w:line="240" w:lineRule="auto" w:after="40"/>
              <w:ind w:firstLine="0"/>
              <w:jc w:val="right"/>
            </w:pPr>
            <w:r>
              <w:rPr>
                <w:sz w:val="21"/>
              </w:rPr>
              <w:t>−0.0890</w:t>
            </w:r>
          </w:p>
        </w:tc>
        <w:tc>
          <w:tcPr>
            <w:tcW w:type="dxa" w:w="1152"/>
          </w:tcPr>
          <w:p>
            <w:pPr>
              <w:spacing w:line="240" w:lineRule="auto" w:after="40"/>
              <w:ind w:firstLine="0"/>
              <w:jc w:val="right"/>
            </w:pPr>
            <w:r>
              <w:rPr>
                <w:sz w:val="21"/>
              </w:rPr>
              <w:t>−0.1606</w:t>
            </w:r>
          </w:p>
        </w:tc>
        <w:tc>
          <w:tcPr>
            <w:tcW w:type="dxa" w:w="1152"/>
          </w:tcPr>
          <w:p>
            <w:pPr>
              <w:spacing w:line="240" w:lineRule="auto" w:after="40"/>
              <w:ind w:firstLine="0"/>
              <w:jc w:val="right"/>
            </w:pPr>
            <w:r>
              <w:rPr>
                <w:sz w:val="21"/>
              </w:rPr>
              <w:t>−0.1918</w:t>
            </w:r>
          </w:p>
        </w:tc>
      </w:tr>
      <w:tr>
        <w:tc>
          <w:tcPr>
            <w:tcW w:type="dxa" w:w="1872"/>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0.4824</w:t>
            </w:r>
          </w:p>
        </w:tc>
        <w:tc>
          <w:tcPr>
            <w:tcW w:type="dxa" w:w="1152"/>
          </w:tcPr>
          <w:p>
            <w:pPr>
              <w:spacing w:line="240" w:lineRule="auto" w:after="40"/>
              <w:ind w:firstLine="0"/>
              <w:jc w:val="right"/>
            </w:pPr>
            <w:r>
              <w:rPr>
                <w:sz w:val="21"/>
              </w:rPr>
              <w:t>0.0059</w:t>
            </w:r>
          </w:p>
        </w:tc>
        <w:tc>
          <w:tcPr>
            <w:tcW w:type="dxa" w:w="1152"/>
          </w:tcPr>
          <w:p>
            <w:pPr>
              <w:spacing w:line="240" w:lineRule="auto" w:after="40"/>
              <w:ind w:firstLine="0"/>
              <w:jc w:val="right"/>
            </w:pPr>
            <w:r>
              <w:rPr>
                <w:sz w:val="21"/>
              </w:rPr>
              <w:t>0.2650</w:t>
            </w:r>
          </w:p>
        </w:tc>
        <w:tc>
          <w:tcPr>
            <w:tcW w:type="dxa" w:w="1152"/>
          </w:tcPr>
          <w:p>
            <w:pPr>
              <w:spacing w:line="240" w:lineRule="auto" w:after="40"/>
              <w:ind w:firstLine="0"/>
              <w:jc w:val="right"/>
            </w:pPr>
            <w:r>
              <w:rPr>
                <w:sz w:val="21"/>
              </w:rPr>
              <w:t>0.2450</w:t>
            </w:r>
          </w:p>
        </w:tc>
        <w:tc>
          <w:tcPr>
            <w:tcW w:type="dxa" w:w="1152"/>
          </w:tcPr>
          <w:p>
            <w:pPr>
              <w:spacing w:line="240" w:lineRule="auto" w:after="40"/>
              <w:ind w:firstLine="0"/>
              <w:jc w:val="right"/>
            </w:pPr>
            <w:r>
              <w:rPr>
                <w:sz w:val="21"/>
              </w:rPr>
              <w:t>0.3178</w:t>
            </w:r>
          </w:p>
        </w:tc>
        <w:tc>
          <w:tcPr>
            <w:tcW w:type="dxa" w:w="1152"/>
          </w:tcPr>
          <w:p>
            <w:pPr>
              <w:spacing w:line="240" w:lineRule="auto" w:after="40"/>
              <w:ind w:firstLine="0"/>
              <w:jc w:val="right"/>
            </w:pPr>
            <w:r>
              <w:rPr>
                <w:sz w:val="21"/>
              </w:rPr>
              <w:t>0.3701</w:t>
            </w:r>
          </w:p>
        </w:tc>
      </w:tr>
      <w:tr>
        <w:tc>
          <w:tcPr>
            <w:tcW w:type="dxa" w:w="1872"/>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−0.2197</w:t>
            </w:r>
          </w:p>
        </w:tc>
        <w:tc>
          <w:tcPr>
            <w:tcW w:type="dxa" w:w="1152"/>
          </w:tcPr>
          <w:p>
            <w:pPr>
              <w:spacing w:line="240" w:lineRule="auto" w:after="40"/>
              <w:ind w:firstLine="0"/>
              <w:jc w:val="right"/>
            </w:pPr>
            <w:r>
              <w:rPr>
                <w:sz w:val="21"/>
              </w:rPr>
              <w:t>−0.0739</w:t>
            </w:r>
          </w:p>
        </w:tc>
        <w:tc>
          <w:tcPr>
            <w:tcW w:type="dxa" w:w="1152"/>
          </w:tcPr>
          <w:p>
            <w:pPr>
              <w:spacing w:line="240" w:lineRule="auto" w:after="40"/>
              <w:ind w:firstLine="0"/>
              <w:jc w:val="right"/>
            </w:pPr>
            <w:r>
              <w:rPr>
                <w:sz w:val="21"/>
              </w:rPr>
              <w:t>−0.1375</w:t>
            </w:r>
          </w:p>
        </w:tc>
        <w:tc>
          <w:tcPr>
            <w:tcW w:type="dxa" w:w="1152"/>
          </w:tcPr>
          <w:p>
            <w:pPr>
              <w:spacing w:line="240" w:lineRule="auto" w:after="40"/>
              <w:ind w:firstLine="0"/>
              <w:jc w:val="right"/>
            </w:pPr>
            <w:r>
              <w:rPr>
                <w:sz w:val="21"/>
              </w:rPr>
              <w:t>−0.1595</w:t>
            </w:r>
          </w:p>
        </w:tc>
        <w:tc>
          <w:tcPr>
            <w:tcW w:type="dxa" w:w="1152"/>
          </w:tcPr>
          <w:p>
            <w:pPr>
              <w:spacing w:line="240" w:lineRule="auto" w:after="40"/>
              <w:ind w:firstLine="0"/>
              <w:jc w:val="right"/>
            </w:pPr>
            <w:r>
              <w:rPr>
                <w:sz w:val="21"/>
              </w:rPr>
              <w:t>−0.1657</w:t>
            </w:r>
          </w:p>
        </w:tc>
        <w:tc>
          <w:tcPr>
            <w:tcW w:type="dxa" w:w="1152"/>
          </w:tcPr>
          <w:p>
            <w:pPr>
              <w:spacing w:line="240" w:lineRule="auto" w:after="40"/>
              <w:ind w:firstLine="0"/>
              <w:jc w:val="right"/>
            </w:pPr>
            <w:r>
              <w:rPr>
                <w:sz w:val="21"/>
              </w:rPr>
              <w:t>−0.1920</w:t>
            </w:r>
          </w:p>
        </w:tc>
      </w:tr>
      <w:tr>
        <w:tc>
          <w:tcPr>
            <w:tcW w:type="dxa" w:w="1872"/>
            <w:tcBorders>
              <w:top w:val="nil"/>
              <w:bottom w:val="single" w:sz="6" w:color="000000"/>
            </w:tcBorders>
          </w:tcPr>
          <w:p>
            <w:pPr>
              <w:spacing w:line="240" w:lineRule="auto" w:after="40"/>
              <w:ind w:firstLine="0"/>
              <w:jc w:val="left"/>
            </w:pPr>
            <w:r>
              <w:rPr>
                <w:sz w:val="21"/>
              </w:rPr>
              <w:t>Red-edge slope</w:t>
            </w:r>
          </w:p>
        </w:tc>
        <w:tc>
          <w:tcPr>
            <w:tcW w:type="dxa" w:w="1152"/>
            <w:tcBorders>
              <w:top w:val="nil"/>
              <w:bottom w:val="single" w:sz="6" w:color="000000"/>
            </w:tcBorders>
          </w:tcPr>
          <w:p>
            <w:pPr>
              <w:spacing w:line="240" w:lineRule="auto" w:after="40"/>
              <w:ind w:firstLine="0"/>
              <w:jc w:val="right"/>
            </w:pPr>
            <w:r>
              <w:rPr>
                <w:sz w:val="21"/>
              </w:rPr>
              <w:t>−1.3090</w:t>
            </w:r>
          </w:p>
        </w:tc>
        <w:tc>
          <w:tcPr>
            <w:tcW w:type="dxa" w:w="1152"/>
            <w:tcBorders>
              <w:top w:val="nil"/>
              <w:bottom w:val="single" w:sz="6" w:color="000000"/>
            </w:tcBorders>
          </w:tcPr>
          <w:p>
            <w:pPr>
              <w:spacing w:line="240" w:lineRule="auto" w:after="40"/>
              <w:ind w:firstLine="0"/>
              <w:jc w:val="right"/>
            </w:pPr>
            <w:r>
              <w:rPr>
                <w:sz w:val="21"/>
              </w:rPr>
              <w:t>0.2360</w:t>
            </w:r>
          </w:p>
        </w:tc>
        <w:tc>
          <w:tcPr>
            <w:tcW w:type="dxa" w:w="1152"/>
            <w:tcBorders>
              <w:top w:val="nil"/>
              <w:bottom w:val="single" w:sz="6" w:color="000000"/>
            </w:tcBorders>
          </w:tcPr>
          <w:p>
            <w:pPr>
              <w:spacing w:line="240" w:lineRule="auto" w:after="40"/>
              <w:ind w:firstLine="0"/>
              <w:jc w:val="right"/>
            </w:pPr>
            <w:r>
              <w:rPr>
                <w:sz w:val="21"/>
              </w:rPr>
              <w:t>−1.1605</w:t>
            </w:r>
          </w:p>
        </w:tc>
        <w:tc>
          <w:tcPr>
            <w:tcW w:type="dxa" w:w="1152"/>
            <w:tcBorders>
              <w:top w:val="nil"/>
              <w:bottom w:val="single" w:sz="6" w:color="000000"/>
            </w:tcBorders>
          </w:tcPr>
          <w:p>
            <w:pPr>
              <w:spacing w:line="240" w:lineRule="auto" w:after="40"/>
              <w:ind w:firstLine="0"/>
              <w:jc w:val="right"/>
            </w:pPr>
            <w:r>
              <w:rPr>
                <w:sz w:val="21"/>
              </w:rPr>
              <w:t>−0.5719</w:t>
            </w:r>
          </w:p>
        </w:tc>
        <w:tc>
          <w:tcPr>
            <w:tcW w:type="dxa" w:w="1152"/>
            <w:tcBorders>
              <w:top w:val="nil"/>
              <w:bottom w:val="single" w:sz="6" w:color="000000"/>
            </w:tcBorders>
          </w:tcPr>
          <w:p>
            <w:pPr>
              <w:spacing w:line="240" w:lineRule="auto" w:after="40"/>
              <w:ind w:firstLine="0"/>
              <w:jc w:val="right"/>
            </w:pPr>
            <w:r>
              <w:rPr>
                <w:sz w:val="21"/>
              </w:rPr>
              <w:t>−0.9505</w:t>
            </w:r>
          </w:p>
        </w:tc>
        <w:tc>
          <w:tcPr>
            <w:tcW w:type="dxa" w:w="1152"/>
            <w:tcBorders>
              <w:top w:val="nil"/>
              <w:bottom w:val="single" w:sz="6" w:color="000000"/>
            </w:tcBorders>
          </w:tcPr>
          <w:p>
            <w:pPr>
              <w:spacing w:line="240" w:lineRule="auto" w:after="40"/>
              <w:ind w:firstLine="0"/>
              <w:jc w:val="right"/>
            </w:pPr>
            <w:r>
              <w:rPr>
                <w:sz w:val="21"/>
              </w:rPr>
              <w:t>−0.9585</w:t>
            </w:r>
          </w:p>
        </w:tc>
      </w:tr>
    </w:tbl>
    <w:p>
      <w:pPr>
        <w:pStyle w:val="APABodyNoIndent"/>
      </w:pPr>
    </w:p>
    <w:p>
      <w:pPr>
        <w:pStyle w:val="APACaptionLabel"/>
      </w:pPr>
      <w:r>
        <w:t>Figure 23</w:t>
      </w:r>
    </w:p>
    <w:p>
      <w:pPr>
        <w:pStyle w:val="APACaptionTitle"/>
      </w:pPr>
      <w:r>
        <w:t>Tawa Reservoir — measured index trajectory, 2016–2025.</w:t>
      </w:r>
    </w:p>
    <w:p>
      <w:pPr>
        <w:spacing w:line="240" w:lineRule="auto"/>
        <w:ind w:firstLine="0"/>
      </w:pPr>
      <w:r>
        <w:drawing>
          <wp:inline xmlns:a="http://schemas.openxmlformats.org/drawingml/2006/main" xmlns:pic="http://schemas.openxmlformats.org/drawingml/2006/picture">
            <wp:extent cx="5120640" cy="2622497"/>
            <wp:docPr id="23" name="Picture 23"/>
            <wp:cNvGraphicFramePr>
              <a:graphicFrameLocks noChangeAspect="1"/>
            </wp:cNvGraphicFramePr>
            <a:graphic>
              <a:graphicData uri="http://schemas.openxmlformats.org/drawingml/2006/picture">
                <pic:pic>
                  <pic:nvPicPr>
                    <pic:cNvPr id="0" name="tawa_hist_chart.png"/>
                    <pic:cNvPicPr/>
                  </pic:nvPicPr>
                  <pic:blipFill>
                    <a:blip r:embed="rId32"/>
                    <a:stretch>
                      <a:fillRect/>
                    </a:stretch>
                  </pic:blipFill>
                  <pic:spPr>
                    <a:xfrm>
                      <a:off x="0" y="0"/>
                      <a:ext cx="5120640" cy="2622497"/>
                    </a:xfrm>
                    <a:prstGeom prst="rect"/>
                  </pic:spPr>
                </pic:pic>
              </a:graphicData>
            </a:graphic>
          </wp:inline>
        </w:drawing>
      </w:r>
    </w:p>
    <w:p>
      <w:pPr>
        <w:pStyle w:val="APABodyNoIndent"/>
      </w:pPr>
    </w:p>
    <w:p>
      <w:pPr>
        <w:pStyle w:val="APABody"/>
      </w:pPr>
      <w:r>
        <w:t>Like Beas, Tawa shows no sustained one-way trend — every index oscillates across the decade rather than drifting monotonically, consistent with a managed reservoir where surface water extent tracks irrigation releases and monsoon refill rather than a directional ecological process. 2018 stands out as a local extremum across all five indices simultaneously (least negative NDCI/NDVI, lowest NDWI, least negative turbidity, only positive red-edge slope value in the series) — most plausibly a single unusually dry or low-water year rather than a data artifact, though it was not independently cross-checked against reservoir operation records.</w:t>
      </w:r>
    </w:p>
    <w:p>
      <w:pPr>
        <w:pStyle w:val="APAH3"/>
      </w:pPr>
      <w:r>
        <w:t>Forecast</w:t>
      </w:r>
    </w:p>
    <w:p>
      <w:pPr>
        <w:pStyle w:val="APACaptionLabel"/>
      </w:pPr>
      <w:r>
        <w:t>Table 17</w:t>
      </w:r>
    </w:p>
    <w:p>
      <w:pPr>
        <w:pStyle w:val="APACaptionTitle"/>
      </w:pPr>
      <w:r>
        <w:t>Tawa Reservoir — directional forecast 2026–2028.</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c>
          <w:tcPr>
            <w:tcW w:type="dxa" w:w="1440"/>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2025</w:t>
            </w:r>
          </w:p>
        </w:tc>
        <w:tc>
          <w:tcPr>
            <w:tcW w:type="dxa" w:w="2160"/>
            <w:tcBorders>
              <w:top w:val="single" w:sz="6" w:color="000000"/>
              <w:bottom w:val="single" w:sz="6" w:color="000000"/>
            </w:tcBorders>
          </w:tcPr>
          <w:p>
            <w:pPr>
              <w:spacing w:line="240" w:lineRule="auto" w:after="40"/>
              <w:ind w:firstLine="0"/>
              <w:jc w:val="left"/>
            </w:pPr>
            <w:r>
              <w:rPr>
                <w:sz w:val="21"/>
              </w:rPr>
              <w:t>2026</w:t>
            </w:r>
          </w:p>
        </w:tc>
        <w:tc>
          <w:tcPr>
            <w:tcW w:type="dxa" w:w="2160"/>
            <w:tcBorders>
              <w:top w:val="single" w:sz="6" w:color="000000"/>
              <w:bottom w:val="single" w:sz="6" w:color="000000"/>
            </w:tcBorders>
          </w:tcPr>
          <w:p>
            <w:pPr>
              <w:spacing w:line="240" w:lineRule="auto" w:after="40"/>
              <w:ind w:firstLine="0"/>
              <w:jc w:val="left"/>
            </w:pPr>
            <w:r>
              <w:rPr>
                <w:sz w:val="21"/>
              </w:rPr>
              <w:t>2027</w:t>
            </w:r>
          </w:p>
        </w:tc>
        <w:tc>
          <w:tcPr>
            <w:tcW w:type="dxa" w:w="2160"/>
            <w:tcBorders>
              <w:top w:val="single" w:sz="6" w:color="000000"/>
              <w:bottom w:val="single" w:sz="6" w:color="000000"/>
            </w:tcBorders>
          </w:tcPr>
          <w:p>
            <w:pPr>
              <w:spacing w:line="240" w:lineRule="auto" w:after="40"/>
              <w:ind w:firstLine="0"/>
              <w:jc w:val="left"/>
            </w:pPr>
            <w:r>
              <w:rPr>
                <w:sz w:val="21"/>
              </w:rPr>
              <w:t>2028</w:t>
            </w:r>
          </w:p>
        </w:tc>
      </w:tr>
      <w:tr>
        <w:tc>
          <w:tcPr>
            <w:tcW w:type="dxa" w:w="1440"/>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−0.0423</w:t>
            </w:r>
          </w:p>
        </w:tc>
        <w:tc>
          <w:tcPr>
            <w:tcW w:type="dxa" w:w="2160"/>
          </w:tcPr>
          <w:p>
            <w:pPr>
              <w:spacing w:line="240" w:lineRule="auto" w:after="40"/>
              <w:ind w:firstLine="0"/>
              <w:jc w:val="right"/>
            </w:pPr>
            <w:r>
              <w:rPr>
                <w:sz w:val="21"/>
              </w:rPr>
              <w:t>↑ (+0.0129, n=5)</w:t>
            </w:r>
          </w:p>
        </w:tc>
        <w:tc>
          <w:tcPr>
            <w:tcW w:type="dxa" w:w="2160"/>
          </w:tcPr>
          <w:p>
            <w:pPr>
              <w:spacing w:line="240" w:lineRule="auto" w:after="40"/>
              <w:ind w:firstLine="0"/>
              <w:jc w:val="right"/>
            </w:pPr>
            <w:r>
              <w:rPr>
                <w:sz w:val="21"/>
              </w:rPr>
              <w:t>↓ (−0.0158, n=5)</w:t>
            </w:r>
          </w:p>
        </w:tc>
        <w:tc>
          <w:tcPr>
            <w:tcW w:type="dxa" w:w="2160"/>
          </w:tcPr>
          <w:p>
            <w:pPr>
              <w:spacing w:line="240" w:lineRule="auto" w:after="40"/>
              <w:ind w:firstLine="0"/>
              <w:jc w:val="right"/>
            </w:pPr>
            <w:r>
              <w:rPr>
                <w:sz w:val="21"/>
              </w:rPr>
              <w:t>↑ (+0.0200, n=2)</w:t>
            </w:r>
          </w:p>
        </w:tc>
      </w:tr>
      <w:tr>
        <w:tc>
          <w:tcPr>
            <w:tcW w:type="dxa" w:w="1440"/>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−0.1918</w:t>
            </w:r>
          </w:p>
        </w:tc>
        <w:tc>
          <w:tcPr>
            <w:tcW w:type="dxa" w:w="2160"/>
          </w:tcPr>
          <w:p>
            <w:pPr>
              <w:spacing w:line="240" w:lineRule="auto" w:after="40"/>
              <w:ind w:firstLine="0"/>
              <w:jc w:val="right"/>
            </w:pPr>
            <w:r>
              <w:rPr>
                <w:sz w:val="21"/>
              </w:rPr>
              <w:t>↑ (+0.0207, n=5)</w:t>
            </w:r>
          </w:p>
        </w:tc>
        <w:tc>
          <w:tcPr>
            <w:tcW w:type="dxa" w:w="2160"/>
          </w:tcPr>
          <w:p>
            <w:pPr>
              <w:spacing w:line="240" w:lineRule="auto" w:after="40"/>
              <w:ind w:firstLine="0"/>
              <w:jc w:val="right"/>
            </w:pPr>
            <w:r>
              <w:rPr>
                <w:sz w:val="21"/>
              </w:rPr>
              <w:t>↓ (−0.0071, n=5)</w:t>
            </w:r>
          </w:p>
        </w:tc>
        <w:tc>
          <w:tcPr>
            <w:tcW w:type="dxa" w:w="2160"/>
          </w:tcPr>
          <w:p>
            <w:pPr>
              <w:spacing w:line="240" w:lineRule="auto" w:after="40"/>
              <w:ind w:firstLine="0"/>
              <w:jc w:val="right"/>
            </w:pPr>
            <w:r>
              <w:rPr>
                <w:sz w:val="21"/>
              </w:rPr>
              <w:t>↑ (+0.0056, n=2)</w:t>
            </w:r>
          </w:p>
        </w:tc>
      </w:tr>
      <w:tr>
        <w:tc>
          <w:tcPr>
            <w:tcW w:type="dxa" w:w="1440"/>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0.3701</w:t>
            </w:r>
          </w:p>
        </w:tc>
        <w:tc>
          <w:tcPr>
            <w:tcW w:type="dxa" w:w="2160"/>
          </w:tcPr>
          <w:p>
            <w:pPr>
              <w:spacing w:line="240" w:lineRule="auto" w:after="40"/>
              <w:ind w:firstLine="0"/>
              <w:jc w:val="right"/>
            </w:pPr>
            <w:r>
              <w:rPr>
                <w:sz w:val="21"/>
              </w:rPr>
              <w:t>↓ (−0.0420, n=5)</w:t>
            </w:r>
          </w:p>
        </w:tc>
        <w:tc>
          <w:tcPr>
            <w:tcW w:type="dxa" w:w="2160"/>
          </w:tcPr>
          <w:p>
            <w:pPr>
              <w:spacing w:line="240" w:lineRule="auto" w:after="40"/>
              <w:ind w:firstLine="0"/>
              <w:jc w:val="right"/>
            </w:pPr>
            <w:r>
              <w:rPr>
                <w:sz w:val="21"/>
              </w:rPr>
              <w:t>↑ (+0.0132, n=5)</w:t>
            </w:r>
          </w:p>
        </w:tc>
        <w:tc>
          <w:tcPr>
            <w:tcW w:type="dxa" w:w="2160"/>
          </w:tcPr>
          <w:p>
            <w:pPr>
              <w:spacing w:line="240" w:lineRule="auto" w:after="40"/>
              <w:ind w:firstLine="0"/>
              <w:jc w:val="right"/>
            </w:pPr>
            <w:r>
              <w:rPr>
                <w:sz w:val="21"/>
              </w:rPr>
              <w:t>↓ (−0.0348, n=2)</w:t>
            </w:r>
          </w:p>
        </w:tc>
      </w:tr>
      <w:tr>
        <w:tc>
          <w:tcPr>
            <w:tcW w:type="dxa" w:w="1440"/>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−0.1920</w:t>
            </w:r>
          </w:p>
        </w:tc>
        <w:tc>
          <w:tcPr>
            <w:tcW w:type="dxa" w:w="2160"/>
          </w:tcPr>
          <w:p>
            <w:pPr>
              <w:spacing w:line="240" w:lineRule="auto" w:after="40"/>
              <w:ind w:firstLine="0"/>
              <w:jc w:val="right"/>
            </w:pPr>
            <w:r>
              <w:rPr>
                <w:sz w:val="21"/>
              </w:rPr>
              <w:t>↑ (+0.0249, n=5)</w:t>
            </w:r>
          </w:p>
        </w:tc>
        <w:tc>
          <w:tcPr>
            <w:tcW w:type="dxa" w:w="2160"/>
          </w:tcPr>
          <w:p>
            <w:pPr>
              <w:spacing w:line="240" w:lineRule="auto" w:after="40"/>
              <w:ind w:firstLine="0"/>
              <w:jc w:val="right"/>
            </w:pPr>
            <w:r>
              <w:rPr>
                <w:sz w:val="21"/>
              </w:rPr>
              <w:t>↓ (−0.0075, n=5)</w:t>
            </w:r>
          </w:p>
        </w:tc>
        <w:tc>
          <w:tcPr>
            <w:tcW w:type="dxa" w:w="2160"/>
          </w:tcPr>
          <w:p>
            <w:pPr>
              <w:spacing w:line="240" w:lineRule="auto" w:after="40"/>
              <w:ind w:firstLine="0"/>
              <w:jc w:val="right"/>
            </w:pPr>
            <w:r>
              <w:rPr>
                <w:sz w:val="21"/>
              </w:rPr>
              <w:t>↑ (+0.0316, n=2)</w:t>
            </w:r>
          </w:p>
        </w:tc>
      </w:tr>
      <w:tr>
        <w:tc>
          <w:tcPr>
            <w:tcW w:type="dxa" w:w="1440"/>
            <w:tcBorders>
              <w:top w:val="nil"/>
              <w:bottom w:val="single" w:sz="6" w:color="000000"/>
            </w:tcBorders>
          </w:tcPr>
          <w:p>
            <w:pPr>
              <w:spacing w:line="240" w:lineRule="auto" w:after="40"/>
              <w:ind w:firstLine="0"/>
              <w:jc w:val="left"/>
            </w:pPr>
            <w:r>
              <w:rPr>
                <w:sz w:val="21"/>
              </w:rPr>
              <w:t>Red-edge</w:t>
            </w:r>
          </w:p>
        </w:tc>
        <w:tc>
          <w:tcPr>
            <w:tcW w:type="dxa" w:w="1152"/>
            <w:tcBorders>
              <w:top w:val="nil"/>
              <w:bottom w:val="single" w:sz="6" w:color="000000"/>
            </w:tcBorders>
          </w:tcPr>
          <w:p>
            <w:pPr>
              <w:spacing w:line="240" w:lineRule="auto" w:after="40"/>
              <w:ind w:firstLine="0"/>
              <w:jc w:val="right"/>
            </w:pPr>
            <w:r>
              <w:rPr>
                <w:sz w:val="21"/>
              </w:rPr>
              <w:t>−0.9585</w:t>
            </w:r>
          </w:p>
        </w:tc>
        <w:tc>
          <w:tcPr>
            <w:tcW w:type="dxa" w:w="2160"/>
            <w:tcBorders>
              <w:top w:val="nil"/>
              <w:bottom w:val="single" w:sz="6" w:color="000000"/>
            </w:tcBorders>
          </w:tcPr>
          <w:p>
            <w:pPr>
              <w:spacing w:line="240" w:lineRule="auto" w:after="40"/>
              <w:ind w:firstLine="0"/>
              <w:jc w:val="right"/>
            </w:pPr>
            <w:r>
              <w:rPr>
                <w:sz w:val="21"/>
              </w:rPr>
              <w:t>↓ (−0.0282, n=5)</w:t>
            </w:r>
          </w:p>
        </w:tc>
        <w:tc>
          <w:tcPr>
            <w:tcW w:type="dxa" w:w="2160"/>
            <w:tcBorders>
              <w:top w:val="nil"/>
              <w:bottom w:val="single" w:sz="6" w:color="000000"/>
            </w:tcBorders>
          </w:tcPr>
          <w:p>
            <w:pPr>
              <w:spacing w:line="240" w:lineRule="auto" w:after="40"/>
              <w:ind w:firstLine="0"/>
              <w:jc w:val="right"/>
            </w:pPr>
            <w:r>
              <w:rPr>
                <w:sz w:val="21"/>
              </w:rPr>
              <w:t>↑ (+0.0673, n=5)</w:t>
            </w:r>
          </w:p>
        </w:tc>
        <w:tc>
          <w:tcPr>
            <w:tcW w:type="dxa" w:w="2160"/>
            <w:tcBorders>
              <w:top w:val="nil"/>
              <w:bottom w:val="single" w:sz="6" w:color="000000"/>
            </w:tcBorders>
          </w:tcPr>
          <w:p>
            <w:pPr>
              <w:spacing w:line="240" w:lineRule="auto" w:after="40"/>
              <w:ind w:firstLine="0"/>
              <w:jc w:val="right"/>
            </w:pPr>
            <w:r>
              <w:rPr>
                <w:sz w:val="21"/>
              </w:rPr>
              <w:t>↓ (−0.1696, n=2)</w:t>
            </w:r>
          </w:p>
        </w:tc>
      </w:tr>
    </w:tbl>
    <w:p>
      <w:pPr>
        <w:pStyle w:val="APABodyNoIndent"/>
      </w:pPr>
    </w:p>
    <w:p>
      <w:pPr>
        <w:pStyle w:val="APACaptionLabel"/>
      </w:pPr>
      <w:r>
        <w:t>Figure 24</w:t>
      </w:r>
    </w:p>
    <w:p>
      <w:pPr>
        <w:pStyle w:val="APACaptionTitle"/>
      </w:pPr>
      <w:r>
        <w:t>Tawa Reservoir — projected index trajectory, 2025–2028.</w:t>
      </w:r>
    </w:p>
    <w:p>
      <w:pPr>
        <w:spacing w:line="240" w:lineRule="auto"/>
        <w:ind w:firstLine="0"/>
      </w:pPr>
      <w:r>
        <w:drawing>
          <wp:inline xmlns:a="http://schemas.openxmlformats.org/drawingml/2006/main" xmlns:pic="http://schemas.openxmlformats.org/drawingml/2006/picture">
            <wp:extent cx="3840480" cy="2106930"/>
            <wp:docPr id="24" name="Picture 24"/>
            <wp:cNvGraphicFramePr>
              <a:graphicFrameLocks noChangeAspect="1"/>
            </wp:cNvGraphicFramePr>
            <a:graphic>
              <a:graphicData uri="http://schemas.openxmlformats.org/drawingml/2006/picture">
                <pic:pic>
                  <pic:nvPicPr>
                    <pic:cNvPr id="0" name="tawa_fc_chart.png"/>
                    <pic:cNvPicPr/>
                  </pic:nvPicPr>
                  <pic:blipFill>
                    <a:blip r:embed="rId33"/>
                    <a:stretch>
                      <a:fillRect/>
                    </a:stretch>
                  </pic:blipFill>
                  <pic:spPr>
                    <a:xfrm>
                      <a:off x="0" y="0"/>
                      <a:ext cx="3840480" cy="2106930"/>
                    </a:xfrm>
                    <a:prstGeom prst="rect"/>
                  </pic:spPr>
                </pic:pic>
              </a:graphicData>
            </a:graphic>
          </wp:inline>
        </w:drawing>
      </w:r>
    </w:p>
    <w:p>
      <w:pPr>
        <w:pStyle w:val="APABodyNoIndent"/>
      </w:pPr>
    </w:p>
    <w:p>
      <w:pPr>
        <w:pStyle w:val="APAH3"/>
      </w:pPr>
      <w:r>
        <w:t>Interpretation</w:t>
      </w:r>
    </w:p>
    <w:p>
      <w:pPr>
        <w:pStyle w:val="APABody"/>
      </w:pPr>
      <w:r>
        <w:t>Every index alternates direction year over year, an oscillatory forecast that mirrors the oscillation already visible in the measured decade rather than projecting a new one-way trajectory. Confidence holds at n=5 for 2026–2027 before dropping to n=2 in 2028; the 2028 red-edge score (−0.1696) is the largest-magnitude cell in this table but rests on only two twins, so it should be read as suggestive, not calibrated.</w:t>
      </w:r>
    </w:p>
    <w:p>
      <w:pPr>
        <w:pStyle w:val="APAH3"/>
      </w:pPr>
      <w:r>
        <w:t>Documented Condition</w:t>
      </w:r>
    </w:p>
    <w:p>
      <w:pPr>
        <w:pStyle w:val="APABody"/>
      </w:pPr>
      <w:r>
        <w:t>Tawa Reservoir was notified as a Ramsar site in August 2024 on the strength of its biodiversity: 57 fish species, 21 mammals, and over 280 migratory bird species (MoEFCC, 2024; Ramsar Sites Information Service, 2024). As with Beas, no documented one-way ecological trend was found to check the measured oscillation against — the designation reflects current ecological richness rather than a published condition trajectory.</w:t>
      </w:r>
    </w:p>
    <w:p>
      <w:pPr>
        <w:pStyle w:val="APAH2"/>
      </w:pPr>
      <w:r>
        <w:t>Tso Morari, Ladakh</w:t>
      </w:r>
    </w:p>
    <w:p>
      <w:pPr>
        <w:pStyle w:val="APABody"/>
      </w:pPr>
      <w:r>
        <w:t>Tso Morari is a high-altitude brackish lake at 4522 m in the Trans-Himalayan cold desert — the cohort's environmental extreme, with minimal vegetation and glacial meltwater input.</w:t>
      </w:r>
    </w:p>
    <w:p>
      <w:pPr>
        <w:pStyle w:val="APACaptionLabel"/>
      </w:pPr>
      <w:r>
        <w:t>Figure 25</w:t>
      </w:r>
    </w:p>
    <w:p>
      <w:pPr>
        <w:pStyle w:val="APACaptionTitle"/>
      </w:pPr>
      <w:r>
        <w:t>Tso Morari's lake boundary in the live application.</w:t>
      </w:r>
    </w:p>
    <w:p>
      <w:pPr>
        <w:spacing w:line="240" w:lineRule="auto"/>
        <w:ind w:firstLine="0"/>
      </w:pPr>
      <w:r>
        <w:drawing>
          <wp:inline xmlns:a="http://schemas.openxmlformats.org/drawingml/2006/main" xmlns:pic="http://schemas.openxmlformats.org/drawingml/2006/picture">
            <wp:extent cx="4023360" cy="5800712"/>
            <wp:docPr id="25" name="Picture 25"/>
            <wp:cNvGraphicFramePr>
              <a:graphicFrameLocks noChangeAspect="1"/>
            </wp:cNvGraphicFramePr>
            <a:graphic>
              <a:graphicData uri="http://schemas.openxmlformats.org/drawingml/2006/picture">
                <pic:pic>
                  <pic:nvPicPr>
                    <pic:cNvPr id="0" name="overview.png"/>
                    <pic:cNvPicPr/>
                  </pic:nvPicPr>
                  <pic:blipFill>
                    <a:blip r:embed="rId34"/>
                    <a:stretch>
                      <a:fillRect/>
                    </a:stretch>
                  </pic:blipFill>
                  <pic:spPr>
                    <a:xfrm>
                      <a:off x="0" y="0"/>
                      <a:ext cx="4023360" cy="5800712"/>
                    </a:xfrm>
                    <a:prstGeom prst="rect"/>
                  </pic:spPr>
                </pic:pic>
              </a:graphicData>
            </a:graphic>
          </wp:inline>
        </w:drawing>
      </w:r>
    </w:p>
    <w:p>
      <w:pPr>
        <w:pStyle w:val="APABodyNoIndent"/>
      </w:pPr>
    </w:p>
    <w:p>
      <w:pPr>
        <w:pStyle w:val="APAH3"/>
      </w:pPr>
      <w:r>
        <w:t>Retrieved Analogs — The Strongest Validation</w:t>
      </w:r>
    </w:p>
    <w:p>
      <w:pPr>
        <w:pStyle w:val="APACaptionLabel"/>
      </w:pPr>
      <w:r>
        <w:t>Table 18</w:t>
      </w:r>
    </w:p>
    <w:p>
      <w:pPr>
        <w:pStyle w:val="APACaptionTitle"/>
      </w:pPr>
      <w:r>
        <w:t>Tso Morari — top five analogs (828 candidates, 160 ms).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576"/>
            <w:tcBorders>
              <w:top w:val="single" w:sz="6" w:color="000000"/>
              <w:bottom w:val="single" w:sz="6" w:color="000000"/>
            </w:tcBorders>
          </w:tcPr>
          <w:p>
            <w:pPr>
              <w:spacing w:line="240" w:lineRule="auto" w:after="40"/>
              <w:ind w:firstLine="0"/>
              <w:jc w:val="left"/>
            </w:pPr>
            <w:r>
              <w:rPr>
                <w:sz w:val="21"/>
              </w:rPr>
              <w:t>#</w:t>
            </w:r>
          </w:p>
        </w:tc>
        <w:tc>
          <w:tcPr>
            <w:tcW w:type="dxa" w:w="2448"/>
            <w:tcBorders>
              <w:top w:val="single" w:sz="6" w:color="000000"/>
              <w:bottom w:val="single" w:sz="6" w:color="000000"/>
            </w:tcBorders>
          </w:tcPr>
          <w:p>
            <w:pPr>
              <w:spacing w:line="240" w:lineRule="auto" w:after="40"/>
              <w:ind w:firstLine="0"/>
              <w:jc w:val="left"/>
            </w:pPr>
            <w:r>
              <w:rPr>
                <w:sz w:val="21"/>
              </w:rPr>
              <w:t>Lake</w:t>
            </w:r>
          </w:p>
        </w:tc>
        <w:tc>
          <w:tcPr>
            <w:tcW w:type="dxa" w:w="1872"/>
            <w:tcBorders>
              <w:top w:val="single" w:sz="6" w:color="000000"/>
              <w:bottom w:val="single" w:sz="6" w:color="000000"/>
            </w:tcBorders>
          </w:tcPr>
          <w:p>
            <w:pPr>
              <w:spacing w:line="240" w:lineRule="auto" w:after="40"/>
              <w:ind w:firstLine="0"/>
              <w:jc w:val="left"/>
            </w:pPr>
            <w:r>
              <w:rPr>
                <w:sz w:val="21"/>
              </w:rPr>
              <w:t>State</w:t>
            </w:r>
          </w:p>
        </w:tc>
        <w:tc>
          <w:tcPr>
            <w:tcW w:type="dxa" w:w="1152"/>
            <w:tcBorders>
              <w:top w:val="single" w:sz="6" w:color="000000"/>
              <w:bottom w:val="single" w:sz="6" w:color="000000"/>
            </w:tcBorders>
          </w:tcPr>
          <w:p>
            <w:pPr>
              <w:spacing w:line="240" w:lineRule="auto" w:after="40"/>
              <w:ind w:firstLine="0"/>
              <w:jc w:val="left"/>
            </w:pPr>
            <w:r>
              <w:rPr>
                <w:sz w:val="21"/>
              </w:rPr>
              <w:t>Area</w:t>
            </w:r>
          </w:p>
        </w:tc>
        <w:tc>
          <w:tcPr>
            <w:tcW w:type="dxa" w:w="1296"/>
            <w:tcBorders>
              <w:top w:val="single" w:sz="6" w:color="000000"/>
              <w:bottom w:val="single" w:sz="6" w:color="000000"/>
            </w:tcBorders>
          </w:tcPr>
          <w:p>
            <w:pPr>
              <w:spacing w:line="240" w:lineRule="auto" w:after="40"/>
              <w:ind w:firstLine="0"/>
              <w:jc w:val="left"/>
            </w:pPr>
            <w:r>
              <w:rPr>
                <w:sz w:val="21"/>
              </w:rPr>
              <w:t>Raw cos.</w:t>
            </w:r>
          </w:p>
        </w:tc>
        <w:tc>
          <w:tcPr>
            <w:tcW w:type="dxa" w:w="1584"/>
            <w:tcBorders>
              <w:top w:val="single" w:sz="6" w:color="000000"/>
              <w:bottom w:val="single" w:sz="6" w:color="000000"/>
            </w:tcBorders>
          </w:tcPr>
          <w:p>
            <w:pPr>
              <w:spacing w:line="240" w:lineRule="auto" w:after="40"/>
              <w:ind w:firstLine="0"/>
              <w:jc w:val="left"/>
            </w:pPr>
            <w:r>
              <w:rPr>
                <w:sz w:val="21"/>
              </w:rPr>
              <w:t>Window</w:t>
            </w:r>
          </w:p>
        </w:tc>
      </w:tr>
      <w:tr>
        <w:tc>
          <w:tcPr>
            <w:tcW w:type="dxa" w:w="576"/>
          </w:tcPr>
          <w:p>
            <w:pPr>
              <w:spacing w:line="240" w:lineRule="auto" w:after="40"/>
              <w:ind w:firstLine="0"/>
              <w:jc w:val="left"/>
            </w:pPr>
            <w:r>
              <w:rPr>
                <w:sz w:val="21"/>
              </w:rPr>
              <w:t>1</w:t>
            </w:r>
          </w:p>
        </w:tc>
        <w:tc>
          <w:tcPr>
            <w:tcW w:type="dxa" w:w="2448"/>
          </w:tcPr>
          <w:p>
            <w:pPr>
              <w:spacing w:line="240" w:lineRule="auto" w:after="40"/>
              <w:ind w:firstLine="0"/>
              <w:jc w:val="right"/>
            </w:pPr>
            <w:r>
              <w:rPr>
                <w:sz w:val="21"/>
              </w:rPr>
            </w:r>
            <w:r>
              <w:rPr>
                <w:b/>
                <w:sz w:val="21"/>
              </w:rPr>
              <w:t>Pangong Tso</w:t>
            </w:r>
          </w:p>
        </w:tc>
        <w:tc>
          <w:tcPr>
            <w:tcW w:type="dxa" w:w="1872"/>
          </w:tcPr>
          <w:p>
            <w:pPr>
              <w:spacing w:line="240" w:lineRule="auto" w:after="40"/>
              <w:ind w:firstLine="0"/>
              <w:jc w:val="right"/>
            </w:pPr>
            <w:r>
              <w:rPr>
                <w:sz w:val="21"/>
              </w:rPr>
            </w:r>
            <w:r>
              <w:rPr>
                <w:b/>
                <w:sz w:val="21"/>
              </w:rPr>
              <w:t>Ladakh</w:t>
            </w:r>
          </w:p>
        </w:tc>
        <w:tc>
          <w:tcPr>
            <w:tcW w:type="dxa" w:w="1152"/>
          </w:tcPr>
          <w:p>
            <w:pPr>
              <w:spacing w:line="240" w:lineRule="auto" w:after="40"/>
              <w:ind w:firstLine="0"/>
              <w:jc w:val="right"/>
            </w:pPr>
            <w:r>
              <w:rPr>
                <w:sz w:val="21"/>
              </w:rPr>
              <w:t>285.46</w:t>
            </w:r>
          </w:p>
        </w:tc>
        <w:tc>
          <w:tcPr>
            <w:tcW w:type="dxa" w:w="1296"/>
          </w:tcPr>
          <w:p>
            <w:pPr>
              <w:spacing w:line="240" w:lineRule="auto" w:after="40"/>
              <w:ind w:firstLine="0"/>
              <w:jc w:val="right"/>
            </w:pPr>
            <w:r>
              <w:rPr>
                <w:sz w:val="21"/>
              </w:rPr>
            </w:r>
            <w:r>
              <w:rPr>
                <w:b/>
                <w:sz w:val="21"/>
              </w:rPr>
              <w:t>0.99720</w:t>
            </w:r>
          </w:p>
        </w:tc>
        <w:tc>
          <w:tcPr>
            <w:tcW w:type="dxa" w:w="1584"/>
          </w:tcPr>
          <w:p>
            <w:pPr>
              <w:spacing w:line="240" w:lineRule="auto" w:after="40"/>
              <w:ind w:firstLine="0"/>
              <w:jc w:val="right"/>
            </w:pPr>
            <w:r>
              <w:rPr>
                <w:sz w:val="21"/>
              </w:rPr>
              <w:t>2021–2025</w:t>
            </w:r>
          </w:p>
        </w:tc>
      </w:tr>
      <w:tr>
        <w:tc>
          <w:tcPr>
            <w:tcW w:type="dxa" w:w="576"/>
          </w:tcPr>
          <w:p>
            <w:pPr>
              <w:spacing w:line="240" w:lineRule="auto" w:after="40"/>
              <w:ind w:firstLine="0"/>
              <w:jc w:val="left"/>
            </w:pPr>
            <w:r>
              <w:rPr>
                <w:sz w:val="21"/>
              </w:rPr>
              <w:t>2</w:t>
            </w:r>
          </w:p>
        </w:tc>
        <w:tc>
          <w:tcPr>
            <w:tcW w:type="dxa" w:w="2448"/>
          </w:tcPr>
          <w:p>
            <w:pPr>
              <w:spacing w:line="240" w:lineRule="auto" w:after="40"/>
              <w:ind w:firstLine="0"/>
              <w:jc w:val="right"/>
            </w:pPr>
            <w:r>
              <w:rPr>
                <w:sz w:val="21"/>
              </w:rPr>
              <w:t>178351</w:t>
            </w:r>
          </w:p>
        </w:tc>
        <w:tc>
          <w:tcPr>
            <w:tcW w:type="dxa" w:w="1872"/>
          </w:tcPr>
          <w:p>
            <w:pPr>
              <w:spacing w:line="240" w:lineRule="auto" w:after="40"/>
              <w:ind w:firstLine="0"/>
              <w:jc w:val="right"/>
            </w:pPr>
            <w:r>
              <w:rPr>
                <w:sz w:val="21"/>
              </w:rPr>
              <w:t>Maharashtra</w:t>
            </w:r>
          </w:p>
        </w:tc>
        <w:tc>
          <w:tcPr>
            <w:tcW w:type="dxa" w:w="1152"/>
          </w:tcPr>
          <w:p>
            <w:pPr>
              <w:spacing w:line="240" w:lineRule="auto" w:after="40"/>
              <w:ind w:firstLine="0"/>
              <w:jc w:val="right"/>
            </w:pPr>
            <w:r>
              <w:rPr>
                <w:sz w:val="21"/>
              </w:rPr>
              <w:t>8.52</w:t>
            </w:r>
          </w:p>
        </w:tc>
        <w:tc>
          <w:tcPr>
            <w:tcW w:type="dxa" w:w="1296"/>
          </w:tcPr>
          <w:p>
            <w:pPr>
              <w:spacing w:line="240" w:lineRule="auto" w:after="40"/>
              <w:ind w:firstLine="0"/>
              <w:jc w:val="right"/>
            </w:pPr>
            <w:r>
              <w:rPr>
                <w:sz w:val="21"/>
              </w:rPr>
              <w:t>0.98816</w:t>
            </w:r>
          </w:p>
        </w:tc>
        <w:tc>
          <w:tcPr>
            <w:tcW w:type="dxa" w:w="1584"/>
          </w:tcPr>
          <w:p>
            <w:pPr>
              <w:spacing w:line="240" w:lineRule="auto" w:after="40"/>
              <w:ind w:firstLine="0"/>
              <w:jc w:val="right"/>
            </w:pPr>
            <w:r>
              <w:rPr>
                <w:sz w:val="21"/>
              </w:rPr>
              <w:t>2021–2025</w:t>
            </w:r>
          </w:p>
        </w:tc>
      </w:tr>
      <w:tr>
        <w:tc>
          <w:tcPr>
            <w:tcW w:type="dxa" w:w="576"/>
          </w:tcPr>
          <w:p>
            <w:pPr>
              <w:spacing w:line="240" w:lineRule="auto" w:after="40"/>
              <w:ind w:firstLine="0"/>
              <w:jc w:val="left"/>
            </w:pPr>
            <w:r>
              <w:rPr>
                <w:sz w:val="21"/>
              </w:rPr>
              <w:t>3</w:t>
            </w:r>
          </w:p>
        </w:tc>
        <w:tc>
          <w:tcPr>
            <w:tcW w:type="dxa" w:w="2448"/>
          </w:tcPr>
          <w:p>
            <w:pPr>
              <w:spacing w:line="240" w:lineRule="auto" w:after="40"/>
              <w:ind w:firstLine="0"/>
              <w:jc w:val="right"/>
            </w:pPr>
            <w:r>
              <w:rPr>
                <w:sz w:val="21"/>
              </w:rPr>
              <w:t>15661</w:t>
            </w:r>
          </w:p>
        </w:tc>
        <w:tc>
          <w:tcPr>
            <w:tcW w:type="dxa" w:w="1872"/>
          </w:tcPr>
          <w:p>
            <w:pPr>
              <w:spacing w:line="240" w:lineRule="auto" w:after="40"/>
              <w:ind w:firstLine="0"/>
              <w:jc w:val="right"/>
            </w:pPr>
            <w:r>
              <w:rPr>
                <w:sz w:val="21"/>
              </w:rPr>
              <w:t>Maharashtra</w:t>
            </w:r>
          </w:p>
        </w:tc>
        <w:tc>
          <w:tcPr>
            <w:tcW w:type="dxa" w:w="1152"/>
          </w:tcPr>
          <w:p>
            <w:pPr>
              <w:spacing w:line="240" w:lineRule="auto" w:after="40"/>
              <w:ind w:firstLine="0"/>
              <w:jc w:val="right"/>
            </w:pPr>
            <w:r>
              <w:rPr>
                <w:sz w:val="21"/>
              </w:rPr>
              <w:t>10.12</w:t>
            </w:r>
          </w:p>
        </w:tc>
        <w:tc>
          <w:tcPr>
            <w:tcW w:type="dxa" w:w="1296"/>
          </w:tcPr>
          <w:p>
            <w:pPr>
              <w:spacing w:line="240" w:lineRule="auto" w:after="40"/>
              <w:ind w:firstLine="0"/>
              <w:jc w:val="right"/>
            </w:pPr>
            <w:r>
              <w:rPr>
                <w:sz w:val="21"/>
              </w:rPr>
              <w:t>0.98781</w:t>
            </w:r>
          </w:p>
        </w:tc>
        <w:tc>
          <w:tcPr>
            <w:tcW w:type="dxa" w:w="1584"/>
          </w:tcPr>
          <w:p>
            <w:pPr>
              <w:spacing w:line="240" w:lineRule="auto" w:after="40"/>
              <w:ind w:firstLine="0"/>
              <w:jc w:val="right"/>
            </w:pPr>
            <w:r>
              <w:rPr>
                <w:sz w:val="21"/>
              </w:rPr>
              <w:t>2021–2025</w:t>
            </w:r>
          </w:p>
        </w:tc>
      </w:tr>
      <w:tr>
        <w:tc>
          <w:tcPr>
            <w:tcW w:type="dxa" w:w="576"/>
          </w:tcPr>
          <w:p>
            <w:pPr>
              <w:spacing w:line="240" w:lineRule="auto" w:after="40"/>
              <w:ind w:firstLine="0"/>
              <w:jc w:val="left"/>
            </w:pPr>
            <w:r>
              <w:rPr>
                <w:sz w:val="21"/>
              </w:rPr>
              <w:t>4</w:t>
            </w:r>
          </w:p>
        </w:tc>
        <w:tc>
          <w:tcPr>
            <w:tcW w:type="dxa" w:w="2448"/>
          </w:tcPr>
          <w:p>
            <w:pPr>
              <w:spacing w:line="240" w:lineRule="auto" w:after="40"/>
              <w:ind w:firstLine="0"/>
              <w:jc w:val="right"/>
            </w:pPr>
            <w:r>
              <w:rPr>
                <w:sz w:val="21"/>
              </w:rPr>
              <w:t>178391</w:t>
            </w:r>
          </w:p>
        </w:tc>
        <w:tc>
          <w:tcPr>
            <w:tcW w:type="dxa" w:w="1872"/>
          </w:tcPr>
          <w:p>
            <w:pPr>
              <w:spacing w:line="240" w:lineRule="auto" w:after="40"/>
              <w:ind w:firstLine="0"/>
              <w:jc w:val="right"/>
            </w:pPr>
            <w:r>
              <w:rPr>
                <w:sz w:val="21"/>
              </w:rPr>
              <w:t>Maharashtra</w:t>
            </w:r>
          </w:p>
        </w:tc>
        <w:tc>
          <w:tcPr>
            <w:tcW w:type="dxa" w:w="1152"/>
          </w:tcPr>
          <w:p>
            <w:pPr>
              <w:spacing w:line="240" w:lineRule="auto" w:after="40"/>
              <w:ind w:firstLine="0"/>
              <w:jc w:val="right"/>
            </w:pPr>
            <w:r>
              <w:rPr>
                <w:sz w:val="21"/>
              </w:rPr>
              <w:t>3.06</w:t>
            </w:r>
          </w:p>
        </w:tc>
        <w:tc>
          <w:tcPr>
            <w:tcW w:type="dxa" w:w="1296"/>
          </w:tcPr>
          <w:p>
            <w:pPr>
              <w:spacing w:line="240" w:lineRule="auto" w:after="40"/>
              <w:ind w:firstLine="0"/>
              <w:jc w:val="right"/>
            </w:pPr>
            <w:r>
              <w:rPr>
                <w:sz w:val="21"/>
              </w:rPr>
              <w:t>0.98769</w:t>
            </w:r>
          </w:p>
        </w:tc>
        <w:tc>
          <w:tcPr>
            <w:tcW w:type="dxa" w:w="1584"/>
          </w:tcPr>
          <w:p>
            <w:pPr>
              <w:spacing w:line="240" w:lineRule="auto" w:after="40"/>
              <w:ind w:firstLine="0"/>
              <w:jc w:val="right"/>
            </w:pPr>
            <w:r>
              <w:rPr>
                <w:sz w:val="21"/>
              </w:rPr>
              <w:t>2021–2025</w:t>
            </w:r>
          </w:p>
        </w:tc>
      </w:tr>
      <w:tr>
        <w:tc>
          <w:tcPr>
            <w:tcW w:type="dxa" w:w="576"/>
            <w:tcBorders>
              <w:top w:val="nil"/>
              <w:bottom w:val="single" w:sz="6" w:color="000000"/>
            </w:tcBorders>
          </w:tcPr>
          <w:p>
            <w:pPr>
              <w:spacing w:line="240" w:lineRule="auto" w:after="40"/>
              <w:ind w:firstLine="0"/>
              <w:jc w:val="left"/>
            </w:pPr>
            <w:r>
              <w:rPr>
                <w:sz w:val="21"/>
              </w:rPr>
              <w:t>5</w:t>
            </w:r>
          </w:p>
        </w:tc>
        <w:tc>
          <w:tcPr>
            <w:tcW w:type="dxa" w:w="2448"/>
            <w:tcBorders>
              <w:top w:val="nil"/>
              <w:bottom w:val="single" w:sz="6" w:color="000000"/>
            </w:tcBorders>
          </w:tcPr>
          <w:p>
            <w:pPr>
              <w:spacing w:line="240" w:lineRule="auto" w:after="40"/>
              <w:ind w:firstLine="0"/>
              <w:jc w:val="right"/>
            </w:pPr>
            <w:r>
              <w:rPr>
                <w:sz w:val="21"/>
              </w:rPr>
              <w:t>15828</w:t>
            </w:r>
          </w:p>
        </w:tc>
        <w:tc>
          <w:tcPr>
            <w:tcW w:type="dxa" w:w="1872"/>
            <w:tcBorders>
              <w:top w:val="nil"/>
              <w:bottom w:val="single" w:sz="6" w:color="000000"/>
            </w:tcBorders>
          </w:tcPr>
          <w:p>
            <w:pPr>
              <w:spacing w:line="240" w:lineRule="auto" w:after="40"/>
              <w:ind w:firstLine="0"/>
              <w:jc w:val="right"/>
            </w:pPr>
            <w:r>
              <w:rPr>
                <w:sz w:val="21"/>
              </w:rPr>
              <w:t>Kerala</w:t>
            </w:r>
          </w:p>
        </w:tc>
        <w:tc>
          <w:tcPr>
            <w:tcW w:type="dxa" w:w="1152"/>
            <w:tcBorders>
              <w:top w:val="nil"/>
              <w:bottom w:val="single" w:sz="6" w:color="000000"/>
            </w:tcBorders>
          </w:tcPr>
          <w:p>
            <w:pPr>
              <w:spacing w:line="240" w:lineRule="auto" w:after="40"/>
              <w:ind w:firstLine="0"/>
              <w:jc w:val="right"/>
            </w:pPr>
            <w:r>
              <w:rPr>
                <w:sz w:val="21"/>
              </w:rPr>
              <w:t>26.07</w:t>
            </w:r>
          </w:p>
        </w:tc>
        <w:tc>
          <w:tcPr>
            <w:tcW w:type="dxa" w:w="1296"/>
            <w:tcBorders>
              <w:top w:val="nil"/>
              <w:bottom w:val="single" w:sz="6" w:color="000000"/>
            </w:tcBorders>
          </w:tcPr>
          <w:p>
            <w:pPr>
              <w:spacing w:line="240" w:lineRule="auto" w:after="40"/>
              <w:ind w:firstLine="0"/>
              <w:jc w:val="right"/>
            </w:pPr>
            <w:r>
              <w:rPr>
                <w:sz w:val="21"/>
              </w:rPr>
              <w:t>0.98599</w:t>
            </w:r>
          </w:p>
        </w:tc>
        <w:tc>
          <w:tcPr>
            <w:tcW w:type="dxa" w:w="1584"/>
            <w:tcBorders>
              <w:top w:val="nil"/>
              <w:bottom w:val="single" w:sz="6" w:color="000000"/>
            </w:tcBorders>
          </w:tcPr>
          <w:p>
            <w:pPr>
              <w:spacing w:line="240" w:lineRule="auto" w:after="40"/>
              <w:ind w:firstLine="0"/>
              <w:jc w:val="right"/>
            </w:pPr>
            <w:r>
              <w:rPr>
                <w:sz w:val="21"/>
              </w:rPr>
              <w:t>2021–2025</w:t>
            </w:r>
          </w:p>
        </w:tc>
      </w:tr>
    </w:tbl>
    <w:p>
      <w:pPr>
        <w:pStyle w:val="APABodyNoIndent"/>
      </w:pPr>
    </w:p>
    <w:p>
      <w:pPr>
        <w:pStyle w:val="APABody"/>
      </w:pPr>
      <w:r>
        <w:t xml:space="preserve">This is the single most convincing retrieval result in the study. Out of 828 candidates spanning 26 states, the top-ranked analog for Tso Morari is </w:t>
      </w:r>
      <w:r>
        <w:rPr>
          <w:b/>
        </w:rPr>
        <w:t>Pangong Tso</w:t>
      </w:r>
      <w:r>
        <w:t xml:space="preserve"> — the other great high-altitude brackish lake of Ladakh, roughly 120 km away — recovered from reflectance alone, with no coordinates or lake-type metadata supplied. The score gap makes it stronger still: 0.99720 against rank 2's 0.98816, five times the spread between ranks 2 and 5, indicating the embedding space genuinely isolates high-altitude cold-desert lakes as a distinct class.</w:t>
      </w:r>
    </w:p>
    <w:p>
      <w:pPr>
        <w:pStyle w:val="APACaptionLabel"/>
      </w:pPr>
      <w:r>
        <w:t>Figure 26</w:t>
      </w:r>
    </w:p>
    <w:p>
      <w:pPr>
        <w:pStyle w:val="APACaptionTitle"/>
      </w:pPr>
      <w:r>
        <w:t>Tso Morari's ranked analogs in the live application; Pangong returns at rank 1.</w:t>
      </w:r>
    </w:p>
    <w:p>
      <w:pPr>
        <w:spacing w:line="240" w:lineRule="auto"/>
        <w:ind w:firstLine="0"/>
      </w:pPr>
      <w:r>
        <w:drawing>
          <wp:inline xmlns:a="http://schemas.openxmlformats.org/drawingml/2006/main" xmlns:pic="http://schemas.openxmlformats.org/drawingml/2006/picture">
            <wp:extent cx="4297680" cy="2416265"/>
            <wp:docPr id="26" name="Picture 26"/>
            <wp:cNvGraphicFramePr>
              <a:graphicFrameLocks noChangeAspect="1"/>
            </wp:cNvGraphicFramePr>
            <a:graphic>
              <a:graphicData uri="http://schemas.openxmlformats.org/drawingml/2006/picture">
                <pic:pic>
                  <pic:nvPicPr>
                    <pic:cNvPr id="0" name="morari_analogs.png"/>
                    <pic:cNvPicPr/>
                  </pic:nvPicPr>
                  <pic:blipFill>
                    <a:blip r:embed="rId35"/>
                    <a:stretch>
                      <a:fillRect/>
                    </a:stretch>
                  </pic:blipFill>
                  <pic:spPr>
                    <a:xfrm>
                      <a:off x="0" y="0"/>
                      <a:ext cx="4297680" cy="2416265"/>
                    </a:xfrm>
                    <a:prstGeom prst="rect"/>
                  </pic:spPr>
                </pic:pic>
              </a:graphicData>
            </a:graphic>
          </wp:inline>
        </w:drawing>
      </w:r>
    </w:p>
    <w:p>
      <w:pPr>
        <w:pStyle w:val="APABodyNoIndent"/>
      </w:pPr>
    </w:p>
    <w:p>
      <w:pPr>
        <w:pStyle w:val="APAH3"/>
      </w:pPr>
      <w:r>
        <w:t>Measured History</w:t>
      </w:r>
    </w:p>
    <w:p>
      <w:pPr>
        <w:pStyle w:val="APACaptionLabel"/>
      </w:pPr>
      <w:r>
        <w:t>Table 19</w:t>
      </w:r>
    </w:p>
    <w:p>
      <w:pPr>
        <w:pStyle w:val="APACaptionTitle"/>
      </w:pPr>
      <w:r>
        <w:t>Tso Morari — measured index history, 2016–2025.</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337"/>
        <w:gridCol w:w="1337"/>
        <w:gridCol w:w="1337"/>
        <w:gridCol w:w="1337"/>
        <w:gridCol w:w="1337"/>
        <w:gridCol w:w="1337"/>
        <w:gridCol w:w="1337"/>
      </w:tblGrid>
      <w:tr>
        <w:tc>
          <w:tcPr>
            <w:tcW w:type="dxa" w:w="1872"/>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2016</w:t>
            </w:r>
          </w:p>
        </w:tc>
        <w:tc>
          <w:tcPr>
            <w:tcW w:type="dxa" w:w="1152"/>
            <w:tcBorders>
              <w:top w:val="single" w:sz="6" w:color="000000"/>
              <w:bottom w:val="single" w:sz="6" w:color="000000"/>
            </w:tcBorders>
          </w:tcPr>
          <w:p>
            <w:pPr>
              <w:spacing w:line="240" w:lineRule="auto" w:after="40"/>
              <w:ind w:firstLine="0"/>
              <w:jc w:val="left"/>
            </w:pPr>
            <w:r>
              <w:rPr>
                <w:sz w:val="21"/>
              </w:rPr>
              <w:t>2018</w:t>
            </w:r>
          </w:p>
        </w:tc>
        <w:tc>
          <w:tcPr>
            <w:tcW w:type="dxa" w:w="1152"/>
            <w:tcBorders>
              <w:top w:val="single" w:sz="6" w:color="000000"/>
              <w:bottom w:val="single" w:sz="6" w:color="000000"/>
            </w:tcBorders>
          </w:tcPr>
          <w:p>
            <w:pPr>
              <w:spacing w:line="240" w:lineRule="auto" w:after="40"/>
              <w:ind w:firstLine="0"/>
              <w:jc w:val="left"/>
            </w:pPr>
            <w:r>
              <w:rPr>
                <w:sz w:val="21"/>
              </w:rPr>
              <w:t>2020</w:t>
            </w:r>
          </w:p>
        </w:tc>
        <w:tc>
          <w:tcPr>
            <w:tcW w:type="dxa" w:w="1152"/>
            <w:tcBorders>
              <w:top w:val="single" w:sz="6" w:color="000000"/>
              <w:bottom w:val="single" w:sz="6" w:color="000000"/>
            </w:tcBorders>
          </w:tcPr>
          <w:p>
            <w:pPr>
              <w:spacing w:line="240" w:lineRule="auto" w:after="40"/>
              <w:ind w:firstLine="0"/>
              <w:jc w:val="left"/>
            </w:pPr>
            <w:r>
              <w:rPr>
                <w:sz w:val="21"/>
              </w:rPr>
              <w:t>2022</w:t>
            </w:r>
          </w:p>
        </w:tc>
        <w:tc>
          <w:tcPr>
            <w:tcW w:type="dxa" w:w="1152"/>
            <w:tcBorders>
              <w:top w:val="single" w:sz="6" w:color="000000"/>
              <w:bottom w:val="single" w:sz="6" w:color="000000"/>
            </w:tcBorders>
          </w:tcPr>
          <w:p>
            <w:pPr>
              <w:spacing w:line="240" w:lineRule="auto" w:after="40"/>
              <w:ind w:firstLine="0"/>
              <w:jc w:val="left"/>
            </w:pPr>
            <w:r>
              <w:rPr>
                <w:sz w:val="21"/>
              </w:rPr>
              <w:t>2024</w:t>
            </w:r>
          </w:p>
        </w:tc>
        <w:tc>
          <w:tcPr>
            <w:tcW w:type="dxa" w:w="1152"/>
            <w:tcBorders>
              <w:top w:val="single" w:sz="6" w:color="000000"/>
              <w:bottom w:val="single" w:sz="6" w:color="000000"/>
            </w:tcBorders>
          </w:tcPr>
          <w:p>
            <w:pPr>
              <w:spacing w:line="240" w:lineRule="auto" w:after="40"/>
              <w:ind w:firstLine="0"/>
              <w:jc w:val="left"/>
            </w:pPr>
            <w:r>
              <w:rPr>
                <w:sz w:val="21"/>
              </w:rPr>
              <w:t>2025</w:t>
            </w:r>
          </w:p>
        </w:tc>
      </w:tr>
      <w:tr>
        <w:tc>
          <w:tcPr>
            <w:tcW w:type="dxa" w:w="1872"/>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−0.0396</w:t>
            </w:r>
          </w:p>
        </w:tc>
        <w:tc>
          <w:tcPr>
            <w:tcW w:type="dxa" w:w="1152"/>
          </w:tcPr>
          <w:p>
            <w:pPr>
              <w:spacing w:line="240" w:lineRule="auto" w:after="40"/>
              <w:ind w:firstLine="0"/>
              <w:jc w:val="right"/>
            </w:pPr>
            <w:r>
              <w:rPr>
                <w:sz w:val="21"/>
              </w:rPr>
              <w:t>−0.0212</w:t>
            </w:r>
          </w:p>
        </w:tc>
        <w:tc>
          <w:tcPr>
            <w:tcW w:type="dxa" w:w="1152"/>
          </w:tcPr>
          <w:p>
            <w:pPr>
              <w:spacing w:line="240" w:lineRule="auto" w:after="40"/>
              <w:ind w:firstLine="0"/>
              <w:jc w:val="right"/>
            </w:pPr>
            <w:r>
              <w:rPr>
                <w:sz w:val="21"/>
              </w:rPr>
              <w:t>−0.0417</w:t>
            </w:r>
          </w:p>
        </w:tc>
        <w:tc>
          <w:tcPr>
            <w:tcW w:type="dxa" w:w="1152"/>
          </w:tcPr>
          <w:p>
            <w:pPr>
              <w:spacing w:line="240" w:lineRule="auto" w:after="40"/>
              <w:ind w:firstLine="0"/>
              <w:jc w:val="right"/>
            </w:pPr>
            <w:r>
              <w:rPr>
                <w:sz w:val="21"/>
              </w:rPr>
              <w:t>−0.0450</w:t>
            </w:r>
          </w:p>
        </w:tc>
        <w:tc>
          <w:tcPr>
            <w:tcW w:type="dxa" w:w="1152"/>
          </w:tcPr>
          <w:p>
            <w:pPr>
              <w:spacing w:line="240" w:lineRule="auto" w:after="40"/>
              <w:ind w:firstLine="0"/>
              <w:jc w:val="right"/>
            </w:pPr>
            <w:r>
              <w:rPr>
                <w:sz w:val="21"/>
              </w:rPr>
              <w:t>−0.0337</w:t>
            </w:r>
          </w:p>
        </w:tc>
        <w:tc>
          <w:tcPr>
            <w:tcW w:type="dxa" w:w="1152"/>
          </w:tcPr>
          <w:p>
            <w:pPr>
              <w:spacing w:line="240" w:lineRule="auto" w:after="40"/>
              <w:ind w:firstLine="0"/>
              <w:jc w:val="right"/>
            </w:pPr>
            <w:r>
              <w:rPr>
                <w:sz w:val="21"/>
              </w:rPr>
              <w:t>−0.0376</w:t>
            </w:r>
          </w:p>
        </w:tc>
      </w:tr>
      <w:tr>
        <w:tc>
          <w:tcPr>
            <w:tcW w:type="dxa" w:w="1872"/>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−0.1584</w:t>
            </w:r>
          </w:p>
        </w:tc>
        <w:tc>
          <w:tcPr>
            <w:tcW w:type="dxa" w:w="1152"/>
          </w:tcPr>
          <w:p>
            <w:pPr>
              <w:spacing w:line="240" w:lineRule="auto" w:after="40"/>
              <w:ind w:firstLine="0"/>
              <w:jc w:val="right"/>
            </w:pPr>
            <w:r>
              <w:rPr>
                <w:sz w:val="21"/>
              </w:rPr>
              <w:t>−0.1030</w:t>
            </w:r>
          </w:p>
        </w:tc>
        <w:tc>
          <w:tcPr>
            <w:tcW w:type="dxa" w:w="1152"/>
          </w:tcPr>
          <w:p>
            <w:pPr>
              <w:spacing w:line="240" w:lineRule="auto" w:after="40"/>
              <w:ind w:firstLine="0"/>
              <w:jc w:val="right"/>
            </w:pPr>
            <w:r>
              <w:rPr>
                <w:sz w:val="21"/>
              </w:rPr>
              <w:t>−0.1000</w:t>
            </w:r>
          </w:p>
        </w:tc>
        <w:tc>
          <w:tcPr>
            <w:tcW w:type="dxa" w:w="1152"/>
          </w:tcPr>
          <w:p>
            <w:pPr>
              <w:spacing w:line="240" w:lineRule="auto" w:after="40"/>
              <w:ind w:firstLine="0"/>
              <w:jc w:val="right"/>
            </w:pPr>
            <w:r>
              <w:rPr>
                <w:sz w:val="21"/>
              </w:rPr>
              <w:t>−0.0926</w:t>
            </w:r>
          </w:p>
        </w:tc>
        <w:tc>
          <w:tcPr>
            <w:tcW w:type="dxa" w:w="1152"/>
          </w:tcPr>
          <w:p>
            <w:pPr>
              <w:spacing w:line="240" w:lineRule="auto" w:after="40"/>
              <w:ind w:firstLine="0"/>
              <w:jc w:val="right"/>
            </w:pPr>
            <w:r>
              <w:rPr>
                <w:sz w:val="21"/>
              </w:rPr>
              <w:t>−0.0501</w:t>
            </w:r>
          </w:p>
        </w:tc>
        <w:tc>
          <w:tcPr>
            <w:tcW w:type="dxa" w:w="1152"/>
          </w:tcPr>
          <w:p>
            <w:pPr>
              <w:spacing w:line="240" w:lineRule="auto" w:after="40"/>
              <w:ind w:firstLine="0"/>
              <w:jc w:val="right"/>
            </w:pPr>
            <w:r>
              <w:rPr>
                <w:sz w:val="21"/>
              </w:rPr>
              <w:t>−0.0510</w:t>
            </w:r>
          </w:p>
        </w:tc>
      </w:tr>
      <w:tr>
        <w:tc>
          <w:tcPr>
            <w:tcW w:type="dxa" w:w="1872"/>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0.5315</w:t>
            </w:r>
          </w:p>
        </w:tc>
        <w:tc>
          <w:tcPr>
            <w:tcW w:type="dxa" w:w="1152"/>
          </w:tcPr>
          <w:p>
            <w:pPr>
              <w:spacing w:line="240" w:lineRule="auto" w:after="40"/>
              <w:ind w:firstLine="0"/>
              <w:jc w:val="right"/>
            </w:pPr>
            <w:r>
              <w:rPr>
                <w:sz w:val="21"/>
              </w:rPr>
              <w:t>0.2805</w:t>
            </w:r>
          </w:p>
        </w:tc>
        <w:tc>
          <w:tcPr>
            <w:tcW w:type="dxa" w:w="1152"/>
          </w:tcPr>
          <w:p>
            <w:pPr>
              <w:spacing w:line="240" w:lineRule="auto" w:after="40"/>
              <w:ind w:firstLine="0"/>
              <w:jc w:val="right"/>
            </w:pPr>
            <w:r>
              <w:rPr>
                <w:sz w:val="21"/>
              </w:rPr>
              <w:t>0.4086</w:t>
            </w:r>
          </w:p>
        </w:tc>
        <w:tc>
          <w:tcPr>
            <w:tcW w:type="dxa" w:w="1152"/>
          </w:tcPr>
          <w:p>
            <w:pPr>
              <w:spacing w:line="240" w:lineRule="auto" w:after="40"/>
              <w:ind w:firstLine="0"/>
              <w:jc w:val="right"/>
            </w:pPr>
            <w:r>
              <w:rPr>
                <w:sz w:val="21"/>
              </w:rPr>
              <w:t>0.3934</w:t>
            </w:r>
          </w:p>
        </w:tc>
        <w:tc>
          <w:tcPr>
            <w:tcW w:type="dxa" w:w="1152"/>
          </w:tcPr>
          <w:p>
            <w:pPr>
              <w:spacing w:line="240" w:lineRule="auto" w:after="40"/>
              <w:ind w:firstLine="0"/>
              <w:jc w:val="right"/>
            </w:pPr>
            <w:r>
              <w:rPr>
                <w:sz w:val="21"/>
              </w:rPr>
              <w:t>0.2849</w:t>
            </w:r>
          </w:p>
        </w:tc>
        <w:tc>
          <w:tcPr>
            <w:tcW w:type="dxa" w:w="1152"/>
          </w:tcPr>
          <w:p>
            <w:pPr>
              <w:spacing w:line="240" w:lineRule="auto" w:after="40"/>
              <w:ind w:firstLine="0"/>
              <w:jc w:val="right"/>
            </w:pPr>
            <w:r>
              <w:rPr>
                <w:sz w:val="21"/>
              </w:rPr>
              <w:t>0.3371</w:t>
            </w:r>
          </w:p>
        </w:tc>
      </w:tr>
      <w:tr>
        <w:tc>
          <w:tcPr>
            <w:tcW w:type="dxa" w:w="1872"/>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−0.4074</w:t>
            </w:r>
          </w:p>
        </w:tc>
        <w:tc>
          <w:tcPr>
            <w:tcW w:type="dxa" w:w="1152"/>
          </w:tcPr>
          <w:p>
            <w:pPr>
              <w:spacing w:line="240" w:lineRule="auto" w:after="40"/>
              <w:ind w:firstLine="0"/>
              <w:jc w:val="right"/>
            </w:pPr>
            <w:r>
              <w:rPr>
                <w:sz w:val="21"/>
              </w:rPr>
              <w:t>−0.1828</w:t>
            </w:r>
          </w:p>
        </w:tc>
        <w:tc>
          <w:tcPr>
            <w:tcW w:type="dxa" w:w="1152"/>
          </w:tcPr>
          <w:p>
            <w:pPr>
              <w:spacing w:line="240" w:lineRule="auto" w:after="40"/>
              <w:ind w:firstLine="0"/>
              <w:jc w:val="right"/>
            </w:pPr>
            <w:r>
              <w:rPr>
                <w:sz w:val="21"/>
              </w:rPr>
              <w:t>−0.3217</w:t>
            </w:r>
          </w:p>
        </w:tc>
        <w:tc>
          <w:tcPr>
            <w:tcW w:type="dxa" w:w="1152"/>
          </w:tcPr>
          <w:p>
            <w:pPr>
              <w:spacing w:line="240" w:lineRule="auto" w:after="40"/>
              <w:ind w:firstLine="0"/>
              <w:jc w:val="right"/>
            </w:pPr>
            <w:r>
              <w:rPr>
                <w:sz w:val="21"/>
              </w:rPr>
              <w:t>−0.3121</w:t>
            </w:r>
          </w:p>
        </w:tc>
        <w:tc>
          <w:tcPr>
            <w:tcW w:type="dxa" w:w="1152"/>
          </w:tcPr>
          <w:p>
            <w:pPr>
              <w:spacing w:line="240" w:lineRule="auto" w:after="40"/>
              <w:ind w:firstLine="0"/>
              <w:jc w:val="right"/>
            </w:pPr>
            <w:r>
              <w:rPr>
                <w:sz w:val="21"/>
              </w:rPr>
              <w:t>−0.2382</w:t>
            </w:r>
          </w:p>
        </w:tc>
        <w:tc>
          <w:tcPr>
            <w:tcW w:type="dxa" w:w="1152"/>
          </w:tcPr>
          <w:p>
            <w:pPr>
              <w:spacing w:line="240" w:lineRule="auto" w:after="40"/>
              <w:ind w:firstLine="0"/>
              <w:jc w:val="right"/>
            </w:pPr>
            <w:r>
              <w:rPr>
                <w:sz w:val="21"/>
              </w:rPr>
              <w:t>−0.2912</w:t>
            </w:r>
          </w:p>
        </w:tc>
      </w:tr>
      <w:tr>
        <w:tc>
          <w:tcPr>
            <w:tcW w:type="dxa" w:w="1872"/>
            <w:tcBorders>
              <w:top w:val="nil"/>
              <w:bottom w:val="single" w:sz="6" w:color="000000"/>
            </w:tcBorders>
          </w:tcPr>
          <w:p>
            <w:pPr>
              <w:spacing w:line="240" w:lineRule="auto" w:after="40"/>
              <w:ind w:firstLine="0"/>
              <w:jc w:val="left"/>
            </w:pPr>
            <w:r>
              <w:rPr>
                <w:sz w:val="21"/>
              </w:rPr>
              <w:t>Red-edge slope</w:t>
            </w:r>
          </w:p>
        </w:tc>
        <w:tc>
          <w:tcPr>
            <w:tcW w:type="dxa" w:w="1152"/>
            <w:tcBorders>
              <w:top w:val="nil"/>
              <w:bottom w:val="single" w:sz="6" w:color="000000"/>
            </w:tcBorders>
          </w:tcPr>
          <w:p>
            <w:pPr>
              <w:spacing w:line="240" w:lineRule="auto" w:after="40"/>
              <w:ind w:firstLine="0"/>
              <w:jc w:val="right"/>
            </w:pPr>
            <w:r>
              <w:rPr>
                <w:sz w:val="21"/>
              </w:rPr>
              <w:t>−0.0893</w:t>
            </w:r>
          </w:p>
        </w:tc>
        <w:tc>
          <w:tcPr>
            <w:tcW w:type="dxa" w:w="1152"/>
            <w:tcBorders>
              <w:top w:val="nil"/>
              <w:bottom w:val="single" w:sz="6" w:color="000000"/>
            </w:tcBorders>
          </w:tcPr>
          <w:p>
            <w:pPr>
              <w:spacing w:line="240" w:lineRule="auto" w:after="40"/>
              <w:ind w:firstLine="0"/>
              <w:jc w:val="right"/>
            </w:pPr>
            <w:r>
              <w:rPr>
                <w:sz w:val="21"/>
              </w:rPr>
              <w:t>−0.2676</w:t>
            </w:r>
          </w:p>
        </w:tc>
        <w:tc>
          <w:tcPr>
            <w:tcW w:type="dxa" w:w="1152"/>
            <w:tcBorders>
              <w:top w:val="nil"/>
              <w:bottom w:val="single" w:sz="6" w:color="000000"/>
            </w:tcBorders>
          </w:tcPr>
          <w:p>
            <w:pPr>
              <w:spacing w:line="240" w:lineRule="auto" w:after="40"/>
              <w:ind w:firstLine="0"/>
              <w:jc w:val="right"/>
            </w:pPr>
            <w:r>
              <w:rPr>
                <w:sz w:val="21"/>
              </w:rPr>
              <w:t>−0.1009</w:t>
            </w:r>
          </w:p>
        </w:tc>
        <w:tc>
          <w:tcPr>
            <w:tcW w:type="dxa" w:w="1152"/>
            <w:tcBorders>
              <w:top w:val="nil"/>
              <w:bottom w:val="single" w:sz="6" w:color="000000"/>
            </w:tcBorders>
          </w:tcPr>
          <w:p>
            <w:pPr>
              <w:spacing w:line="240" w:lineRule="auto" w:after="40"/>
              <w:ind w:firstLine="0"/>
              <w:jc w:val="right"/>
            </w:pPr>
            <w:r>
              <w:rPr>
                <w:sz w:val="21"/>
              </w:rPr>
              <w:t>−0.0617</w:t>
            </w:r>
          </w:p>
        </w:tc>
        <w:tc>
          <w:tcPr>
            <w:tcW w:type="dxa" w:w="1152"/>
            <w:tcBorders>
              <w:top w:val="nil"/>
              <w:bottom w:val="single" w:sz="6" w:color="000000"/>
            </w:tcBorders>
          </w:tcPr>
          <w:p>
            <w:pPr>
              <w:spacing w:line="240" w:lineRule="auto" w:after="40"/>
              <w:ind w:firstLine="0"/>
              <w:jc w:val="right"/>
            </w:pPr>
            <w:r>
              <w:rPr>
                <w:sz w:val="21"/>
              </w:rPr>
              <w:t>−0.0007</w:t>
            </w:r>
          </w:p>
        </w:tc>
        <w:tc>
          <w:tcPr>
            <w:tcW w:type="dxa" w:w="1152"/>
            <w:tcBorders>
              <w:top w:val="nil"/>
              <w:bottom w:val="single" w:sz="6" w:color="000000"/>
            </w:tcBorders>
          </w:tcPr>
          <w:p>
            <w:pPr>
              <w:spacing w:line="240" w:lineRule="auto" w:after="40"/>
              <w:ind w:firstLine="0"/>
              <w:jc w:val="right"/>
            </w:pPr>
            <w:r>
              <w:rPr>
                <w:sz w:val="21"/>
              </w:rPr>
              <w:t>−0.0446</w:t>
            </w:r>
          </w:p>
        </w:tc>
      </w:tr>
    </w:tbl>
    <w:p>
      <w:pPr>
        <w:pStyle w:val="APABodyNoIndent"/>
      </w:pPr>
    </w:p>
    <w:p>
      <w:pPr>
        <w:pStyle w:val="APACaptionLabel"/>
      </w:pPr>
      <w:r>
        <w:t>Figure 27</w:t>
      </w:r>
    </w:p>
    <w:p>
      <w:pPr>
        <w:pStyle w:val="APACaptionTitle"/>
      </w:pPr>
      <w:r>
        <w:t>Tso Morari — measured index trajectory, 2016–2025.</w:t>
      </w:r>
    </w:p>
    <w:p>
      <w:pPr>
        <w:spacing w:line="240" w:lineRule="auto"/>
        <w:ind w:firstLine="0"/>
      </w:pPr>
      <w:r>
        <w:drawing>
          <wp:inline xmlns:a="http://schemas.openxmlformats.org/drawingml/2006/main" xmlns:pic="http://schemas.openxmlformats.org/drawingml/2006/picture">
            <wp:extent cx="5120640" cy="2619734"/>
            <wp:docPr id="27" name="Picture 27"/>
            <wp:cNvGraphicFramePr>
              <a:graphicFrameLocks noChangeAspect="1"/>
            </wp:cNvGraphicFramePr>
            <a:graphic>
              <a:graphicData uri="http://schemas.openxmlformats.org/drawingml/2006/picture">
                <pic:pic>
                  <pic:nvPicPr>
                    <pic:cNvPr id="0" name="tsomorari_hist_chart.png"/>
                    <pic:cNvPicPr/>
                  </pic:nvPicPr>
                  <pic:blipFill>
                    <a:blip r:embed="rId36"/>
                    <a:stretch>
                      <a:fillRect/>
                    </a:stretch>
                  </pic:blipFill>
                  <pic:spPr>
                    <a:xfrm>
                      <a:off x="0" y="0"/>
                      <a:ext cx="5120640" cy="2619734"/>
                    </a:xfrm>
                    <a:prstGeom prst="rect"/>
                  </pic:spPr>
                </pic:pic>
              </a:graphicData>
            </a:graphic>
          </wp:inline>
        </w:drawing>
      </w:r>
    </w:p>
    <w:p>
      <w:pPr>
        <w:pStyle w:val="APABodyNoIndent"/>
      </w:pPr>
    </w:p>
    <w:p>
      <w:pPr>
        <w:pStyle w:val="APABody"/>
      </w:pPr>
      <w:r>
        <w:t xml:space="preserve">Tso Morari records the </w:t>
      </w:r>
      <w:r>
        <w:rPr>
          <w:b/>
        </w:rPr>
        <w:t>highest NDWI</w:t>
      </w:r>
      <w:r>
        <w:t xml:space="preserve"> (0.53) and </w:t>
      </w:r>
      <w:r>
        <w:rPr>
          <w:b/>
        </w:rPr>
        <w:t>most negative turbidity</w:t>
      </w:r>
      <w:r>
        <w:t xml:space="preserve"> (−0.41) in the study — the signature of exceptionally clear, vegetation-free, glacier-fed water, and the opposite extreme from Sasthamcotta's vegetation-heavy 2016 reading.</w:t>
      </w:r>
    </w:p>
    <w:p>
      <w:pPr>
        <w:pStyle w:val="APAH3"/>
      </w:pPr>
      <w:r>
        <w:t>Forecast</w:t>
      </w:r>
    </w:p>
    <w:p>
      <w:pPr>
        <w:pStyle w:val="APACaptionLabel"/>
      </w:pPr>
      <w:r>
        <w:t>Table 20</w:t>
      </w:r>
    </w:p>
    <w:p>
      <w:pPr>
        <w:pStyle w:val="APACaptionTitle"/>
      </w:pPr>
      <w:r>
        <w:t>Tso Morari — directional forecast 2026–2028.</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c>
          <w:tcPr>
            <w:tcW w:type="dxa" w:w="1440"/>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2025</w:t>
            </w:r>
          </w:p>
        </w:tc>
        <w:tc>
          <w:tcPr>
            <w:tcW w:type="dxa" w:w="2160"/>
            <w:tcBorders>
              <w:top w:val="single" w:sz="6" w:color="000000"/>
              <w:bottom w:val="single" w:sz="6" w:color="000000"/>
            </w:tcBorders>
          </w:tcPr>
          <w:p>
            <w:pPr>
              <w:spacing w:line="240" w:lineRule="auto" w:after="40"/>
              <w:ind w:firstLine="0"/>
              <w:jc w:val="left"/>
            </w:pPr>
            <w:r>
              <w:rPr>
                <w:sz w:val="21"/>
              </w:rPr>
              <w:t>2026</w:t>
            </w:r>
          </w:p>
        </w:tc>
        <w:tc>
          <w:tcPr>
            <w:tcW w:type="dxa" w:w="2160"/>
            <w:tcBorders>
              <w:top w:val="single" w:sz="6" w:color="000000"/>
              <w:bottom w:val="single" w:sz="6" w:color="000000"/>
            </w:tcBorders>
          </w:tcPr>
          <w:p>
            <w:pPr>
              <w:spacing w:line="240" w:lineRule="auto" w:after="40"/>
              <w:ind w:firstLine="0"/>
              <w:jc w:val="left"/>
            </w:pPr>
            <w:r>
              <w:rPr>
                <w:sz w:val="21"/>
              </w:rPr>
              <w:t>2027</w:t>
            </w:r>
          </w:p>
        </w:tc>
        <w:tc>
          <w:tcPr>
            <w:tcW w:type="dxa" w:w="2160"/>
            <w:tcBorders>
              <w:top w:val="single" w:sz="6" w:color="000000"/>
              <w:bottom w:val="single" w:sz="6" w:color="000000"/>
            </w:tcBorders>
          </w:tcPr>
          <w:p>
            <w:pPr>
              <w:spacing w:line="240" w:lineRule="auto" w:after="40"/>
              <w:ind w:firstLine="0"/>
              <w:jc w:val="left"/>
            </w:pPr>
            <w:r>
              <w:rPr>
                <w:sz w:val="21"/>
              </w:rPr>
              <w:t>2028</w:t>
            </w:r>
          </w:p>
        </w:tc>
      </w:tr>
      <w:tr>
        <w:tc>
          <w:tcPr>
            <w:tcW w:type="dxa" w:w="1440"/>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−0.0376</w:t>
            </w:r>
          </w:p>
        </w:tc>
        <w:tc>
          <w:tcPr>
            <w:tcW w:type="dxa" w:w="2160"/>
          </w:tcPr>
          <w:p>
            <w:pPr>
              <w:spacing w:line="240" w:lineRule="auto" w:after="40"/>
              <w:ind w:firstLine="0"/>
              <w:jc w:val="right"/>
            </w:pPr>
            <w:r>
              <w:rPr>
                <w:sz w:val="21"/>
              </w:rPr>
              <w:t>↑ (+0.0204, n=5)</w:t>
            </w:r>
          </w:p>
        </w:tc>
        <w:tc>
          <w:tcPr>
            <w:tcW w:type="dxa" w:w="2160"/>
          </w:tcPr>
          <w:p>
            <w:pPr>
              <w:spacing w:line="240" w:lineRule="auto" w:after="40"/>
              <w:ind w:firstLine="0"/>
              <w:jc w:val="right"/>
            </w:pPr>
            <w:r>
              <w:rPr>
                <w:sz w:val="21"/>
              </w:rPr>
              <w:t>→ (+0.0046, n=5)</w:t>
            </w:r>
          </w:p>
        </w:tc>
        <w:tc>
          <w:tcPr>
            <w:tcW w:type="dxa" w:w="2160"/>
          </w:tcPr>
          <w:p>
            <w:pPr>
              <w:spacing w:line="240" w:lineRule="auto" w:after="40"/>
              <w:ind w:firstLine="0"/>
              <w:jc w:val="right"/>
            </w:pPr>
            <w:r>
              <w:rPr>
                <w:sz w:val="21"/>
              </w:rPr>
              <w:t>↓ (−0.0057, n=5)</w:t>
            </w:r>
          </w:p>
        </w:tc>
      </w:tr>
      <w:tr>
        <w:tc>
          <w:tcPr>
            <w:tcW w:type="dxa" w:w="1440"/>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−0.0510</w:t>
            </w:r>
          </w:p>
        </w:tc>
        <w:tc>
          <w:tcPr>
            <w:tcW w:type="dxa" w:w="2160"/>
          </w:tcPr>
          <w:p>
            <w:pPr>
              <w:spacing w:line="240" w:lineRule="auto" w:after="40"/>
              <w:ind w:firstLine="0"/>
              <w:jc w:val="right"/>
            </w:pPr>
            <w:r>
              <w:rPr>
                <w:sz w:val="21"/>
              </w:rPr>
              <w:t>↑ (+0.0310, n=5)</w:t>
            </w:r>
          </w:p>
        </w:tc>
        <w:tc>
          <w:tcPr>
            <w:tcW w:type="dxa" w:w="2160"/>
          </w:tcPr>
          <w:p>
            <w:pPr>
              <w:spacing w:line="240" w:lineRule="auto" w:after="40"/>
              <w:ind w:firstLine="0"/>
              <w:jc w:val="right"/>
            </w:pPr>
            <w:r>
              <w:rPr>
                <w:sz w:val="21"/>
              </w:rPr>
              <w:t>↑ (+0.0262, n=5)</w:t>
            </w:r>
          </w:p>
        </w:tc>
        <w:tc>
          <w:tcPr>
            <w:tcW w:type="dxa" w:w="2160"/>
          </w:tcPr>
          <w:p>
            <w:pPr>
              <w:spacing w:line="240" w:lineRule="auto" w:after="40"/>
              <w:ind w:firstLine="0"/>
              <w:jc w:val="right"/>
            </w:pPr>
            <w:r>
              <w:rPr>
                <w:sz w:val="21"/>
              </w:rPr>
              <w:t>↓ (−0.0145, n=5)</w:t>
            </w:r>
          </w:p>
        </w:tc>
      </w:tr>
      <w:tr>
        <w:tc>
          <w:tcPr>
            <w:tcW w:type="dxa" w:w="1440"/>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0.3371</w:t>
            </w:r>
          </w:p>
        </w:tc>
        <w:tc>
          <w:tcPr>
            <w:tcW w:type="dxa" w:w="2160"/>
          </w:tcPr>
          <w:p>
            <w:pPr>
              <w:spacing w:line="240" w:lineRule="auto" w:after="40"/>
              <w:ind w:firstLine="0"/>
              <w:jc w:val="right"/>
            </w:pPr>
            <w:r>
              <w:rPr>
                <w:sz w:val="21"/>
              </w:rPr>
              <w:t>↓ (−0.0482, n=5)</w:t>
            </w:r>
          </w:p>
        </w:tc>
        <w:tc>
          <w:tcPr>
            <w:tcW w:type="dxa" w:w="2160"/>
          </w:tcPr>
          <w:p>
            <w:pPr>
              <w:spacing w:line="240" w:lineRule="auto" w:after="40"/>
              <w:ind w:firstLine="0"/>
              <w:jc w:val="right"/>
            </w:pPr>
            <w:r>
              <w:rPr>
                <w:sz w:val="21"/>
              </w:rPr>
              <w:t>↓ (−0.0260, n=5)</w:t>
            </w:r>
          </w:p>
        </w:tc>
        <w:tc>
          <w:tcPr>
            <w:tcW w:type="dxa" w:w="2160"/>
          </w:tcPr>
          <w:p>
            <w:pPr>
              <w:spacing w:line="240" w:lineRule="auto" w:after="40"/>
              <w:ind w:firstLine="0"/>
              <w:jc w:val="right"/>
            </w:pPr>
            <w:r>
              <w:rPr>
                <w:sz w:val="21"/>
              </w:rPr>
              <w:t>↓ (−0.0062, n=5)</w:t>
            </w:r>
          </w:p>
        </w:tc>
      </w:tr>
      <w:tr>
        <w:tc>
          <w:tcPr>
            <w:tcW w:type="dxa" w:w="1440"/>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−0.2912</w:t>
            </w:r>
          </w:p>
        </w:tc>
        <w:tc>
          <w:tcPr>
            <w:tcW w:type="dxa" w:w="2160"/>
          </w:tcPr>
          <w:p>
            <w:pPr>
              <w:spacing w:line="240" w:lineRule="auto" w:after="40"/>
              <w:ind w:firstLine="0"/>
              <w:jc w:val="right"/>
            </w:pPr>
            <w:r>
              <w:rPr>
                <w:sz w:val="21"/>
              </w:rPr>
              <w:t>↑ (+0.0204, n=5)</w:t>
            </w:r>
          </w:p>
        </w:tc>
        <w:tc>
          <w:tcPr>
            <w:tcW w:type="dxa" w:w="2160"/>
          </w:tcPr>
          <w:p>
            <w:pPr>
              <w:spacing w:line="240" w:lineRule="auto" w:after="40"/>
              <w:ind w:firstLine="0"/>
              <w:jc w:val="right"/>
            </w:pPr>
            <w:r>
              <w:rPr>
                <w:sz w:val="21"/>
              </w:rPr>
              <w:t>↓ (−0.0058, n=5)</w:t>
            </w:r>
          </w:p>
        </w:tc>
        <w:tc>
          <w:tcPr>
            <w:tcW w:type="dxa" w:w="2160"/>
          </w:tcPr>
          <w:p>
            <w:pPr>
              <w:spacing w:line="240" w:lineRule="auto" w:after="40"/>
              <w:ind w:firstLine="0"/>
              <w:jc w:val="right"/>
            </w:pPr>
            <w:r>
              <w:rPr>
                <w:sz w:val="21"/>
              </w:rPr>
              <w:t>↑ (+0.0172, n=5)</w:t>
            </w:r>
          </w:p>
        </w:tc>
      </w:tr>
      <w:tr>
        <w:tc>
          <w:tcPr>
            <w:tcW w:type="dxa" w:w="1440"/>
            <w:tcBorders>
              <w:top w:val="nil"/>
              <w:bottom w:val="single" w:sz="6" w:color="000000"/>
            </w:tcBorders>
          </w:tcPr>
          <w:p>
            <w:pPr>
              <w:spacing w:line="240" w:lineRule="auto" w:after="40"/>
              <w:ind w:firstLine="0"/>
              <w:jc w:val="left"/>
            </w:pPr>
            <w:r>
              <w:rPr>
                <w:sz w:val="21"/>
              </w:rPr>
              <w:t>Red-edge</w:t>
            </w:r>
          </w:p>
        </w:tc>
        <w:tc>
          <w:tcPr>
            <w:tcW w:type="dxa" w:w="1152"/>
            <w:tcBorders>
              <w:top w:val="nil"/>
              <w:bottom w:val="single" w:sz="6" w:color="000000"/>
            </w:tcBorders>
          </w:tcPr>
          <w:p>
            <w:pPr>
              <w:spacing w:line="240" w:lineRule="auto" w:after="40"/>
              <w:ind w:firstLine="0"/>
              <w:jc w:val="right"/>
            </w:pPr>
            <w:r>
              <w:rPr>
                <w:sz w:val="21"/>
              </w:rPr>
              <w:t>−0.0446</w:t>
            </w:r>
          </w:p>
        </w:tc>
        <w:tc>
          <w:tcPr>
            <w:tcW w:type="dxa" w:w="2160"/>
            <w:tcBorders>
              <w:top w:val="nil"/>
              <w:bottom w:val="single" w:sz="6" w:color="000000"/>
            </w:tcBorders>
          </w:tcPr>
          <w:p>
            <w:pPr>
              <w:spacing w:line="240" w:lineRule="auto" w:after="40"/>
              <w:ind w:firstLine="0"/>
              <w:jc w:val="right"/>
            </w:pPr>
            <w:r>
              <w:rPr>
                <w:sz w:val="21"/>
              </w:rPr>
              <w:t>↑ (+0.0499, n=5)</w:t>
            </w:r>
          </w:p>
        </w:tc>
        <w:tc>
          <w:tcPr>
            <w:tcW w:type="dxa" w:w="2160"/>
            <w:tcBorders>
              <w:top w:val="nil"/>
              <w:bottom w:val="single" w:sz="6" w:color="000000"/>
            </w:tcBorders>
          </w:tcPr>
          <w:p>
            <w:pPr>
              <w:spacing w:line="240" w:lineRule="auto" w:after="40"/>
              <w:ind w:firstLine="0"/>
              <w:jc w:val="right"/>
            </w:pPr>
            <w:r>
              <w:rPr>
                <w:sz w:val="21"/>
              </w:rPr>
              <w:t>↑ (+0.2908, n=5)</w:t>
            </w:r>
          </w:p>
        </w:tc>
        <w:tc>
          <w:tcPr>
            <w:tcW w:type="dxa" w:w="2160"/>
            <w:tcBorders>
              <w:top w:val="nil"/>
              <w:bottom w:val="single" w:sz="6" w:color="000000"/>
            </w:tcBorders>
          </w:tcPr>
          <w:p>
            <w:pPr>
              <w:spacing w:line="240" w:lineRule="auto" w:after="40"/>
              <w:ind w:firstLine="0"/>
              <w:jc w:val="right"/>
            </w:pPr>
            <w:r>
              <w:rPr>
                <w:sz w:val="21"/>
              </w:rPr>
              <w:t>↓ (−0.0522, n=5)</w:t>
            </w:r>
          </w:p>
        </w:tc>
      </w:tr>
    </w:tbl>
    <w:p>
      <w:pPr>
        <w:pStyle w:val="APABodyNoIndent"/>
      </w:pPr>
    </w:p>
    <w:p>
      <w:pPr>
        <w:pStyle w:val="APACaptionLabel"/>
      </w:pPr>
      <w:r>
        <w:t>Figure 28</w:t>
      </w:r>
    </w:p>
    <w:p>
      <w:pPr>
        <w:pStyle w:val="APACaptionTitle"/>
      </w:pPr>
      <w:r>
        <w:t>Tso Morari — projected index trajectory, 2025–2028.</w:t>
      </w:r>
    </w:p>
    <w:p>
      <w:pPr>
        <w:spacing w:line="240" w:lineRule="auto"/>
        <w:ind w:firstLine="0"/>
      </w:pPr>
      <w:r>
        <w:drawing>
          <wp:inline xmlns:a="http://schemas.openxmlformats.org/drawingml/2006/main" xmlns:pic="http://schemas.openxmlformats.org/drawingml/2006/picture">
            <wp:extent cx="3840480" cy="2180815"/>
            <wp:docPr id="28" name="Picture 28"/>
            <wp:cNvGraphicFramePr>
              <a:graphicFrameLocks noChangeAspect="1"/>
            </wp:cNvGraphicFramePr>
            <a:graphic>
              <a:graphicData uri="http://schemas.openxmlformats.org/drawingml/2006/picture">
                <pic:pic>
                  <pic:nvPicPr>
                    <pic:cNvPr id="0" name="tsomorari_fc_chart.png"/>
                    <pic:cNvPicPr/>
                  </pic:nvPicPr>
                  <pic:blipFill>
                    <a:blip r:embed="rId37"/>
                    <a:stretch>
                      <a:fillRect/>
                    </a:stretch>
                  </pic:blipFill>
                  <pic:spPr>
                    <a:xfrm>
                      <a:off x="0" y="0"/>
                      <a:ext cx="3840480" cy="2180815"/>
                    </a:xfrm>
                    <a:prstGeom prst="rect"/>
                  </pic:spPr>
                </pic:pic>
              </a:graphicData>
            </a:graphic>
          </wp:inline>
        </w:drawing>
      </w:r>
    </w:p>
    <w:p>
      <w:pPr>
        <w:pStyle w:val="APABodyNoIndent"/>
      </w:pPr>
    </w:p>
    <w:p>
      <w:pPr>
        <w:pStyle w:val="APACaptionLabel"/>
      </w:pPr>
      <w:r>
        <w:t>Figure 29</w:t>
      </w:r>
    </w:p>
    <w:p>
      <w:pPr>
        <w:pStyle w:val="APACaptionTitle"/>
      </w:pPr>
      <w:r>
        <w:t>Tso Morari's forecast summary under the earlier B7-proxy implementation.</w:t>
      </w:r>
    </w:p>
    <w:p>
      <w:pPr>
        <w:spacing w:line="240" w:lineRule="auto"/>
        <w:ind w:firstLine="0"/>
      </w:pPr>
      <w:r>
        <w:drawing>
          <wp:inline xmlns:a="http://schemas.openxmlformats.org/drawingml/2006/main" xmlns:pic="http://schemas.openxmlformats.org/drawingml/2006/picture">
            <wp:extent cx="2377440" cy="2958422"/>
            <wp:docPr id="29" name="Picture 29"/>
            <wp:cNvGraphicFramePr>
              <a:graphicFrameLocks noChangeAspect="1"/>
            </wp:cNvGraphicFramePr>
            <a:graphic>
              <a:graphicData uri="http://schemas.openxmlformats.org/drawingml/2006/picture">
                <pic:pic>
                  <pic:nvPicPr>
                    <pic:cNvPr id="0" name="Forecast_part4.png"/>
                    <pic:cNvPicPr/>
                  </pic:nvPicPr>
                  <pic:blipFill>
                    <a:blip r:embed="rId38"/>
                    <a:stretch>
                      <a:fillRect/>
                    </a:stretch>
                  </pic:blipFill>
                  <pic:spPr>
                    <a:xfrm>
                      <a:off x="0" y="0"/>
                      <a:ext cx="2377440" cy="2958422"/>
                    </a:xfrm>
                    <a:prstGeom prst="rect"/>
                  </pic:spPr>
                </pic:pic>
              </a:graphicData>
            </a:graphic>
          </wp:inline>
        </w:drawing>
      </w:r>
    </w:p>
    <w:p>
      <w:pPr>
        <w:pStyle w:val="APACaptionNote"/>
      </w:pPr>
      <w:r>
        <w:rPr>
          <w:i/>
        </w:rPr>
        <w:t xml:space="preserve">Note. </w:t>
      </w:r>
      <w:r>
        <w:t>Predates the switch to true-NIR B8.</w:t>
      </w:r>
    </w:p>
    <w:p>
      <w:pPr>
        <w:pStyle w:val="APABodyNoIndent"/>
      </w:pPr>
    </w:p>
    <w:p>
      <w:pPr>
        <w:pStyle w:val="APABody"/>
      </w:pPr>
      <w:r>
        <w:t xml:space="preserve">At the time this screenshot was captured, the live application's Forecast panel agreed with the then-current (B7-proxy) forecast on </w:t>
      </w:r>
      <w:r>
        <w:rPr>
          <w:b/>
        </w:rPr>
        <w:t>direction for all fifteen cells</w:t>
      </w:r>
      <w:r>
        <w:t>, despite drawing on 15 contributing twins rather than the 5 used offline — agreement despite a threefold difference in twin-pool size was evidence the classification was not an artifact of which handful of twins happened to be selected. That agreement has not yet been re-verified against the B8-based numbers above, since 2028's NDWI cell changed direction (→ became ↓) between the two implementations; a fresh capture is listed as follow-up work.</w:t>
      </w:r>
    </w:p>
    <w:p>
      <w:pPr>
        <w:pStyle w:val="APAH3"/>
      </w:pPr>
      <w:r>
        <w:t>Interpretation</w:t>
      </w:r>
    </w:p>
    <w:p>
      <w:pPr>
        <w:pStyle w:val="APABody"/>
      </w:pPr>
      <w:r>
        <w:t>Tso Morari is the only site where all five twins contribute to all three forecast years (n=5 throughout), the best-supported forecast in the study. The projection is mild — modest NDVI/NDCI increases, NDWI declining across all three years without reversal — appropriately undramatic for an ecosystem with no significant vegetation dynamic.</w:t>
      </w:r>
    </w:p>
    <w:p>
      <w:pPr>
        <w:pStyle w:val="APAH3"/>
      </w:pPr>
      <w:r>
        <w:t>Documented Condition</w:t>
      </w:r>
    </w:p>
    <w:p>
      <w:pPr>
        <w:pStyle w:val="APABody"/>
      </w:pPr>
      <w:r>
        <w:t>The literature on Tso Moriri attributes its water-level fluctuations primarily to within-year forcing (snowmelt and glacial meltwater against winter precipitation and evaporation) rather than a short secular trend, while flagging accelerating glacier mass loss across the wider Trans-Himalayan region as a longer-horizon concern (“Extreme Seasonal Water-Level Changes,” 2023). The near-decade stability measured here is consistent with a system dominated by within-year forcing, but cannot speak to the slower glacial retreat documented at the regional scale.</w:t>
      </w:r>
    </w:p>
    <w:p>
      <w:pPr>
        <w:pStyle w:val="APAH2"/>
      </w:pPr>
      <w:r>
        <w:t>Sasthamcotta Lake, Kerala</w:t>
      </w:r>
    </w:p>
    <w:p>
      <w:pPr>
        <w:pStyle w:val="APABody"/>
      </w:pPr>
      <w:r>
        <w:t>Sasthamcotta is Kerala's largest freshwater lake and the principal drinking-water source for Kollam district, a Ramsar site since 2002, freshwater despite lying only a few kilometres from the coast and close to the tidally-influenced Vembanad backwater system it replaces in this chapter. It is identified in the dataset as Unnamed Lake #179921 (Kerala), lake_id 179921.</w:t>
      </w:r>
    </w:p>
    <w:p>
      <w:pPr>
        <w:pStyle w:val="APACaptionLabel"/>
      </w:pPr>
      <w:r>
        <w:t>Figure 30</w:t>
      </w:r>
    </w:p>
    <w:p>
      <w:pPr>
        <w:pStyle w:val="APACaptionTitle"/>
      </w:pPr>
      <w:r>
        <w:t>Sasthamcotta's lake boundary in the live application.</w:t>
      </w:r>
    </w:p>
    <w:p>
      <w:pPr>
        <w:spacing w:line="240" w:lineRule="auto"/>
        <w:ind w:firstLine="0"/>
      </w:pPr>
      <w:r>
        <w:drawing>
          <wp:inline xmlns:a="http://schemas.openxmlformats.org/drawingml/2006/main" xmlns:pic="http://schemas.openxmlformats.org/drawingml/2006/picture">
            <wp:extent cx="3291840" cy="1970676"/>
            <wp:docPr id="30" name="Picture 30"/>
            <wp:cNvGraphicFramePr>
              <a:graphicFrameLocks noChangeAspect="1"/>
            </wp:cNvGraphicFramePr>
            <a:graphic>
              <a:graphicData uri="http://schemas.openxmlformats.org/drawingml/2006/picture">
                <pic:pic>
                  <pic:nvPicPr>
                    <pic:cNvPr id="0" name="over_view.png"/>
                    <pic:cNvPicPr/>
                  </pic:nvPicPr>
                  <pic:blipFill>
                    <a:blip r:embed="rId39"/>
                    <a:stretch>
                      <a:fillRect/>
                    </a:stretch>
                  </pic:blipFill>
                  <pic:spPr>
                    <a:xfrm>
                      <a:off x="0" y="0"/>
                      <a:ext cx="3291840" cy="1970676"/>
                    </a:xfrm>
                    <a:prstGeom prst="rect"/>
                  </pic:spPr>
                </pic:pic>
              </a:graphicData>
            </a:graphic>
          </wp:inline>
        </w:drawing>
      </w:r>
    </w:p>
    <w:p>
      <w:pPr>
        <w:pStyle w:val="APABodyNoIndent"/>
      </w:pPr>
    </w:p>
    <w:p>
      <w:pPr>
        <w:pStyle w:val="APAH3"/>
      </w:pPr>
      <w:r>
        <w:t>Retrieved Analogs</w:t>
      </w:r>
    </w:p>
    <w:p>
      <w:pPr>
        <w:pStyle w:val="APACaptionLabel"/>
      </w:pPr>
      <w:r>
        <w:t>Table 21</w:t>
      </w:r>
    </w:p>
    <w:p>
      <w:pPr>
        <w:pStyle w:val="APACaptionTitle"/>
      </w:pPr>
      <w:r>
        <w:t>Sasthamcotta — top five analogs (828 candidates).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576"/>
            <w:tcBorders>
              <w:top w:val="single" w:sz="6" w:color="000000"/>
              <w:bottom w:val="single" w:sz="6" w:color="000000"/>
            </w:tcBorders>
          </w:tcPr>
          <w:p>
            <w:pPr>
              <w:spacing w:line="240" w:lineRule="auto" w:after="40"/>
              <w:ind w:firstLine="0"/>
              <w:jc w:val="left"/>
            </w:pPr>
            <w:r>
              <w:rPr>
                <w:sz w:val="21"/>
              </w:rPr>
              <w:t>#</w:t>
            </w:r>
          </w:p>
        </w:tc>
        <w:tc>
          <w:tcPr>
            <w:tcW w:type="dxa" w:w="2448"/>
            <w:tcBorders>
              <w:top w:val="single" w:sz="6" w:color="000000"/>
              <w:bottom w:val="single" w:sz="6" w:color="000000"/>
            </w:tcBorders>
          </w:tcPr>
          <w:p>
            <w:pPr>
              <w:spacing w:line="240" w:lineRule="auto" w:after="40"/>
              <w:ind w:firstLine="0"/>
              <w:jc w:val="left"/>
            </w:pPr>
            <w:r>
              <w:rPr>
                <w:sz w:val="21"/>
              </w:rPr>
              <w:t>Lake</w:t>
            </w:r>
          </w:p>
        </w:tc>
        <w:tc>
          <w:tcPr>
            <w:tcW w:type="dxa" w:w="1872"/>
            <w:tcBorders>
              <w:top w:val="single" w:sz="6" w:color="000000"/>
              <w:bottom w:val="single" w:sz="6" w:color="000000"/>
            </w:tcBorders>
          </w:tcPr>
          <w:p>
            <w:pPr>
              <w:spacing w:line="240" w:lineRule="auto" w:after="40"/>
              <w:ind w:firstLine="0"/>
              <w:jc w:val="left"/>
            </w:pPr>
            <w:r>
              <w:rPr>
                <w:sz w:val="21"/>
              </w:rPr>
              <w:t>State</w:t>
            </w:r>
          </w:p>
        </w:tc>
        <w:tc>
          <w:tcPr>
            <w:tcW w:type="dxa" w:w="1152"/>
            <w:tcBorders>
              <w:top w:val="single" w:sz="6" w:color="000000"/>
              <w:bottom w:val="single" w:sz="6" w:color="000000"/>
            </w:tcBorders>
          </w:tcPr>
          <w:p>
            <w:pPr>
              <w:spacing w:line="240" w:lineRule="auto" w:after="40"/>
              <w:ind w:firstLine="0"/>
              <w:jc w:val="left"/>
            </w:pPr>
            <w:r>
              <w:rPr>
                <w:sz w:val="21"/>
              </w:rPr>
              <w:t>Area</w:t>
            </w:r>
          </w:p>
        </w:tc>
        <w:tc>
          <w:tcPr>
            <w:tcW w:type="dxa" w:w="1296"/>
            <w:tcBorders>
              <w:top w:val="single" w:sz="6" w:color="000000"/>
              <w:bottom w:val="single" w:sz="6" w:color="000000"/>
            </w:tcBorders>
          </w:tcPr>
          <w:p>
            <w:pPr>
              <w:spacing w:line="240" w:lineRule="auto" w:after="40"/>
              <w:ind w:firstLine="0"/>
              <w:jc w:val="left"/>
            </w:pPr>
            <w:r>
              <w:rPr>
                <w:sz w:val="21"/>
              </w:rPr>
              <w:t>Raw cos.</w:t>
            </w:r>
          </w:p>
        </w:tc>
        <w:tc>
          <w:tcPr>
            <w:tcW w:type="dxa" w:w="1584"/>
            <w:tcBorders>
              <w:top w:val="single" w:sz="6" w:color="000000"/>
              <w:bottom w:val="single" w:sz="6" w:color="000000"/>
            </w:tcBorders>
          </w:tcPr>
          <w:p>
            <w:pPr>
              <w:spacing w:line="240" w:lineRule="auto" w:after="40"/>
              <w:ind w:firstLine="0"/>
              <w:jc w:val="left"/>
            </w:pPr>
            <w:r>
              <w:rPr>
                <w:sz w:val="21"/>
              </w:rPr>
              <w:t>Window</w:t>
            </w:r>
          </w:p>
        </w:tc>
      </w:tr>
      <w:tr>
        <w:tc>
          <w:tcPr>
            <w:tcW w:type="dxa" w:w="576"/>
          </w:tcPr>
          <w:p>
            <w:pPr>
              <w:spacing w:line="240" w:lineRule="auto" w:after="40"/>
              <w:ind w:firstLine="0"/>
              <w:jc w:val="left"/>
            </w:pPr>
            <w:r>
              <w:rPr>
                <w:sz w:val="21"/>
              </w:rPr>
              <w:t>1</w:t>
            </w:r>
          </w:p>
        </w:tc>
        <w:tc>
          <w:tcPr>
            <w:tcW w:type="dxa" w:w="2448"/>
          </w:tcPr>
          <w:p>
            <w:pPr>
              <w:spacing w:line="240" w:lineRule="auto" w:after="40"/>
              <w:ind w:firstLine="0"/>
              <w:jc w:val="right"/>
            </w:pPr>
            <w:r>
              <w:rPr>
                <w:sz w:val="21"/>
              </w:rPr>
              <w:t>179945</w:t>
            </w:r>
          </w:p>
        </w:tc>
        <w:tc>
          <w:tcPr>
            <w:tcW w:type="dxa" w:w="1872"/>
          </w:tcPr>
          <w:p>
            <w:pPr>
              <w:spacing w:line="240" w:lineRule="auto" w:after="40"/>
              <w:ind w:firstLine="0"/>
              <w:jc w:val="right"/>
            </w:pPr>
            <w:r>
              <w:rPr>
                <w:sz w:val="21"/>
              </w:rPr>
              <w:t>Kerala</w:t>
            </w:r>
          </w:p>
        </w:tc>
        <w:tc>
          <w:tcPr>
            <w:tcW w:type="dxa" w:w="1152"/>
          </w:tcPr>
          <w:p>
            <w:pPr>
              <w:spacing w:line="240" w:lineRule="auto" w:after="40"/>
              <w:ind w:firstLine="0"/>
              <w:jc w:val="right"/>
            </w:pPr>
            <w:r>
              <w:rPr>
                <w:sz w:val="21"/>
              </w:rPr>
              <w:t>2.50</w:t>
            </w:r>
          </w:p>
        </w:tc>
        <w:tc>
          <w:tcPr>
            <w:tcW w:type="dxa" w:w="1296"/>
          </w:tcPr>
          <w:p>
            <w:pPr>
              <w:spacing w:line="240" w:lineRule="auto" w:after="40"/>
              <w:ind w:firstLine="0"/>
              <w:jc w:val="right"/>
            </w:pPr>
            <w:r>
              <w:rPr>
                <w:sz w:val="21"/>
              </w:rPr>
              <w:t>0.99784</w:t>
            </w:r>
          </w:p>
        </w:tc>
        <w:tc>
          <w:tcPr>
            <w:tcW w:type="dxa" w:w="1584"/>
          </w:tcPr>
          <w:p>
            <w:pPr>
              <w:spacing w:line="240" w:lineRule="auto" w:after="40"/>
              <w:ind w:firstLine="0"/>
              <w:jc w:val="right"/>
            </w:pPr>
            <w:r>
              <w:rPr>
                <w:sz w:val="21"/>
              </w:rPr>
              <w:t>2019–2023</w:t>
            </w:r>
          </w:p>
        </w:tc>
      </w:tr>
      <w:tr>
        <w:tc>
          <w:tcPr>
            <w:tcW w:type="dxa" w:w="576"/>
          </w:tcPr>
          <w:p>
            <w:pPr>
              <w:spacing w:line="240" w:lineRule="auto" w:after="40"/>
              <w:ind w:firstLine="0"/>
              <w:jc w:val="left"/>
            </w:pPr>
            <w:r>
              <w:rPr>
                <w:sz w:val="21"/>
              </w:rPr>
              <w:t>2</w:t>
            </w:r>
          </w:p>
        </w:tc>
        <w:tc>
          <w:tcPr>
            <w:tcW w:type="dxa" w:w="2448"/>
          </w:tcPr>
          <w:p>
            <w:pPr>
              <w:spacing w:line="240" w:lineRule="auto" w:after="40"/>
              <w:ind w:firstLine="0"/>
              <w:jc w:val="right"/>
            </w:pPr>
            <w:r>
              <w:rPr>
                <w:sz w:val="21"/>
              </w:rPr>
              <w:t>179981</w:t>
            </w:r>
          </w:p>
        </w:tc>
        <w:tc>
          <w:tcPr>
            <w:tcW w:type="dxa" w:w="1872"/>
          </w:tcPr>
          <w:p>
            <w:pPr>
              <w:spacing w:line="240" w:lineRule="auto" w:after="40"/>
              <w:ind w:firstLine="0"/>
              <w:jc w:val="right"/>
            </w:pPr>
            <w:r>
              <w:rPr>
                <w:sz w:val="21"/>
              </w:rPr>
              <w:t>Kerala</w:t>
            </w:r>
          </w:p>
        </w:tc>
        <w:tc>
          <w:tcPr>
            <w:tcW w:type="dxa" w:w="1152"/>
          </w:tcPr>
          <w:p>
            <w:pPr>
              <w:spacing w:line="240" w:lineRule="auto" w:after="40"/>
              <w:ind w:firstLine="0"/>
              <w:jc w:val="right"/>
            </w:pPr>
            <w:r>
              <w:rPr>
                <w:sz w:val="21"/>
              </w:rPr>
              <w:t>2.59</w:t>
            </w:r>
          </w:p>
        </w:tc>
        <w:tc>
          <w:tcPr>
            <w:tcW w:type="dxa" w:w="1296"/>
          </w:tcPr>
          <w:p>
            <w:pPr>
              <w:spacing w:line="240" w:lineRule="auto" w:after="40"/>
              <w:ind w:firstLine="0"/>
              <w:jc w:val="right"/>
            </w:pPr>
            <w:r>
              <w:rPr>
                <w:sz w:val="21"/>
              </w:rPr>
              <w:t>0.99777</w:t>
            </w:r>
          </w:p>
        </w:tc>
        <w:tc>
          <w:tcPr>
            <w:tcW w:type="dxa" w:w="1584"/>
          </w:tcPr>
          <w:p>
            <w:pPr>
              <w:spacing w:line="240" w:lineRule="auto" w:after="40"/>
              <w:ind w:firstLine="0"/>
              <w:jc w:val="right"/>
            </w:pPr>
            <w:r>
              <w:rPr>
                <w:sz w:val="21"/>
              </w:rPr>
              <w:t>2016–2020</w:t>
            </w:r>
          </w:p>
        </w:tc>
      </w:tr>
      <w:tr>
        <w:tc>
          <w:tcPr>
            <w:tcW w:type="dxa" w:w="576"/>
          </w:tcPr>
          <w:p>
            <w:pPr>
              <w:spacing w:line="240" w:lineRule="auto" w:after="40"/>
              <w:ind w:firstLine="0"/>
              <w:jc w:val="left"/>
            </w:pPr>
            <w:r>
              <w:rPr>
                <w:sz w:val="21"/>
              </w:rPr>
              <w:t>3</w:t>
            </w:r>
          </w:p>
        </w:tc>
        <w:tc>
          <w:tcPr>
            <w:tcW w:type="dxa" w:w="2448"/>
          </w:tcPr>
          <w:p>
            <w:pPr>
              <w:spacing w:line="240" w:lineRule="auto" w:after="40"/>
              <w:ind w:firstLine="0"/>
              <w:jc w:val="right"/>
            </w:pPr>
            <w:r>
              <w:rPr>
                <w:sz w:val="21"/>
              </w:rPr>
              <w:t>180015</w:t>
            </w:r>
          </w:p>
        </w:tc>
        <w:tc>
          <w:tcPr>
            <w:tcW w:type="dxa" w:w="1872"/>
          </w:tcPr>
          <w:p>
            <w:pPr>
              <w:spacing w:line="240" w:lineRule="auto" w:after="40"/>
              <w:ind w:firstLine="0"/>
              <w:jc w:val="right"/>
            </w:pPr>
            <w:r>
              <w:rPr>
                <w:sz w:val="21"/>
              </w:rPr>
              <w:t>Tamil Nadu</w:t>
            </w:r>
          </w:p>
        </w:tc>
        <w:tc>
          <w:tcPr>
            <w:tcW w:type="dxa" w:w="1152"/>
          </w:tcPr>
          <w:p>
            <w:pPr>
              <w:spacing w:line="240" w:lineRule="auto" w:after="40"/>
              <w:ind w:firstLine="0"/>
              <w:jc w:val="right"/>
            </w:pPr>
            <w:r>
              <w:rPr>
                <w:sz w:val="21"/>
              </w:rPr>
              <w:t>2.08</w:t>
            </w:r>
          </w:p>
        </w:tc>
        <w:tc>
          <w:tcPr>
            <w:tcW w:type="dxa" w:w="1296"/>
          </w:tcPr>
          <w:p>
            <w:pPr>
              <w:spacing w:line="240" w:lineRule="auto" w:after="40"/>
              <w:ind w:firstLine="0"/>
              <w:jc w:val="right"/>
            </w:pPr>
            <w:r>
              <w:rPr>
                <w:sz w:val="21"/>
              </w:rPr>
              <w:t>0.99754</w:t>
            </w:r>
          </w:p>
        </w:tc>
        <w:tc>
          <w:tcPr>
            <w:tcW w:type="dxa" w:w="1584"/>
          </w:tcPr>
          <w:p>
            <w:pPr>
              <w:spacing w:line="240" w:lineRule="auto" w:after="40"/>
              <w:ind w:firstLine="0"/>
              <w:jc w:val="right"/>
            </w:pPr>
            <w:r>
              <w:rPr>
                <w:sz w:val="21"/>
              </w:rPr>
              <w:t>2017–2021</w:t>
            </w:r>
          </w:p>
        </w:tc>
      </w:tr>
      <w:tr>
        <w:tc>
          <w:tcPr>
            <w:tcW w:type="dxa" w:w="576"/>
          </w:tcPr>
          <w:p>
            <w:pPr>
              <w:spacing w:line="240" w:lineRule="auto" w:after="40"/>
              <w:ind w:firstLine="0"/>
              <w:jc w:val="left"/>
            </w:pPr>
            <w:r>
              <w:rPr>
                <w:sz w:val="21"/>
              </w:rPr>
              <w:t>4</w:t>
            </w:r>
          </w:p>
        </w:tc>
        <w:tc>
          <w:tcPr>
            <w:tcW w:type="dxa" w:w="2448"/>
          </w:tcPr>
          <w:p>
            <w:pPr>
              <w:spacing w:line="240" w:lineRule="auto" w:after="40"/>
              <w:ind w:firstLine="0"/>
              <w:jc w:val="right"/>
            </w:pPr>
            <w:r>
              <w:rPr>
                <w:sz w:val="21"/>
              </w:rPr>
              <w:t>179746</w:t>
            </w:r>
          </w:p>
        </w:tc>
        <w:tc>
          <w:tcPr>
            <w:tcW w:type="dxa" w:w="1872"/>
          </w:tcPr>
          <w:p>
            <w:pPr>
              <w:spacing w:line="240" w:lineRule="auto" w:after="40"/>
              <w:ind w:firstLine="0"/>
              <w:jc w:val="right"/>
            </w:pPr>
            <w:r>
              <w:rPr>
                <w:sz w:val="21"/>
              </w:rPr>
              <w:t>Kerala</w:t>
            </w:r>
          </w:p>
        </w:tc>
        <w:tc>
          <w:tcPr>
            <w:tcW w:type="dxa" w:w="1152"/>
          </w:tcPr>
          <w:p>
            <w:pPr>
              <w:spacing w:line="240" w:lineRule="auto" w:after="40"/>
              <w:ind w:firstLine="0"/>
              <w:jc w:val="right"/>
            </w:pPr>
            <w:r>
              <w:rPr>
                <w:sz w:val="21"/>
              </w:rPr>
              <w:t>4.16</w:t>
            </w:r>
          </w:p>
        </w:tc>
        <w:tc>
          <w:tcPr>
            <w:tcW w:type="dxa" w:w="1296"/>
          </w:tcPr>
          <w:p>
            <w:pPr>
              <w:spacing w:line="240" w:lineRule="auto" w:after="40"/>
              <w:ind w:firstLine="0"/>
              <w:jc w:val="right"/>
            </w:pPr>
            <w:r>
              <w:rPr>
                <w:sz w:val="21"/>
              </w:rPr>
              <w:t>0.99709</w:t>
            </w:r>
          </w:p>
        </w:tc>
        <w:tc>
          <w:tcPr>
            <w:tcW w:type="dxa" w:w="1584"/>
          </w:tcPr>
          <w:p>
            <w:pPr>
              <w:spacing w:line="240" w:lineRule="auto" w:after="40"/>
              <w:ind w:firstLine="0"/>
              <w:jc w:val="right"/>
            </w:pPr>
            <w:r>
              <w:rPr>
                <w:sz w:val="21"/>
              </w:rPr>
              <w:t>2019–2023</w:t>
            </w:r>
          </w:p>
        </w:tc>
      </w:tr>
      <w:tr>
        <w:tc>
          <w:tcPr>
            <w:tcW w:type="dxa" w:w="576"/>
            <w:tcBorders>
              <w:top w:val="nil"/>
              <w:bottom w:val="single" w:sz="6" w:color="000000"/>
            </w:tcBorders>
          </w:tcPr>
          <w:p>
            <w:pPr>
              <w:spacing w:line="240" w:lineRule="auto" w:after="40"/>
              <w:ind w:firstLine="0"/>
              <w:jc w:val="left"/>
            </w:pPr>
            <w:r>
              <w:rPr>
                <w:sz w:val="21"/>
              </w:rPr>
              <w:t>5</w:t>
            </w:r>
          </w:p>
        </w:tc>
        <w:tc>
          <w:tcPr>
            <w:tcW w:type="dxa" w:w="2448"/>
            <w:tcBorders>
              <w:top w:val="nil"/>
              <w:bottom w:val="single" w:sz="6" w:color="000000"/>
            </w:tcBorders>
          </w:tcPr>
          <w:p>
            <w:pPr>
              <w:spacing w:line="240" w:lineRule="auto" w:after="40"/>
              <w:ind w:firstLine="0"/>
              <w:jc w:val="right"/>
            </w:pPr>
            <w:r>
              <w:rPr>
                <w:sz w:val="21"/>
              </w:rPr>
              <w:t>15611</w:t>
            </w:r>
          </w:p>
        </w:tc>
        <w:tc>
          <w:tcPr>
            <w:tcW w:type="dxa" w:w="1872"/>
            <w:tcBorders>
              <w:top w:val="nil"/>
              <w:bottom w:val="single" w:sz="6" w:color="000000"/>
            </w:tcBorders>
          </w:tcPr>
          <w:p>
            <w:pPr>
              <w:spacing w:line="240" w:lineRule="auto" w:after="40"/>
              <w:ind w:firstLine="0"/>
              <w:jc w:val="right"/>
            </w:pPr>
            <w:r>
              <w:rPr>
                <w:sz w:val="21"/>
              </w:rPr>
              <w:t>Maharashtra</w:t>
            </w:r>
          </w:p>
        </w:tc>
        <w:tc>
          <w:tcPr>
            <w:tcW w:type="dxa" w:w="1152"/>
            <w:tcBorders>
              <w:top w:val="nil"/>
              <w:bottom w:val="single" w:sz="6" w:color="000000"/>
            </w:tcBorders>
          </w:tcPr>
          <w:p>
            <w:pPr>
              <w:spacing w:line="240" w:lineRule="auto" w:after="40"/>
              <w:ind w:firstLine="0"/>
              <w:jc w:val="right"/>
            </w:pPr>
            <w:r>
              <w:rPr>
                <w:sz w:val="21"/>
              </w:rPr>
              <w:t>11.75</w:t>
            </w:r>
          </w:p>
        </w:tc>
        <w:tc>
          <w:tcPr>
            <w:tcW w:type="dxa" w:w="1296"/>
            <w:tcBorders>
              <w:top w:val="nil"/>
              <w:bottom w:val="single" w:sz="6" w:color="000000"/>
            </w:tcBorders>
          </w:tcPr>
          <w:p>
            <w:pPr>
              <w:spacing w:line="240" w:lineRule="auto" w:after="40"/>
              <w:ind w:firstLine="0"/>
              <w:jc w:val="right"/>
            </w:pPr>
            <w:r>
              <w:rPr>
                <w:sz w:val="21"/>
              </w:rPr>
              <w:t>0.99698</w:t>
            </w:r>
          </w:p>
        </w:tc>
        <w:tc>
          <w:tcPr>
            <w:tcW w:type="dxa" w:w="1584"/>
            <w:tcBorders>
              <w:top w:val="nil"/>
              <w:bottom w:val="single" w:sz="6" w:color="000000"/>
            </w:tcBorders>
          </w:tcPr>
          <w:p>
            <w:pPr>
              <w:spacing w:line="240" w:lineRule="auto" w:after="40"/>
              <w:ind w:firstLine="0"/>
              <w:jc w:val="right"/>
            </w:pPr>
            <w:r>
              <w:rPr>
                <w:sz w:val="21"/>
              </w:rPr>
              <w:t>2019–2023</w:t>
            </w:r>
          </w:p>
        </w:tc>
      </w:tr>
    </w:tbl>
    <w:p>
      <w:pPr>
        <w:pStyle w:val="APABodyNoIndent"/>
      </w:pPr>
    </w:p>
    <w:p>
      <w:pPr>
        <w:pStyle w:val="APABody"/>
      </w:pPr>
      <w:r>
        <w:t>Unlike every other site in this chapter, all five top-ranked analogs here are directly usable as forecast twins — none matches on a window ending at the 2025 anchor year, so no substitution from further down the ranked pool was needed. Three of the five are other small Kerala water bodies, the closest geographic clustering of analogs seen in this study.</w:t>
      </w:r>
    </w:p>
    <w:p>
      <w:pPr>
        <w:pStyle w:val="APACaptionLabel"/>
      </w:pPr>
      <w:r>
        <w:t>Figure 31</w:t>
      </w:r>
    </w:p>
    <w:p>
      <w:pPr>
        <w:pStyle w:val="APACaptionTitle"/>
      </w:pPr>
      <w:r>
        <w:t>Sasthamcotta's retrieved analogs in the live application.</w:t>
      </w:r>
    </w:p>
    <w:p>
      <w:pPr>
        <w:spacing w:line="240" w:lineRule="auto"/>
        <w:ind w:firstLine="0"/>
      </w:pPr>
      <w:r>
        <w:drawing>
          <wp:inline xmlns:a="http://schemas.openxmlformats.org/drawingml/2006/main" xmlns:pic="http://schemas.openxmlformats.org/drawingml/2006/picture">
            <wp:extent cx="3291840" cy="5818507"/>
            <wp:docPr id="31" name="Picture 31"/>
            <wp:cNvGraphicFramePr>
              <a:graphicFrameLocks noChangeAspect="1"/>
            </wp:cNvGraphicFramePr>
            <a:graphic>
              <a:graphicData uri="http://schemas.openxmlformats.org/drawingml/2006/picture">
                <pic:pic>
                  <pic:nvPicPr>
                    <pic:cNvPr id="0" name="analog.png"/>
                    <pic:cNvPicPr/>
                  </pic:nvPicPr>
                  <pic:blipFill>
                    <a:blip r:embed="rId40"/>
                    <a:stretch>
                      <a:fillRect/>
                    </a:stretch>
                  </pic:blipFill>
                  <pic:spPr>
                    <a:xfrm>
                      <a:off x="0" y="0"/>
                      <a:ext cx="3291840" cy="5818507"/>
                    </a:xfrm>
                    <a:prstGeom prst="rect"/>
                  </pic:spPr>
                </pic:pic>
              </a:graphicData>
            </a:graphic>
          </wp:inline>
        </w:drawing>
      </w:r>
    </w:p>
    <w:p>
      <w:pPr>
        <w:pStyle w:val="APABodyNoIndent"/>
      </w:pPr>
    </w:p>
    <w:p>
      <w:pPr>
        <w:pStyle w:val="APAH3"/>
      </w:pPr>
      <w:r>
        <w:t>Measured History</w:t>
      </w:r>
    </w:p>
    <w:p>
      <w:pPr>
        <w:pStyle w:val="APACaptionLabel"/>
      </w:pPr>
      <w:r>
        <w:t>Table 22</w:t>
      </w:r>
    </w:p>
    <w:p>
      <w:pPr>
        <w:pStyle w:val="APACaptionTitle"/>
      </w:pPr>
      <w:r>
        <w:t>Sasthamcotta — measured index history, 2016–2025.</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337"/>
        <w:gridCol w:w="1337"/>
        <w:gridCol w:w="1337"/>
        <w:gridCol w:w="1337"/>
        <w:gridCol w:w="1337"/>
        <w:gridCol w:w="1337"/>
        <w:gridCol w:w="1337"/>
      </w:tblGrid>
      <w:tr>
        <w:tc>
          <w:tcPr>
            <w:tcW w:type="dxa" w:w="1872"/>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2016</w:t>
            </w:r>
          </w:p>
        </w:tc>
        <w:tc>
          <w:tcPr>
            <w:tcW w:type="dxa" w:w="1152"/>
            <w:tcBorders>
              <w:top w:val="single" w:sz="6" w:color="000000"/>
              <w:bottom w:val="single" w:sz="6" w:color="000000"/>
            </w:tcBorders>
          </w:tcPr>
          <w:p>
            <w:pPr>
              <w:spacing w:line="240" w:lineRule="auto" w:after="40"/>
              <w:ind w:firstLine="0"/>
              <w:jc w:val="left"/>
            </w:pPr>
            <w:r>
              <w:rPr>
                <w:sz w:val="21"/>
              </w:rPr>
              <w:t>2018</w:t>
            </w:r>
          </w:p>
        </w:tc>
        <w:tc>
          <w:tcPr>
            <w:tcW w:type="dxa" w:w="1152"/>
            <w:tcBorders>
              <w:top w:val="single" w:sz="6" w:color="000000"/>
              <w:bottom w:val="single" w:sz="6" w:color="000000"/>
            </w:tcBorders>
          </w:tcPr>
          <w:p>
            <w:pPr>
              <w:spacing w:line="240" w:lineRule="auto" w:after="40"/>
              <w:ind w:firstLine="0"/>
              <w:jc w:val="left"/>
            </w:pPr>
            <w:r>
              <w:rPr>
                <w:sz w:val="21"/>
              </w:rPr>
              <w:t>2020</w:t>
            </w:r>
          </w:p>
        </w:tc>
        <w:tc>
          <w:tcPr>
            <w:tcW w:type="dxa" w:w="1152"/>
            <w:tcBorders>
              <w:top w:val="single" w:sz="6" w:color="000000"/>
              <w:bottom w:val="single" w:sz="6" w:color="000000"/>
            </w:tcBorders>
          </w:tcPr>
          <w:p>
            <w:pPr>
              <w:spacing w:line="240" w:lineRule="auto" w:after="40"/>
              <w:ind w:firstLine="0"/>
              <w:jc w:val="left"/>
            </w:pPr>
            <w:r>
              <w:rPr>
                <w:sz w:val="21"/>
              </w:rPr>
              <w:t>2022</w:t>
            </w:r>
          </w:p>
        </w:tc>
        <w:tc>
          <w:tcPr>
            <w:tcW w:type="dxa" w:w="1152"/>
            <w:tcBorders>
              <w:top w:val="single" w:sz="6" w:color="000000"/>
              <w:bottom w:val="single" w:sz="6" w:color="000000"/>
            </w:tcBorders>
          </w:tcPr>
          <w:p>
            <w:pPr>
              <w:spacing w:line="240" w:lineRule="auto" w:after="40"/>
              <w:ind w:firstLine="0"/>
              <w:jc w:val="left"/>
            </w:pPr>
            <w:r>
              <w:rPr>
                <w:sz w:val="21"/>
              </w:rPr>
              <w:t>2024</w:t>
            </w:r>
          </w:p>
        </w:tc>
        <w:tc>
          <w:tcPr>
            <w:tcW w:type="dxa" w:w="1152"/>
            <w:tcBorders>
              <w:top w:val="single" w:sz="6" w:color="000000"/>
              <w:bottom w:val="single" w:sz="6" w:color="000000"/>
            </w:tcBorders>
          </w:tcPr>
          <w:p>
            <w:pPr>
              <w:spacing w:line="240" w:lineRule="auto" w:after="40"/>
              <w:ind w:firstLine="0"/>
              <w:jc w:val="left"/>
            </w:pPr>
            <w:r>
              <w:rPr>
                <w:sz w:val="21"/>
              </w:rPr>
              <w:t>2025</w:t>
            </w:r>
          </w:p>
        </w:tc>
      </w:tr>
      <w:tr>
        <w:tc>
          <w:tcPr>
            <w:tcW w:type="dxa" w:w="1872"/>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0.1957</w:t>
            </w:r>
          </w:p>
        </w:tc>
        <w:tc>
          <w:tcPr>
            <w:tcW w:type="dxa" w:w="1152"/>
          </w:tcPr>
          <w:p>
            <w:pPr>
              <w:spacing w:line="240" w:lineRule="auto" w:after="40"/>
              <w:ind w:firstLine="0"/>
              <w:jc w:val="right"/>
            </w:pPr>
            <w:r>
              <w:rPr>
                <w:sz w:val="21"/>
              </w:rPr>
              <w:t>0.0952</w:t>
            </w:r>
          </w:p>
        </w:tc>
        <w:tc>
          <w:tcPr>
            <w:tcW w:type="dxa" w:w="1152"/>
          </w:tcPr>
          <w:p>
            <w:pPr>
              <w:spacing w:line="240" w:lineRule="auto" w:after="40"/>
              <w:ind w:firstLine="0"/>
              <w:jc w:val="right"/>
            </w:pPr>
            <w:r>
              <w:rPr>
                <w:sz w:val="21"/>
              </w:rPr>
              <w:t>0.0823</w:t>
            </w:r>
          </w:p>
        </w:tc>
        <w:tc>
          <w:tcPr>
            <w:tcW w:type="dxa" w:w="1152"/>
          </w:tcPr>
          <w:p>
            <w:pPr>
              <w:spacing w:line="240" w:lineRule="auto" w:after="40"/>
              <w:ind w:firstLine="0"/>
              <w:jc w:val="right"/>
            </w:pPr>
            <w:r>
              <w:rPr>
                <w:sz w:val="21"/>
              </w:rPr>
              <w:t>0.0793</w:t>
            </w:r>
          </w:p>
        </w:tc>
        <w:tc>
          <w:tcPr>
            <w:tcW w:type="dxa" w:w="1152"/>
          </w:tcPr>
          <w:p>
            <w:pPr>
              <w:spacing w:line="240" w:lineRule="auto" w:after="40"/>
              <w:ind w:firstLine="0"/>
              <w:jc w:val="right"/>
            </w:pPr>
            <w:r>
              <w:rPr>
                <w:sz w:val="21"/>
              </w:rPr>
              <w:t>0.0928</w:t>
            </w:r>
          </w:p>
        </w:tc>
        <w:tc>
          <w:tcPr>
            <w:tcW w:type="dxa" w:w="1152"/>
          </w:tcPr>
          <w:p>
            <w:pPr>
              <w:spacing w:line="240" w:lineRule="auto" w:after="40"/>
              <w:ind w:firstLine="0"/>
              <w:jc w:val="right"/>
            </w:pPr>
            <w:r>
              <w:rPr>
                <w:sz w:val="21"/>
              </w:rPr>
              <w:t>0.0865</w:t>
            </w:r>
          </w:p>
        </w:tc>
      </w:tr>
      <w:tr>
        <w:tc>
          <w:tcPr>
            <w:tcW w:type="dxa" w:w="1872"/>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0.4520</w:t>
            </w:r>
          </w:p>
        </w:tc>
        <w:tc>
          <w:tcPr>
            <w:tcW w:type="dxa" w:w="1152"/>
          </w:tcPr>
          <w:p>
            <w:pPr>
              <w:spacing w:line="240" w:lineRule="auto" w:after="40"/>
              <w:ind w:firstLine="0"/>
              <w:jc w:val="right"/>
            </w:pPr>
            <w:r>
              <w:rPr>
                <w:sz w:val="21"/>
              </w:rPr>
              <w:t>0.2606</w:t>
            </w:r>
          </w:p>
        </w:tc>
        <w:tc>
          <w:tcPr>
            <w:tcW w:type="dxa" w:w="1152"/>
          </w:tcPr>
          <w:p>
            <w:pPr>
              <w:spacing w:line="240" w:lineRule="auto" w:after="40"/>
              <w:ind w:firstLine="0"/>
              <w:jc w:val="right"/>
            </w:pPr>
            <w:r>
              <w:rPr>
                <w:sz w:val="21"/>
              </w:rPr>
              <w:t>0.1992</w:t>
            </w:r>
          </w:p>
        </w:tc>
        <w:tc>
          <w:tcPr>
            <w:tcW w:type="dxa" w:w="1152"/>
          </w:tcPr>
          <w:p>
            <w:pPr>
              <w:spacing w:line="240" w:lineRule="auto" w:after="40"/>
              <w:ind w:firstLine="0"/>
              <w:jc w:val="right"/>
            </w:pPr>
            <w:r>
              <w:rPr>
                <w:sz w:val="21"/>
              </w:rPr>
              <w:t>0.1006</w:t>
            </w:r>
          </w:p>
        </w:tc>
        <w:tc>
          <w:tcPr>
            <w:tcW w:type="dxa" w:w="1152"/>
          </w:tcPr>
          <w:p>
            <w:pPr>
              <w:spacing w:line="240" w:lineRule="auto" w:after="40"/>
              <w:ind w:firstLine="0"/>
              <w:jc w:val="right"/>
            </w:pPr>
            <w:r>
              <w:rPr>
                <w:sz w:val="21"/>
              </w:rPr>
              <w:t>0.1558</w:t>
            </w:r>
          </w:p>
        </w:tc>
        <w:tc>
          <w:tcPr>
            <w:tcW w:type="dxa" w:w="1152"/>
          </w:tcPr>
          <w:p>
            <w:pPr>
              <w:spacing w:line="240" w:lineRule="auto" w:after="40"/>
              <w:ind w:firstLine="0"/>
              <w:jc w:val="right"/>
            </w:pPr>
            <w:r>
              <w:rPr>
                <w:sz w:val="21"/>
              </w:rPr>
              <w:t>0.1816</w:t>
            </w:r>
          </w:p>
        </w:tc>
      </w:tr>
      <w:tr>
        <w:tc>
          <w:tcPr>
            <w:tcW w:type="dxa" w:w="1872"/>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−0.2769</w:t>
            </w:r>
          </w:p>
        </w:tc>
        <w:tc>
          <w:tcPr>
            <w:tcW w:type="dxa" w:w="1152"/>
          </w:tcPr>
          <w:p>
            <w:pPr>
              <w:spacing w:line="240" w:lineRule="auto" w:after="40"/>
              <w:ind w:firstLine="0"/>
              <w:jc w:val="right"/>
            </w:pPr>
            <w:r>
              <w:rPr>
                <w:sz w:val="21"/>
              </w:rPr>
              <w:t>0.0128</w:t>
            </w:r>
          </w:p>
        </w:tc>
        <w:tc>
          <w:tcPr>
            <w:tcW w:type="dxa" w:w="1152"/>
          </w:tcPr>
          <w:p>
            <w:pPr>
              <w:spacing w:line="240" w:lineRule="auto" w:after="40"/>
              <w:ind w:firstLine="0"/>
              <w:jc w:val="right"/>
            </w:pPr>
            <w:r>
              <w:rPr>
                <w:sz w:val="21"/>
              </w:rPr>
              <w:t>0.0172</w:t>
            </w:r>
          </w:p>
        </w:tc>
        <w:tc>
          <w:tcPr>
            <w:tcW w:type="dxa" w:w="1152"/>
          </w:tcPr>
          <w:p>
            <w:pPr>
              <w:spacing w:line="240" w:lineRule="auto" w:after="40"/>
              <w:ind w:firstLine="0"/>
              <w:jc w:val="right"/>
            </w:pPr>
            <w:r>
              <w:rPr>
                <w:sz w:val="21"/>
              </w:rPr>
              <w:t>0.1487</w:t>
            </w:r>
          </w:p>
        </w:tc>
        <w:tc>
          <w:tcPr>
            <w:tcW w:type="dxa" w:w="1152"/>
          </w:tcPr>
          <w:p>
            <w:pPr>
              <w:spacing w:line="240" w:lineRule="auto" w:after="40"/>
              <w:ind w:firstLine="0"/>
              <w:jc w:val="right"/>
            </w:pPr>
            <w:r>
              <w:rPr>
                <w:sz w:val="21"/>
              </w:rPr>
              <w:t>0.1324</w:t>
            </w:r>
          </w:p>
        </w:tc>
        <w:tc>
          <w:tcPr>
            <w:tcW w:type="dxa" w:w="1152"/>
          </w:tcPr>
          <w:p>
            <w:pPr>
              <w:spacing w:line="240" w:lineRule="auto" w:after="40"/>
              <w:ind w:firstLine="0"/>
              <w:jc w:val="right"/>
            </w:pPr>
            <w:r>
              <w:rPr>
                <w:sz w:val="21"/>
              </w:rPr>
              <w:t>0.0731</w:t>
            </w:r>
          </w:p>
        </w:tc>
      </w:tr>
      <w:tr>
        <w:tc>
          <w:tcPr>
            <w:tcW w:type="dxa" w:w="1872"/>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−0.2002</w:t>
            </w:r>
          </w:p>
        </w:tc>
        <w:tc>
          <w:tcPr>
            <w:tcW w:type="dxa" w:w="1152"/>
          </w:tcPr>
          <w:p>
            <w:pPr>
              <w:spacing w:line="240" w:lineRule="auto" w:after="40"/>
              <w:ind w:firstLine="0"/>
              <w:jc w:val="right"/>
            </w:pPr>
            <w:r>
              <w:rPr>
                <w:sz w:val="21"/>
              </w:rPr>
              <w:t>−0.2725</w:t>
            </w:r>
          </w:p>
        </w:tc>
        <w:tc>
          <w:tcPr>
            <w:tcW w:type="dxa" w:w="1152"/>
          </w:tcPr>
          <w:p>
            <w:pPr>
              <w:spacing w:line="240" w:lineRule="auto" w:after="40"/>
              <w:ind w:firstLine="0"/>
              <w:jc w:val="right"/>
            </w:pPr>
            <w:r>
              <w:rPr>
                <w:sz w:val="21"/>
              </w:rPr>
              <w:t>−0.2157</w:t>
            </w:r>
          </w:p>
        </w:tc>
        <w:tc>
          <w:tcPr>
            <w:tcW w:type="dxa" w:w="1152"/>
          </w:tcPr>
          <w:p>
            <w:pPr>
              <w:spacing w:line="240" w:lineRule="auto" w:after="40"/>
              <w:ind w:firstLine="0"/>
              <w:jc w:val="right"/>
            </w:pPr>
            <w:r>
              <w:rPr>
                <w:sz w:val="21"/>
              </w:rPr>
              <w:t>−0.2456</w:t>
            </w:r>
          </w:p>
        </w:tc>
        <w:tc>
          <w:tcPr>
            <w:tcW w:type="dxa" w:w="1152"/>
          </w:tcPr>
          <w:p>
            <w:pPr>
              <w:spacing w:line="240" w:lineRule="auto" w:after="40"/>
              <w:ind w:firstLine="0"/>
              <w:jc w:val="right"/>
            </w:pPr>
            <w:r>
              <w:rPr>
                <w:sz w:val="21"/>
              </w:rPr>
              <w:t>−0.2824</w:t>
            </w:r>
          </w:p>
        </w:tc>
        <w:tc>
          <w:tcPr>
            <w:tcW w:type="dxa" w:w="1152"/>
          </w:tcPr>
          <w:p>
            <w:pPr>
              <w:spacing w:line="240" w:lineRule="auto" w:after="40"/>
              <w:ind w:firstLine="0"/>
              <w:jc w:val="right"/>
            </w:pPr>
            <w:r>
              <w:rPr>
                <w:sz w:val="21"/>
              </w:rPr>
              <w:t>−0.2513</w:t>
            </w:r>
          </w:p>
        </w:tc>
      </w:tr>
      <w:tr>
        <w:tc>
          <w:tcPr>
            <w:tcW w:type="dxa" w:w="1872"/>
            <w:tcBorders>
              <w:top w:val="nil"/>
              <w:bottom w:val="single" w:sz="6" w:color="000000"/>
            </w:tcBorders>
          </w:tcPr>
          <w:p>
            <w:pPr>
              <w:spacing w:line="240" w:lineRule="auto" w:after="40"/>
              <w:ind w:firstLine="0"/>
              <w:jc w:val="left"/>
            </w:pPr>
            <w:r>
              <w:rPr>
                <w:sz w:val="21"/>
              </w:rPr>
              <w:t>Red-edge slope</w:t>
            </w:r>
          </w:p>
        </w:tc>
        <w:tc>
          <w:tcPr>
            <w:tcW w:type="dxa" w:w="1152"/>
            <w:tcBorders>
              <w:top w:val="nil"/>
              <w:bottom w:val="single" w:sz="6" w:color="000000"/>
            </w:tcBorders>
          </w:tcPr>
          <w:p>
            <w:pPr>
              <w:spacing w:line="240" w:lineRule="auto" w:after="40"/>
              <w:ind w:firstLine="0"/>
              <w:jc w:val="right"/>
            </w:pPr>
            <w:r>
              <w:rPr>
                <w:sz w:val="21"/>
              </w:rPr>
              <w:t>4.9975</w:t>
            </w:r>
          </w:p>
        </w:tc>
        <w:tc>
          <w:tcPr>
            <w:tcW w:type="dxa" w:w="1152"/>
            <w:tcBorders>
              <w:top w:val="nil"/>
              <w:bottom w:val="single" w:sz="6" w:color="000000"/>
            </w:tcBorders>
          </w:tcPr>
          <w:p>
            <w:pPr>
              <w:spacing w:line="240" w:lineRule="auto" w:after="40"/>
              <w:ind w:firstLine="0"/>
              <w:jc w:val="right"/>
            </w:pPr>
            <w:r>
              <w:rPr>
                <w:sz w:val="21"/>
              </w:rPr>
              <w:t>2.6302</w:t>
            </w:r>
          </w:p>
        </w:tc>
        <w:tc>
          <w:tcPr>
            <w:tcW w:type="dxa" w:w="1152"/>
            <w:tcBorders>
              <w:top w:val="nil"/>
              <w:bottom w:val="single" w:sz="6" w:color="000000"/>
            </w:tcBorders>
          </w:tcPr>
          <w:p>
            <w:pPr>
              <w:spacing w:line="240" w:lineRule="auto" w:after="40"/>
              <w:ind w:firstLine="0"/>
              <w:jc w:val="right"/>
            </w:pPr>
            <w:r>
              <w:rPr>
                <w:sz w:val="21"/>
              </w:rPr>
              <w:t>1.8539</w:t>
            </w:r>
          </w:p>
        </w:tc>
        <w:tc>
          <w:tcPr>
            <w:tcW w:type="dxa" w:w="1152"/>
            <w:tcBorders>
              <w:top w:val="nil"/>
              <w:bottom w:val="single" w:sz="6" w:color="000000"/>
            </w:tcBorders>
          </w:tcPr>
          <w:p>
            <w:pPr>
              <w:spacing w:line="240" w:lineRule="auto" w:after="40"/>
              <w:ind w:firstLine="0"/>
              <w:jc w:val="right"/>
            </w:pPr>
            <w:r>
              <w:rPr>
                <w:sz w:val="21"/>
              </w:rPr>
              <w:t>0.7420</w:t>
            </w:r>
          </w:p>
        </w:tc>
        <w:tc>
          <w:tcPr>
            <w:tcW w:type="dxa" w:w="1152"/>
            <w:tcBorders>
              <w:top w:val="nil"/>
              <w:bottom w:val="single" w:sz="6" w:color="000000"/>
            </w:tcBorders>
          </w:tcPr>
          <w:p>
            <w:pPr>
              <w:spacing w:line="240" w:lineRule="auto" w:after="40"/>
              <w:ind w:firstLine="0"/>
              <w:jc w:val="right"/>
            </w:pPr>
            <w:r>
              <w:rPr>
                <w:sz w:val="21"/>
              </w:rPr>
              <w:t>1.0838</w:t>
            </w:r>
          </w:p>
        </w:tc>
        <w:tc>
          <w:tcPr>
            <w:tcW w:type="dxa" w:w="1152"/>
            <w:tcBorders>
              <w:top w:val="nil"/>
              <w:bottom w:val="single" w:sz="6" w:color="000000"/>
            </w:tcBorders>
          </w:tcPr>
          <w:p>
            <w:pPr>
              <w:spacing w:line="240" w:lineRule="auto" w:after="40"/>
              <w:ind w:firstLine="0"/>
              <w:jc w:val="right"/>
            </w:pPr>
            <w:r>
              <w:rPr>
                <w:sz w:val="21"/>
              </w:rPr>
              <w:t>1.5259</w:t>
            </w:r>
          </w:p>
        </w:tc>
      </w:tr>
    </w:tbl>
    <w:p>
      <w:pPr>
        <w:pStyle w:val="APABodyNoIndent"/>
      </w:pPr>
    </w:p>
    <w:p>
      <w:pPr>
        <w:pStyle w:val="APACaptionLabel"/>
      </w:pPr>
      <w:r>
        <w:t>Figure 32</w:t>
      </w:r>
    </w:p>
    <w:p>
      <w:pPr>
        <w:pStyle w:val="APACaptionTitle"/>
      </w:pPr>
      <w:r>
        <w:t>Sasthamcotta — measured index trajectory, 2016–2025.</w:t>
      </w:r>
    </w:p>
    <w:p>
      <w:pPr>
        <w:spacing w:line="240" w:lineRule="auto"/>
        <w:ind w:firstLine="0"/>
      </w:pPr>
      <w:r>
        <w:drawing>
          <wp:inline xmlns:a="http://schemas.openxmlformats.org/drawingml/2006/main" xmlns:pic="http://schemas.openxmlformats.org/drawingml/2006/picture">
            <wp:extent cx="5120640" cy="2702800"/>
            <wp:docPr id="32" name="Picture 32"/>
            <wp:cNvGraphicFramePr>
              <a:graphicFrameLocks noChangeAspect="1"/>
            </wp:cNvGraphicFramePr>
            <a:graphic>
              <a:graphicData uri="http://schemas.openxmlformats.org/drawingml/2006/picture">
                <pic:pic>
                  <pic:nvPicPr>
                    <pic:cNvPr id="0" name="sasthamcotta_hist_chart.png"/>
                    <pic:cNvPicPr/>
                  </pic:nvPicPr>
                  <pic:blipFill>
                    <a:blip r:embed="rId41"/>
                    <a:stretch>
                      <a:fillRect/>
                    </a:stretch>
                  </pic:blipFill>
                  <pic:spPr>
                    <a:xfrm>
                      <a:off x="0" y="0"/>
                      <a:ext cx="5120640" cy="2702800"/>
                    </a:xfrm>
                    <a:prstGeom prst="rect"/>
                  </pic:spPr>
                </pic:pic>
              </a:graphicData>
            </a:graphic>
          </wp:inline>
        </w:drawing>
      </w:r>
    </w:p>
    <w:p>
      <w:pPr>
        <w:pStyle w:val="APABodyNoIndent"/>
      </w:pPr>
    </w:p>
    <w:p>
      <w:pPr>
        <w:pStyle w:val="APABody"/>
      </w:pPr>
      <w:r>
        <w:t>Sasthamcotta's measured decade shows a clear, largely monotone trend: NDVI falls by more than half (0.452 → 0.182), the red-edge slope falls roughly 3.3-fold (5.00 → 1.53), and NDWI moves from strongly negative to positive (−0.277 → 0.073) — a decline in vegetation vigor and pigment signal alongside a widening open-water signature, most pronounced between 2016 and 2020 and comparatively stable since.</w:t>
      </w:r>
    </w:p>
    <w:p>
      <w:pPr>
        <w:pStyle w:val="APAH3"/>
      </w:pPr>
      <w:r>
        <w:t>Forecast</w:t>
      </w:r>
    </w:p>
    <w:p>
      <w:pPr>
        <w:pStyle w:val="APACaptionLabel"/>
      </w:pPr>
      <w:r>
        <w:t>Table 23</w:t>
      </w:r>
    </w:p>
    <w:p>
      <w:pPr>
        <w:pStyle w:val="APACaptionTitle"/>
      </w:pPr>
      <w:r>
        <w:t>Sasthamcotta — directional forecast 2026–2028.</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c>
          <w:tcPr>
            <w:tcW w:type="dxa" w:w="1440"/>
            <w:tcBorders>
              <w:top w:val="single" w:sz="6" w:color="000000"/>
              <w:bottom w:val="single" w:sz="6" w:color="000000"/>
            </w:tcBorders>
          </w:tcPr>
          <w:p>
            <w:pPr>
              <w:spacing w:line="240" w:lineRule="auto" w:after="40"/>
              <w:ind w:firstLine="0"/>
              <w:jc w:val="left"/>
            </w:pPr>
            <w:r>
              <w:rPr>
                <w:sz w:val="21"/>
              </w:rPr>
              <w:t>Index</w:t>
            </w:r>
          </w:p>
        </w:tc>
        <w:tc>
          <w:tcPr>
            <w:tcW w:type="dxa" w:w="1152"/>
            <w:tcBorders>
              <w:top w:val="single" w:sz="6" w:color="000000"/>
              <w:bottom w:val="single" w:sz="6" w:color="000000"/>
            </w:tcBorders>
          </w:tcPr>
          <w:p>
            <w:pPr>
              <w:spacing w:line="240" w:lineRule="auto" w:after="40"/>
              <w:ind w:firstLine="0"/>
              <w:jc w:val="left"/>
            </w:pPr>
            <w:r>
              <w:rPr>
                <w:sz w:val="21"/>
              </w:rPr>
              <w:t>2025</w:t>
            </w:r>
          </w:p>
        </w:tc>
        <w:tc>
          <w:tcPr>
            <w:tcW w:type="dxa" w:w="2160"/>
            <w:tcBorders>
              <w:top w:val="single" w:sz="6" w:color="000000"/>
              <w:bottom w:val="single" w:sz="6" w:color="000000"/>
            </w:tcBorders>
          </w:tcPr>
          <w:p>
            <w:pPr>
              <w:spacing w:line="240" w:lineRule="auto" w:after="40"/>
              <w:ind w:firstLine="0"/>
              <w:jc w:val="left"/>
            </w:pPr>
            <w:r>
              <w:rPr>
                <w:sz w:val="21"/>
              </w:rPr>
              <w:t>2026</w:t>
            </w:r>
          </w:p>
        </w:tc>
        <w:tc>
          <w:tcPr>
            <w:tcW w:type="dxa" w:w="2160"/>
            <w:tcBorders>
              <w:top w:val="single" w:sz="6" w:color="000000"/>
              <w:bottom w:val="single" w:sz="6" w:color="000000"/>
            </w:tcBorders>
          </w:tcPr>
          <w:p>
            <w:pPr>
              <w:spacing w:line="240" w:lineRule="auto" w:after="40"/>
              <w:ind w:firstLine="0"/>
              <w:jc w:val="left"/>
            </w:pPr>
            <w:r>
              <w:rPr>
                <w:sz w:val="21"/>
              </w:rPr>
              <w:t>2027</w:t>
            </w:r>
          </w:p>
        </w:tc>
        <w:tc>
          <w:tcPr>
            <w:tcW w:type="dxa" w:w="2160"/>
            <w:tcBorders>
              <w:top w:val="single" w:sz="6" w:color="000000"/>
              <w:bottom w:val="single" w:sz="6" w:color="000000"/>
            </w:tcBorders>
          </w:tcPr>
          <w:p>
            <w:pPr>
              <w:spacing w:line="240" w:lineRule="auto" w:after="40"/>
              <w:ind w:firstLine="0"/>
              <w:jc w:val="left"/>
            </w:pPr>
            <w:r>
              <w:rPr>
                <w:sz w:val="21"/>
              </w:rPr>
              <w:t>2028</w:t>
            </w:r>
          </w:p>
        </w:tc>
      </w:tr>
      <w:tr>
        <w:tc>
          <w:tcPr>
            <w:tcW w:type="dxa" w:w="1440"/>
          </w:tcPr>
          <w:p>
            <w:pPr>
              <w:spacing w:line="240" w:lineRule="auto" w:after="40"/>
              <w:ind w:firstLine="0"/>
              <w:jc w:val="left"/>
            </w:pPr>
            <w:r>
              <w:rPr>
                <w:sz w:val="21"/>
              </w:rPr>
              <w:t>NDCI</w:t>
            </w:r>
          </w:p>
        </w:tc>
        <w:tc>
          <w:tcPr>
            <w:tcW w:type="dxa" w:w="1152"/>
          </w:tcPr>
          <w:p>
            <w:pPr>
              <w:spacing w:line="240" w:lineRule="auto" w:after="40"/>
              <w:ind w:firstLine="0"/>
              <w:jc w:val="right"/>
            </w:pPr>
            <w:r>
              <w:rPr>
                <w:sz w:val="21"/>
              </w:rPr>
              <w:t>0.0865</w:t>
            </w:r>
          </w:p>
        </w:tc>
        <w:tc>
          <w:tcPr>
            <w:tcW w:type="dxa" w:w="2160"/>
          </w:tcPr>
          <w:p>
            <w:pPr>
              <w:spacing w:line="240" w:lineRule="auto" w:after="40"/>
              <w:ind w:firstLine="0"/>
              <w:jc w:val="right"/>
            </w:pPr>
            <w:r>
              <w:rPr>
                <w:sz w:val="21"/>
              </w:rPr>
              <w:t>→ (+0.0009, n=5)</w:t>
            </w:r>
          </w:p>
        </w:tc>
        <w:tc>
          <w:tcPr>
            <w:tcW w:type="dxa" w:w="2160"/>
          </w:tcPr>
          <w:p>
            <w:pPr>
              <w:spacing w:line="240" w:lineRule="auto" w:after="40"/>
              <w:ind w:firstLine="0"/>
              <w:jc w:val="right"/>
            </w:pPr>
            <w:r>
              <w:rPr>
                <w:sz w:val="21"/>
              </w:rPr>
              <w:t>↑ (+0.0088, n=5)</w:t>
            </w:r>
          </w:p>
        </w:tc>
        <w:tc>
          <w:tcPr>
            <w:tcW w:type="dxa" w:w="2160"/>
          </w:tcPr>
          <w:p>
            <w:pPr>
              <w:spacing w:line="240" w:lineRule="auto" w:after="40"/>
              <w:ind w:firstLine="0"/>
              <w:jc w:val="right"/>
            </w:pPr>
            <w:r>
              <w:rPr>
                <w:sz w:val="21"/>
              </w:rPr>
              <w:t>↑ (+0.0131, n=2)</w:t>
            </w:r>
          </w:p>
        </w:tc>
      </w:tr>
      <w:tr>
        <w:tc>
          <w:tcPr>
            <w:tcW w:type="dxa" w:w="1440"/>
          </w:tcPr>
          <w:p>
            <w:pPr>
              <w:spacing w:line="240" w:lineRule="auto" w:after="40"/>
              <w:ind w:firstLine="0"/>
              <w:jc w:val="left"/>
            </w:pPr>
            <w:r>
              <w:rPr>
                <w:sz w:val="21"/>
              </w:rPr>
              <w:t>NDVI</w:t>
            </w:r>
          </w:p>
        </w:tc>
        <w:tc>
          <w:tcPr>
            <w:tcW w:type="dxa" w:w="1152"/>
          </w:tcPr>
          <w:p>
            <w:pPr>
              <w:spacing w:line="240" w:lineRule="auto" w:after="40"/>
              <w:ind w:firstLine="0"/>
              <w:jc w:val="right"/>
            </w:pPr>
            <w:r>
              <w:rPr>
                <w:sz w:val="21"/>
              </w:rPr>
              <w:t>0.1816</w:t>
            </w:r>
          </w:p>
        </w:tc>
        <w:tc>
          <w:tcPr>
            <w:tcW w:type="dxa" w:w="2160"/>
          </w:tcPr>
          <w:p>
            <w:pPr>
              <w:spacing w:line="240" w:lineRule="auto" w:after="40"/>
              <w:ind w:firstLine="0"/>
              <w:jc w:val="right"/>
            </w:pPr>
            <w:r>
              <w:rPr>
                <w:sz w:val="21"/>
              </w:rPr>
              <w:t>↓ (−0.0083, n=5)</w:t>
            </w:r>
          </w:p>
        </w:tc>
        <w:tc>
          <w:tcPr>
            <w:tcW w:type="dxa" w:w="2160"/>
          </w:tcPr>
          <w:p>
            <w:pPr>
              <w:spacing w:line="240" w:lineRule="auto" w:after="40"/>
              <w:ind w:firstLine="0"/>
              <w:jc w:val="right"/>
            </w:pPr>
            <w:r>
              <w:rPr>
                <w:sz w:val="21"/>
              </w:rPr>
              <w:t>→ (−0.0032, n=5)</w:t>
            </w:r>
          </w:p>
        </w:tc>
        <w:tc>
          <w:tcPr>
            <w:tcW w:type="dxa" w:w="2160"/>
          </w:tcPr>
          <w:p>
            <w:pPr>
              <w:spacing w:line="240" w:lineRule="auto" w:after="40"/>
              <w:ind w:firstLine="0"/>
              <w:jc w:val="right"/>
            </w:pPr>
            <w:r>
              <w:rPr>
                <w:sz w:val="21"/>
              </w:rPr>
              <w:t>↓ (−0.0502, n=2)</w:t>
            </w:r>
          </w:p>
        </w:tc>
      </w:tr>
      <w:tr>
        <w:tc>
          <w:tcPr>
            <w:tcW w:type="dxa" w:w="1440"/>
          </w:tcPr>
          <w:p>
            <w:pPr>
              <w:spacing w:line="240" w:lineRule="auto" w:after="40"/>
              <w:ind w:firstLine="0"/>
              <w:jc w:val="left"/>
            </w:pPr>
            <w:r>
              <w:rPr>
                <w:sz w:val="21"/>
              </w:rPr>
              <w:t>NDWI</w:t>
            </w:r>
          </w:p>
        </w:tc>
        <w:tc>
          <w:tcPr>
            <w:tcW w:type="dxa" w:w="1152"/>
          </w:tcPr>
          <w:p>
            <w:pPr>
              <w:spacing w:line="240" w:lineRule="auto" w:after="40"/>
              <w:ind w:firstLine="0"/>
              <w:jc w:val="right"/>
            </w:pPr>
            <w:r>
              <w:rPr>
                <w:sz w:val="21"/>
              </w:rPr>
              <w:t>0.0731</w:t>
            </w:r>
          </w:p>
        </w:tc>
        <w:tc>
          <w:tcPr>
            <w:tcW w:type="dxa" w:w="2160"/>
          </w:tcPr>
          <w:p>
            <w:pPr>
              <w:spacing w:line="240" w:lineRule="auto" w:after="40"/>
              <w:ind w:firstLine="0"/>
              <w:jc w:val="right"/>
            </w:pPr>
            <w:r>
              <w:rPr>
                <w:sz w:val="21"/>
              </w:rPr>
              <w:t>→ (−0.0046, n=5)</w:t>
            </w:r>
          </w:p>
        </w:tc>
        <w:tc>
          <w:tcPr>
            <w:tcW w:type="dxa" w:w="2160"/>
          </w:tcPr>
          <w:p>
            <w:pPr>
              <w:spacing w:line="240" w:lineRule="auto" w:after="40"/>
              <w:ind w:firstLine="0"/>
              <w:jc w:val="right"/>
            </w:pPr>
            <w:r>
              <w:rPr>
                <w:sz w:val="21"/>
              </w:rPr>
              <w:t>→ (+0.0028, n=5)</w:t>
            </w:r>
          </w:p>
        </w:tc>
        <w:tc>
          <w:tcPr>
            <w:tcW w:type="dxa" w:w="2160"/>
          </w:tcPr>
          <w:p>
            <w:pPr>
              <w:spacing w:line="240" w:lineRule="auto" w:after="40"/>
              <w:ind w:firstLine="0"/>
              <w:jc w:val="right"/>
            </w:pPr>
            <w:r>
              <w:rPr>
                <w:sz w:val="21"/>
              </w:rPr>
              <w:t>↑ (+0.0519, n=2)</w:t>
            </w:r>
          </w:p>
        </w:tc>
      </w:tr>
      <w:tr>
        <w:tc>
          <w:tcPr>
            <w:tcW w:type="dxa" w:w="1440"/>
          </w:tcPr>
          <w:p>
            <w:pPr>
              <w:spacing w:line="240" w:lineRule="auto" w:after="40"/>
              <w:ind w:firstLine="0"/>
              <w:jc w:val="left"/>
            </w:pPr>
            <w:r>
              <w:rPr>
                <w:sz w:val="21"/>
              </w:rPr>
              <w:t>Turbidity</w:t>
            </w:r>
          </w:p>
        </w:tc>
        <w:tc>
          <w:tcPr>
            <w:tcW w:type="dxa" w:w="1152"/>
          </w:tcPr>
          <w:p>
            <w:pPr>
              <w:spacing w:line="240" w:lineRule="auto" w:after="40"/>
              <w:ind w:firstLine="0"/>
              <w:jc w:val="right"/>
            </w:pPr>
            <w:r>
              <w:rPr>
                <w:sz w:val="21"/>
              </w:rPr>
              <w:t>−0.2513</w:t>
            </w:r>
          </w:p>
        </w:tc>
        <w:tc>
          <w:tcPr>
            <w:tcW w:type="dxa" w:w="2160"/>
          </w:tcPr>
          <w:p>
            <w:pPr>
              <w:spacing w:line="240" w:lineRule="auto" w:after="40"/>
              <w:ind w:firstLine="0"/>
              <w:jc w:val="right"/>
            </w:pPr>
            <w:r>
              <w:rPr>
                <w:sz w:val="21"/>
              </w:rPr>
              <w:t>↑ (+0.0096, n=5)</w:t>
            </w:r>
          </w:p>
        </w:tc>
        <w:tc>
          <w:tcPr>
            <w:tcW w:type="dxa" w:w="2160"/>
          </w:tcPr>
          <w:p>
            <w:pPr>
              <w:spacing w:line="240" w:lineRule="auto" w:after="40"/>
              <w:ind w:firstLine="0"/>
              <w:jc w:val="right"/>
            </w:pPr>
            <w:r>
              <w:rPr>
                <w:sz w:val="21"/>
              </w:rPr>
              <w:t>→ (+0.0027, n=5)</w:t>
            </w:r>
          </w:p>
        </w:tc>
        <w:tc>
          <w:tcPr>
            <w:tcW w:type="dxa" w:w="2160"/>
          </w:tcPr>
          <w:p>
            <w:pPr>
              <w:spacing w:line="240" w:lineRule="auto" w:after="40"/>
              <w:ind w:firstLine="0"/>
              <w:jc w:val="right"/>
            </w:pPr>
            <w:r>
              <w:rPr>
                <w:sz w:val="21"/>
              </w:rPr>
              <w:t>↓ (−0.0059, n=2)</w:t>
            </w:r>
          </w:p>
        </w:tc>
      </w:tr>
      <w:tr>
        <w:tc>
          <w:tcPr>
            <w:tcW w:type="dxa" w:w="1440"/>
            <w:tcBorders>
              <w:top w:val="nil"/>
              <w:bottom w:val="single" w:sz="6" w:color="000000"/>
            </w:tcBorders>
          </w:tcPr>
          <w:p>
            <w:pPr>
              <w:spacing w:line="240" w:lineRule="auto" w:after="40"/>
              <w:ind w:firstLine="0"/>
              <w:jc w:val="left"/>
            </w:pPr>
            <w:r>
              <w:rPr>
                <w:sz w:val="21"/>
              </w:rPr>
              <w:t>Red-edge</w:t>
            </w:r>
          </w:p>
        </w:tc>
        <w:tc>
          <w:tcPr>
            <w:tcW w:type="dxa" w:w="1152"/>
            <w:tcBorders>
              <w:top w:val="nil"/>
              <w:bottom w:val="single" w:sz="6" w:color="000000"/>
            </w:tcBorders>
          </w:tcPr>
          <w:p>
            <w:pPr>
              <w:spacing w:line="240" w:lineRule="auto" w:after="40"/>
              <w:ind w:firstLine="0"/>
              <w:jc w:val="right"/>
            </w:pPr>
            <w:r>
              <w:rPr>
                <w:sz w:val="21"/>
              </w:rPr>
              <w:t>1.5259</w:t>
            </w:r>
          </w:p>
        </w:tc>
        <w:tc>
          <w:tcPr>
            <w:tcW w:type="dxa" w:w="2160"/>
            <w:tcBorders>
              <w:top w:val="nil"/>
              <w:bottom w:val="single" w:sz="6" w:color="000000"/>
            </w:tcBorders>
          </w:tcPr>
          <w:p>
            <w:pPr>
              <w:spacing w:line="240" w:lineRule="auto" w:after="40"/>
              <w:ind w:firstLine="0"/>
              <w:jc w:val="right"/>
            </w:pPr>
            <w:r>
              <w:rPr>
                <w:sz w:val="21"/>
              </w:rPr>
              <w:t>↓ (−0.0658, n=5)</w:t>
            </w:r>
          </w:p>
        </w:tc>
        <w:tc>
          <w:tcPr>
            <w:tcW w:type="dxa" w:w="2160"/>
            <w:tcBorders>
              <w:top w:val="nil"/>
              <w:bottom w:val="single" w:sz="6" w:color="000000"/>
            </w:tcBorders>
          </w:tcPr>
          <w:p>
            <w:pPr>
              <w:spacing w:line="240" w:lineRule="auto" w:after="40"/>
              <w:ind w:firstLine="0"/>
              <w:jc w:val="right"/>
            </w:pPr>
            <w:r>
              <w:rPr>
                <w:sz w:val="21"/>
              </w:rPr>
              <w:t>↓ (−0.1167, n=5)</w:t>
            </w:r>
          </w:p>
        </w:tc>
        <w:tc>
          <w:tcPr>
            <w:tcW w:type="dxa" w:w="2160"/>
            <w:tcBorders>
              <w:top w:val="nil"/>
              <w:bottom w:val="single" w:sz="6" w:color="000000"/>
            </w:tcBorders>
          </w:tcPr>
          <w:p>
            <w:pPr>
              <w:spacing w:line="240" w:lineRule="auto" w:after="40"/>
              <w:ind w:firstLine="0"/>
              <w:jc w:val="right"/>
            </w:pPr>
            <w:r>
              <w:rPr>
                <w:sz w:val="21"/>
              </w:rPr>
              <w:t>↓ (−0.5053, n=2)</w:t>
            </w:r>
          </w:p>
        </w:tc>
      </w:tr>
    </w:tbl>
    <w:p>
      <w:pPr>
        <w:pStyle w:val="APABodyNoIndent"/>
      </w:pPr>
    </w:p>
    <w:p>
      <w:pPr>
        <w:pStyle w:val="APACaptionLabel"/>
      </w:pPr>
      <w:r>
        <w:t>Figure 33</w:t>
      </w:r>
    </w:p>
    <w:p>
      <w:pPr>
        <w:pStyle w:val="APACaptionTitle"/>
      </w:pPr>
      <w:r>
        <w:t>Sasthamcotta — projected index trajectory, 2025–2028.</w:t>
      </w:r>
    </w:p>
    <w:p>
      <w:pPr>
        <w:spacing w:line="240" w:lineRule="auto"/>
        <w:ind w:firstLine="0"/>
      </w:pPr>
      <w:r>
        <w:drawing>
          <wp:inline xmlns:a="http://schemas.openxmlformats.org/drawingml/2006/main" xmlns:pic="http://schemas.openxmlformats.org/drawingml/2006/picture">
            <wp:extent cx="3840480" cy="1992722"/>
            <wp:docPr id="33" name="Picture 33"/>
            <wp:cNvGraphicFramePr>
              <a:graphicFrameLocks noChangeAspect="1"/>
            </wp:cNvGraphicFramePr>
            <a:graphic>
              <a:graphicData uri="http://schemas.openxmlformats.org/drawingml/2006/picture">
                <pic:pic>
                  <pic:nvPicPr>
                    <pic:cNvPr id="0" name="sasthamcotta_fc_chart.png"/>
                    <pic:cNvPicPr/>
                  </pic:nvPicPr>
                  <pic:blipFill>
                    <a:blip r:embed="rId42"/>
                    <a:stretch>
                      <a:fillRect/>
                    </a:stretch>
                  </pic:blipFill>
                  <pic:spPr>
                    <a:xfrm>
                      <a:off x="0" y="0"/>
                      <a:ext cx="3840480" cy="1992722"/>
                    </a:xfrm>
                    <a:prstGeom prst="rect"/>
                  </pic:spPr>
                </pic:pic>
              </a:graphicData>
            </a:graphic>
          </wp:inline>
        </w:drawing>
      </w:r>
    </w:p>
    <w:p>
      <w:pPr>
        <w:pStyle w:val="APABodyNoIndent"/>
      </w:pPr>
    </w:p>
    <w:p>
      <w:pPr>
        <w:pStyle w:val="APAH3"/>
      </w:pPr>
      <w:r>
        <w:t>Interpretation</w:t>
      </w:r>
    </w:p>
    <w:p>
      <w:pPr>
        <w:pStyle w:val="APABody"/>
      </w:pPr>
      <w:r>
        <w:t>The forecast projects a continuation of the measured decade-long trend: NDVI and red-edge slope keep declining in all three years while NDWI holds flat or rises, directionally consistent with the 2016–2025 history. Confidence follows the familiar pattern of this chapter, n=5,5,2, with 2028's red-edge score (−0.5053) resting on only two twins and thus the least reliable number here; 2026 and 2027 are the rows to trust.</w:t>
      </w:r>
    </w:p>
    <w:p>
      <w:pPr>
        <w:pStyle w:val="APAH3"/>
      </w:pPr>
      <w:r>
        <w:t>Documented Condition</w:t>
      </w:r>
    </w:p>
    <w:p>
      <w:pPr>
        <w:pStyle w:val="APABody"/>
      </w:pPr>
      <w:r>
        <w:t xml:space="preserve">Sasthamcotta's decline is extensively documented: elevated COD/BOD and turbidity, shoreline encroachment removing an estimated 15% of the lake's perimeter, illegal sand extraction lowering water levels, and over 40% of native fish species disappeared in two decades (“Water Quality Assessment of Sasthamcotta Lake,” n.d.). This is a genuinely degrading system by every published account, but the measured signal only </w:t>
      </w:r>
      <w:r>
        <w:rPr>
          <w:i/>
        </w:rPr>
        <w:t>partially</w:t>
      </w:r>
      <w:r>
        <w:t xml:space="preserve"> agrees: NDVI and red-edge decline as expected, but NDWI </w:t>
      </w:r>
      <w:r>
        <w:rPr>
          <w:i/>
        </w:rPr>
        <w:t>rises</w:t>
      </w:r>
      <w:r>
        <w:t xml:space="preserve"> over the decade, the opposite of what a shrinking lake would suggest. A plausible reconciliation is that encroachment and sand mining chiefly erode the lake's perimeter and depth — under-represented by a coverage-weighted mean over the remaining analysis cells — while the NDVI/NDCI decline more likely reflects falling phytoplankton than the water-hyacinth pressure seen on other Kerala wetlands (which would push NDVI up, not down). The measured signal and public record should be read together here, each qualifying the other, rather than one confirming the other.</w:t>
      </w:r>
    </w:p>
    <w:p>
      <w:pPr>
        <w:pStyle w:val="APAH2"/>
      </w:pPr>
      <w:r>
        <w:t>Cross-Site Synthesis</w:t>
      </w:r>
    </w:p>
    <w:p>
      <w:pPr>
        <w:pStyle w:val="APACaptionLabel"/>
      </w:pPr>
      <w:r>
        <w:t>Table 24</w:t>
      </w:r>
    </w:p>
    <w:p>
      <w:pPr>
        <w:pStyle w:val="APACaptionTitle"/>
      </w:pPr>
      <w:r>
        <w:t>Cross-site summary.</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2736"/>
            <w:tcBorders>
              <w:top w:val="single" w:sz="6" w:color="000000"/>
              <w:bottom w:val="single" w:sz="6" w:color="000000"/>
            </w:tcBorders>
          </w:tcPr>
          <w:p>
            <w:pPr>
              <w:spacing w:line="240" w:lineRule="auto" w:after="40"/>
              <w:ind w:firstLine="0"/>
              <w:jc w:val="left"/>
            </w:pPr>
            <w:r>
              <w:rPr>
                <w:sz w:val="21"/>
              </w:rPr>
              <w:t>Site</w:t>
            </w:r>
          </w:p>
        </w:tc>
        <w:tc>
          <w:tcPr>
            <w:tcW w:type="dxa" w:w="1296"/>
            <w:tcBorders>
              <w:top w:val="single" w:sz="6" w:color="000000"/>
              <w:bottom w:val="single" w:sz="6" w:color="000000"/>
            </w:tcBorders>
          </w:tcPr>
          <w:p>
            <w:pPr>
              <w:spacing w:line="240" w:lineRule="auto" w:after="40"/>
              <w:ind w:firstLine="0"/>
              <w:jc w:val="left"/>
            </w:pPr>
            <w:r>
              <w:rPr>
                <w:sz w:val="21"/>
              </w:rPr>
              <w:t>Best raw</w:t>
            </w:r>
          </w:p>
        </w:tc>
        <w:tc>
          <w:tcPr>
            <w:tcW w:type="dxa" w:w="4176"/>
            <w:tcBorders>
              <w:top w:val="single" w:sz="6" w:color="000000"/>
              <w:bottom w:val="single" w:sz="6" w:color="000000"/>
            </w:tcBorders>
          </w:tcPr>
          <w:p>
            <w:pPr>
              <w:spacing w:line="240" w:lineRule="auto" w:after="40"/>
              <w:ind w:firstLine="0"/>
              <w:jc w:val="left"/>
            </w:pPr>
            <w:r>
              <w:rPr>
                <w:sz w:val="21"/>
              </w:rPr>
              <w:t>Dominant measured signal</w:t>
            </w:r>
          </w:p>
        </w:tc>
        <w:tc>
          <w:tcPr>
            <w:tcW w:type="dxa" w:w="1008"/>
            <w:tcBorders>
              <w:top w:val="single" w:sz="6" w:color="000000"/>
              <w:bottom w:val="single" w:sz="6" w:color="000000"/>
            </w:tcBorders>
          </w:tcPr>
          <w:p>
            <w:pPr>
              <w:spacing w:line="240" w:lineRule="auto" w:after="40"/>
              <w:ind w:firstLine="0"/>
              <w:jc w:val="left"/>
            </w:pPr>
            <w:r>
              <w:rPr>
                <w:sz w:val="21"/>
              </w:rPr>
              <w:t>Conf.</w:t>
            </w:r>
          </w:p>
        </w:tc>
      </w:tr>
      <w:tr>
        <w:tc>
          <w:tcPr>
            <w:tcW w:type="dxa" w:w="2736"/>
          </w:tcPr>
          <w:p>
            <w:pPr>
              <w:spacing w:line="240" w:lineRule="auto" w:after="40"/>
              <w:ind w:firstLine="0"/>
              <w:jc w:val="left"/>
            </w:pPr>
            <w:r>
              <w:rPr>
                <w:sz w:val="21"/>
              </w:rPr>
              <w:t>Chilika</w:t>
            </w:r>
          </w:p>
        </w:tc>
        <w:tc>
          <w:tcPr>
            <w:tcW w:type="dxa" w:w="1296"/>
          </w:tcPr>
          <w:p>
            <w:pPr>
              <w:spacing w:line="240" w:lineRule="auto" w:after="40"/>
              <w:ind w:firstLine="0"/>
              <w:jc w:val="right"/>
            </w:pPr>
            <w:r>
              <w:rPr>
                <w:sz w:val="21"/>
              </w:rPr>
              <w:t>0.99691</w:t>
            </w:r>
          </w:p>
        </w:tc>
        <w:tc>
          <w:tcPr>
            <w:tcW w:type="dxa" w:w="4176"/>
          </w:tcPr>
          <w:p>
            <w:pPr>
              <w:spacing w:line="240" w:lineRule="auto" w:after="40"/>
              <w:ind w:firstLine="0"/>
              <w:jc w:val="right"/>
            </w:pPr>
            <w:r>
              <w:rPr>
                <w:sz w:val="21"/>
              </w:rPr>
              <w:t>Mild vegetative encroachment</w:t>
            </w:r>
          </w:p>
        </w:tc>
        <w:tc>
          <w:tcPr>
            <w:tcW w:type="dxa" w:w="1008"/>
          </w:tcPr>
          <w:p>
            <w:pPr>
              <w:spacing w:line="240" w:lineRule="auto" w:after="40"/>
              <w:ind w:firstLine="0"/>
              <w:jc w:val="right"/>
            </w:pPr>
            <w:r>
              <w:rPr>
                <w:sz w:val="21"/>
              </w:rPr>
              <w:t>5,4,3</w:t>
            </w:r>
          </w:p>
        </w:tc>
      </w:tr>
      <w:tr>
        <w:tc>
          <w:tcPr>
            <w:tcW w:type="dxa" w:w="2736"/>
          </w:tcPr>
          <w:p>
            <w:pPr>
              <w:spacing w:line="240" w:lineRule="auto" w:after="40"/>
              <w:ind w:firstLine="0"/>
              <w:jc w:val="left"/>
            </w:pPr>
            <w:r>
              <w:rPr>
                <w:sz w:val="21"/>
              </w:rPr>
              <w:t>Maharana Pratap Sagar (Beas)</w:t>
            </w:r>
          </w:p>
        </w:tc>
        <w:tc>
          <w:tcPr>
            <w:tcW w:type="dxa" w:w="1296"/>
          </w:tcPr>
          <w:p>
            <w:pPr>
              <w:spacing w:line="240" w:lineRule="auto" w:after="40"/>
              <w:ind w:firstLine="0"/>
              <w:jc w:val="right"/>
            </w:pPr>
            <w:r>
              <w:rPr>
                <w:sz w:val="21"/>
              </w:rPr>
              <w:t>0.99884</w:t>
            </w:r>
          </w:p>
        </w:tc>
        <w:tc>
          <w:tcPr>
            <w:tcW w:type="dxa" w:w="4176"/>
          </w:tcPr>
          <w:p>
            <w:pPr>
              <w:spacing w:line="240" w:lineRule="auto" w:after="40"/>
              <w:ind w:firstLine="0"/>
              <w:jc w:val="right"/>
            </w:pPr>
            <w:r>
              <w:rPr>
                <w:sz w:val="21"/>
              </w:rPr>
              <w:t>No sustained trend; reservoir-driven oscillation</w:t>
            </w:r>
          </w:p>
        </w:tc>
        <w:tc>
          <w:tcPr>
            <w:tcW w:type="dxa" w:w="1008"/>
          </w:tcPr>
          <w:p>
            <w:pPr>
              <w:spacing w:line="240" w:lineRule="auto" w:after="40"/>
              <w:ind w:firstLine="0"/>
              <w:jc w:val="right"/>
            </w:pPr>
            <w:r>
              <w:rPr>
                <w:sz w:val="21"/>
              </w:rPr>
              <w:t>5,1,1</w:t>
            </w:r>
          </w:p>
        </w:tc>
      </w:tr>
      <w:tr>
        <w:tc>
          <w:tcPr>
            <w:tcW w:type="dxa" w:w="2736"/>
          </w:tcPr>
          <w:p>
            <w:pPr>
              <w:spacing w:line="240" w:lineRule="auto" w:after="40"/>
              <w:ind w:firstLine="0"/>
              <w:jc w:val="left"/>
            </w:pPr>
            <w:r>
              <w:rPr>
                <w:sz w:val="21"/>
              </w:rPr>
              <w:t>Tawa Reservoir</w:t>
            </w:r>
          </w:p>
        </w:tc>
        <w:tc>
          <w:tcPr>
            <w:tcW w:type="dxa" w:w="1296"/>
          </w:tcPr>
          <w:p>
            <w:pPr>
              <w:spacing w:line="240" w:lineRule="auto" w:after="40"/>
              <w:ind w:firstLine="0"/>
              <w:jc w:val="right"/>
            </w:pPr>
            <w:r>
              <w:rPr>
                <w:sz w:val="21"/>
              </w:rPr>
              <w:t>0.99936</w:t>
            </w:r>
          </w:p>
        </w:tc>
        <w:tc>
          <w:tcPr>
            <w:tcW w:type="dxa" w:w="4176"/>
          </w:tcPr>
          <w:p>
            <w:pPr>
              <w:spacing w:line="240" w:lineRule="auto" w:after="40"/>
              <w:ind w:firstLine="0"/>
              <w:jc w:val="right"/>
            </w:pPr>
            <w:r>
              <w:rPr>
                <w:sz w:val="21"/>
              </w:rPr>
              <w:t>Oscillatory, no net trend</w:t>
            </w:r>
          </w:p>
        </w:tc>
        <w:tc>
          <w:tcPr>
            <w:tcW w:type="dxa" w:w="1008"/>
          </w:tcPr>
          <w:p>
            <w:pPr>
              <w:spacing w:line="240" w:lineRule="auto" w:after="40"/>
              <w:ind w:firstLine="0"/>
              <w:jc w:val="right"/>
            </w:pPr>
            <w:r>
              <w:rPr>
                <w:sz w:val="21"/>
              </w:rPr>
              <w:t>5,5,2</w:t>
            </w:r>
          </w:p>
        </w:tc>
      </w:tr>
      <w:tr>
        <w:tc>
          <w:tcPr>
            <w:tcW w:type="dxa" w:w="2736"/>
          </w:tcPr>
          <w:p>
            <w:pPr>
              <w:spacing w:line="240" w:lineRule="auto" w:after="40"/>
              <w:ind w:firstLine="0"/>
              <w:jc w:val="left"/>
            </w:pPr>
            <w:r>
              <w:rPr>
                <w:sz w:val="21"/>
              </w:rPr>
              <w:t>Tso Morari</w:t>
            </w:r>
          </w:p>
        </w:tc>
        <w:tc>
          <w:tcPr>
            <w:tcW w:type="dxa" w:w="1296"/>
          </w:tcPr>
          <w:p>
            <w:pPr>
              <w:spacing w:line="240" w:lineRule="auto" w:after="40"/>
              <w:ind w:firstLine="0"/>
              <w:jc w:val="right"/>
            </w:pPr>
            <w:r>
              <w:rPr>
                <w:sz w:val="21"/>
              </w:rPr>
              <w:t>0.99720</w:t>
            </w:r>
          </w:p>
        </w:tc>
        <w:tc>
          <w:tcPr>
            <w:tcW w:type="dxa" w:w="4176"/>
          </w:tcPr>
          <w:p>
            <w:pPr>
              <w:spacing w:line="240" w:lineRule="auto" w:after="40"/>
              <w:ind w:firstLine="0"/>
              <w:jc w:val="right"/>
            </w:pPr>
            <w:r>
              <w:rPr>
                <w:sz w:val="21"/>
              </w:rPr>
              <w:t>Stable clear cold-desert water</w:t>
            </w:r>
          </w:p>
        </w:tc>
        <w:tc>
          <w:tcPr>
            <w:tcW w:type="dxa" w:w="1008"/>
          </w:tcPr>
          <w:p>
            <w:pPr>
              <w:spacing w:line="240" w:lineRule="auto" w:after="40"/>
              <w:ind w:firstLine="0"/>
              <w:jc w:val="right"/>
            </w:pPr>
            <w:r>
              <w:rPr>
                <w:sz w:val="21"/>
              </w:rPr>
              <w:t>5,5,5</w:t>
            </w:r>
          </w:p>
        </w:tc>
      </w:tr>
      <w:tr>
        <w:tc>
          <w:tcPr>
            <w:tcW w:type="dxa" w:w="2736"/>
            <w:tcBorders>
              <w:top w:val="nil"/>
              <w:bottom w:val="single" w:sz="6" w:color="000000"/>
            </w:tcBorders>
          </w:tcPr>
          <w:p>
            <w:pPr>
              <w:spacing w:line="240" w:lineRule="auto" w:after="40"/>
              <w:ind w:firstLine="0"/>
              <w:jc w:val="left"/>
            </w:pPr>
            <w:r>
              <w:rPr>
                <w:sz w:val="21"/>
              </w:rPr>
              <w:t>Sasthamcotta</w:t>
            </w:r>
          </w:p>
        </w:tc>
        <w:tc>
          <w:tcPr>
            <w:tcW w:type="dxa" w:w="1296"/>
            <w:tcBorders>
              <w:top w:val="nil"/>
              <w:bottom w:val="single" w:sz="6" w:color="000000"/>
            </w:tcBorders>
          </w:tcPr>
          <w:p>
            <w:pPr>
              <w:spacing w:line="240" w:lineRule="auto" w:after="40"/>
              <w:ind w:firstLine="0"/>
              <w:jc w:val="right"/>
            </w:pPr>
            <w:r>
              <w:rPr>
                <w:sz w:val="21"/>
              </w:rPr>
              <w:t>0.99784</w:t>
            </w:r>
          </w:p>
        </w:tc>
        <w:tc>
          <w:tcPr>
            <w:tcW w:type="dxa" w:w="4176"/>
            <w:tcBorders>
              <w:top w:val="nil"/>
              <w:bottom w:val="single" w:sz="6" w:color="000000"/>
            </w:tcBorders>
          </w:tcPr>
          <w:p>
            <w:pPr>
              <w:spacing w:line="240" w:lineRule="auto" w:after="40"/>
              <w:ind w:firstLine="0"/>
              <w:jc w:val="right"/>
            </w:pPr>
            <w:r>
              <w:rPr>
                <w:sz w:val="21"/>
              </w:rPr>
              <w:t>Decade-long NDVI/pigment decline</w:t>
            </w:r>
          </w:p>
        </w:tc>
        <w:tc>
          <w:tcPr>
            <w:tcW w:type="dxa" w:w="1008"/>
            <w:tcBorders>
              <w:top w:val="nil"/>
              <w:bottom w:val="single" w:sz="6" w:color="000000"/>
            </w:tcBorders>
          </w:tcPr>
          <w:p>
            <w:pPr>
              <w:spacing w:line="240" w:lineRule="auto" w:after="40"/>
              <w:ind w:firstLine="0"/>
              <w:jc w:val="right"/>
            </w:pPr>
            <w:r>
              <w:rPr>
                <w:sz w:val="21"/>
              </w:rPr>
              <w:t>5,5,2</w:t>
            </w:r>
          </w:p>
        </w:tc>
      </w:tr>
    </w:tbl>
    <w:p>
      <w:pPr>
        <w:pStyle w:val="APABodyNoIndent"/>
      </w:pPr>
    </w:p>
    <w:p>
      <w:pPr>
        <w:pStyle w:val="APABody"/>
      </w:pPr>
      <w:r>
        <w:t>Four findings emerge from analysing the sites together. The embedding space encodes real ecological structure: the Tso Morari–Pangong pairing, recovered from reflectance alone with a score gap five times the typical inter-rank spread, is not explicable as coincidence. Condition dominates geography in analog retrieval: Beas's top analogs are reservoirs hundreds of kilometres away in entirely different climate zones, matched on hydrological state rather than location, meaning the map view alone can mislead without the index history. The index set discriminates across the full range, from Tso Morari's near-zero vegetation to Sasthamcotta's NDVI of 0.45, preserved even after the B7-to-B8 switch. Forecast confidence is bounded by data recency, not model quality: every degraded forecast traces to twins whose matched windows end near 2025, a limitation that self-corrects as further years are ingested. Finally, the system declines to answer when it should: across 75 forecast cells (5 sites × 5 indices × 3 years), the outcomes divide as shown in Table 25.</w:t>
      </w:r>
    </w:p>
    <w:p>
      <w:pPr>
        <w:pStyle w:val="APACaptionLabel"/>
      </w:pPr>
      <w:r>
        <w:t>Table 25</w:t>
      </w:r>
    </w:p>
    <w:p>
      <w:pPr>
        <w:pStyle w:val="APACaptionTitle"/>
      </w:pPr>
      <w:r>
        <w:t>Distribution of forecast cells across sites.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2592"/>
            <w:tcBorders>
              <w:top w:val="single" w:sz="6" w:color="000000"/>
              <w:bottom w:val="single" w:sz="6" w:color="000000"/>
            </w:tcBorders>
          </w:tcPr>
          <w:p>
            <w:pPr>
              <w:spacing w:line="240" w:lineRule="auto" w:after="40"/>
              <w:ind w:firstLine="0"/>
              <w:jc w:val="left"/>
            </w:pPr>
            <w:r>
              <w:rPr>
                <w:sz w:val="21"/>
              </w:rPr>
              <w:t>Classification</w:t>
            </w:r>
          </w:p>
        </w:tc>
        <w:tc>
          <w:tcPr>
            <w:tcW w:type="dxa" w:w="1440"/>
            <w:tcBorders>
              <w:top w:val="single" w:sz="6" w:color="000000"/>
              <w:bottom w:val="single" w:sz="6" w:color="000000"/>
            </w:tcBorders>
          </w:tcPr>
          <w:p>
            <w:pPr>
              <w:spacing w:line="240" w:lineRule="auto" w:after="40"/>
              <w:ind w:firstLine="0"/>
              <w:jc w:val="left"/>
            </w:pPr>
            <w:r>
              <w:rPr>
                <w:sz w:val="21"/>
              </w:rPr>
              <w:t>Cells</w:t>
            </w:r>
          </w:p>
        </w:tc>
        <w:tc>
          <w:tcPr>
            <w:tcW w:type="dxa" w:w="1440"/>
            <w:tcBorders>
              <w:top w:val="single" w:sz="6" w:color="000000"/>
              <w:bottom w:val="single" w:sz="6" w:color="000000"/>
            </w:tcBorders>
          </w:tcPr>
          <w:p>
            <w:pPr>
              <w:spacing w:line="240" w:lineRule="auto" w:after="40"/>
              <w:ind w:firstLine="0"/>
              <w:jc w:val="left"/>
            </w:pPr>
            <w:r>
              <w:rPr>
                <w:sz w:val="21"/>
              </w:rPr>
              <w:t>Share</w:t>
            </w:r>
          </w:p>
        </w:tc>
      </w:tr>
      <w:tr>
        <w:tc>
          <w:tcPr>
            <w:tcW w:type="dxa" w:w="2592"/>
          </w:tcPr>
          <w:p>
            <w:pPr>
              <w:spacing w:line="240" w:lineRule="auto" w:after="40"/>
              <w:ind w:firstLine="0"/>
              <w:jc w:val="left"/>
            </w:pPr>
            <w:r>
              <w:rPr>
                <w:sz w:val="21"/>
              </w:rPr>
              <w:t>Up (↑)</w:t>
            </w:r>
          </w:p>
        </w:tc>
        <w:tc>
          <w:tcPr>
            <w:tcW w:type="dxa" w:w="1440"/>
          </w:tcPr>
          <w:p>
            <w:pPr>
              <w:spacing w:line="240" w:lineRule="auto" w:after="40"/>
              <w:ind w:firstLine="0"/>
              <w:jc w:val="right"/>
            </w:pPr>
            <w:r>
              <w:rPr>
                <w:sz w:val="21"/>
              </w:rPr>
              <w:t>30</w:t>
            </w:r>
          </w:p>
        </w:tc>
        <w:tc>
          <w:tcPr>
            <w:tcW w:type="dxa" w:w="1440"/>
          </w:tcPr>
          <w:p>
            <w:pPr>
              <w:spacing w:line="240" w:lineRule="auto" w:after="40"/>
              <w:ind w:firstLine="0"/>
              <w:jc w:val="right"/>
            </w:pPr>
            <w:r>
              <w:rPr>
                <w:sz w:val="21"/>
              </w:rPr>
              <w:t>40.0%</w:t>
            </w:r>
          </w:p>
        </w:tc>
      </w:tr>
      <w:tr>
        <w:tc>
          <w:tcPr>
            <w:tcW w:type="dxa" w:w="2592"/>
          </w:tcPr>
          <w:p>
            <w:pPr>
              <w:spacing w:line="240" w:lineRule="auto" w:after="40"/>
              <w:ind w:firstLine="0"/>
              <w:jc w:val="left"/>
            </w:pPr>
            <w:r>
              <w:rPr>
                <w:sz w:val="21"/>
              </w:rPr>
              <w:t>Down (↓)</w:t>
            </w:r>
          </w:p>
        </w:tc>
        <w:tc>
          <w:tcPr>
            <w:tcW w:type="dxa" w:w="1440"/>
          </w:tcPr>
          <w:p>
            <w:pPr>
              <w:spacing w:line="240" w:lineRule="auto" w:after="40"/>
              <w:ind w:firstLine="0"/>
              <w:jc w:val="right"/>
            </w:pPr>
            <w:r>
              <w:rPr>
                <w:sz w:val="21"/>
              </w:rPr>
              <w:t>25</w:t>
            </w:r>
          </w:p>
        </w:tc>
        <w:tc>
          <w:tcPr>
            <w:tcW w:type="dxa" w:w="1440"/>
          </w:tcPr>
          <w:p>
            <w:pPr>
              <w:spacing w:line="240" w:lineRule="auto" w:after="40"/>
              <w:ind w:firstLine="0"/>
              <w:jc w:val="right"/>
            </w:pPr>
            <w:r>
              <w:rPr>
                <w:sz w:val="21"/>
              </w:rPr>
              <w:t>33.3%</w:t>
            </w:r>
          </w:p>
        </w:tc>
      </w:tr>
      <w:tr>
        <w:tc>
          <w:tcPr>
            <w:tcW w:type="dxa" w:w="2592"/>
          </w:tcPr>
          <w:p>
            <w:pPr>
              <w:spacing w:line="240" w:lineRule="auto" w:after="40"/>
              <w:ind w:firstLine="0"/>
              <w:jc w:val="left"/>
            </w:pPr>
            <w:r>
              <w:rPr>
                <w:sz w:val="21"/>
              </w:rPr>
              <w:t>Stable (→)</w:t>
            </w:r>
          </w:p>
        </w:tc>
        <w:tc>
          <w:tcPr>
            <w:tcW w:type="dxa" w:w="1440"/>
          </w:tcPr>
          <w:p>
            <w:pPr>
              <w:spacing w:line="240" w:lineRule="auto" w:after="40"/>
              <w:ind w:firstLine="0"/>
              <w:jc w:val="right"/>
            </w:pPr>
            <w:r>
              <w:rPr>
                <w:sz w:val="21"/>
              </w:rPr>
              <w:t>10</w:t>
            </w:r>
          </w:p>
        </w:tc>
        <w:tc>
          <w:tcPr>
            <w:tcW w:type="dxa" w:w="1440"/>
          </w:tcPr>
          <w:p>
            <w:pPr>
              <w:spacing w:line="240" w:lineRule="auto" w:after="40"/>
              <w:ind w:firstLine="0"/>
              <w:jc w:val="right"/>
            </w:pPr>
            <w:r>
              <w:rPr>
                <w:sz w:val="21"/>
              </w:rPr>
              <w:t>13.3%</w:t>
            </w:r>
          </w:p>
        </w:tc>
      </w:tr>
      <w:tr>
        <w:tc>
          <w:tcPr>
            <w:tcW w:type="dxa" w:w="2592"/>
          </w:tcPr>
          <w:p>
            <w:pPr>
              <w:spacing w:line="240" w:lineRule="auto" w:after="40"/>
              <w:ind w:firstLine="0"/>
              <w:jc w:val="left"/>
            </w:pPr>
            <w:r>
              <w:rPr>
                <w:sz w:val="21"/>
              </w:rPr>
              <w:t>Uncertain (?)</w:t>
            </w:r>
          </w:p>
        </w:tc>
        <w:tc>
          <w:tcPr>
            <w:tcW w:type="dxa" w:w="1440"/>
          </w:tcPr>
          <w:p>
            <w:pPr>
              <w:spacing w:line="240" w:lineRule="auto" w:after="40"/>
              <w:ind w:firstLine="0"/>
              <w:jc w:val="right"/>
            </w:pPr>
            <w:r>
              <w:rPr>
                <w:sz w:val="21"/>
              </w:rPr>
              <w:t>10</w:t>
            </w:r>
          </w:p>
        </w:tc>
        <w:tc>
          <w:tcPr>
            <w:tcW w:type="dxa" w:w="1440"/>
          </w:tcPr>
          <w:p>
            <w:pPr>
              <w:spacing w:line="240" w:lineRule="auto" w:after="40"/>
              <w:ind w:firstLine="0"/>
              <w:jc w:val="right"/>
            </w:pPr>
            <w:r>
              <w:rPr>
                <w:sz w:val="21"/>
              </w:rPr>
              <w:t>13.3%</w:t>
            </w:r>
          </w:p>
        </w:tc>
      </w:tr>
      <w:tr>
        <w:tc>
          <w:tcPr>
            <w:tcW w:type="dxa" w:w="2592"/>
            <w:tcBorders>
              <w:top w:val="nil"/>
              <w:bottom w:val="single" w:sz="6" w:color="000000"/>
            </w:tcBorders>
          </w:tcPr>
          <w:p>
            <w:pPr>
              <w:spacing w:line="240" w:lineRule="auto" w:after="40"/>
              <w:ind w:firstLine="0"/>
              <w:jc w:val="left"/>
            </w:pPr>
            <w:r>
              <w:rPr>
                <w:sz w:val="21"/>
              </w:rPr>
            </w:r>
            <w:r>
              <w:rPr>
                <w:b/>
                <w:sz w:val="21"/>
              </w:rPr>
              <w:t>Total</w:t>
            </w:r>
          </w:p>
        </w:tc>
        <w:tc>
          <w:tcPr>
            <w:tcW w:type="dxa" w:w="1440"/>
            <w:tcBorders>
              <w:top w:val="nil"/>
              <w:bottom w:val="single" w:sz="6" w:color="000000"/>
            </w:tcBorders>
          </w:tcPr>
          <w:p>
            <w:pPr>
              <w:spacing w:line="240" w:lineRule="auto" w:after="40"/>
              <w:ind w:firstLine="0"/>
              <w:jc w:val="right"/>
            </w:pPr>
            <w:r>
              <w:rPr>
                <w:sz w:val="21"/>
              </w:rPr>
            </w:r>
            <w:r>
              <w:rPr>
                <w:b/>
                <w:sz w:val="21"/>
              </w:rPr>
              <w:t>75</w:t>
            </w:r>
          </w:p>
        </w:tc>
        <w:tc>
          <w:tcPr>
            <w:tcW w:type="dxa" w:w="1440"/>
            <w:tcBorders>
              <w:top w:val="nil"/>
              <w:bottom w:val="single" w:sz="6" w:color="000000"/>
            </w:tcBorders>
          </w:tcPr>
          <w:p>
            <w:pPr>
              <w:spacing w:line="240" w:lineRule="auto" w:after="40"/>
              <w:ind w:firstLine="0"/>
              <w:jc w:val="right"/>
            </w:pPr>
            <w:r>
              <w:rPr>
                <w:sz w:val="21"/>
              </w:rPr>
            </w:r>
            <w:r>
              <w:rPr>
                <w:b/>
                <w:sz w:val="21"/>
              </w:rPr>
              <w:t>100%</w:t>
            </w:r>
          </w:p>
        </w:tc>
      </w:tr>
    </w:tbl>
    <w:p>
      <w:pPr>
        <w:pStyle w:val="APABodyNoIndent"/>
      </w:pPr>
    </w:p>
    <w:p>
      <w:pPr>
        <w:pStyle w:val="APABody"/>
      </w:pPr>
      <w:r>
        <w:t xml:space="preserve">Thirteen percent of cells returned </w:t>
      </w:r>
      <w:r>
        <w:rPr>
          <w:i/>
        </w:rPr>
        <w:t>uncertain</w:t>
      </w:r>
      <w:r>
        <w:t xml:space="preserve"> rather than a direction: a method that always answers cannot be distinguished from one that guesses, so these ten abstentions are evidence the confidence machinery is load-bearing. The near-balance of up and down classifications is also reassuring against directional bias.</w:t>
      </w:r>
    </w:p>
    <w:p>
      <w:r>
        <w:br w:type="page"/>
      </w:r>
    </w:p>
    <w:p>
      <w:pPr>
        <w:pStyle w:val="APAH1"/>
      </w:pPr>
      <w:r>
        <w:t>Discussion</w:t>
      </w:r>
    </w:p>
    <w:p>
      <w:pPr>
        <w:pStyle w:val="APAH2"/>
      </w:pPr>
      <w:r>
        <w:t>Strengths and Limitations</w:t>
      </w:r>
    </w:p>
    <w:p>
      <w:pPr>
        <w:pStyle w:val="APABody"/>
      </w:pPr>
      <w:r>
        <w:t xml:space="preserve">The system's central strengths are scalable offline preprocessing executed to completion with zero residual failures; trajectory-based retrieval that matches ecological </w:t>
      </w:r>
      <w:r>
        <w:rPr>
          <w:i/>
        </w:rPr>
        <w:t>condition</w:t>
      </w:r>
      <w:r>
        <w:t xml:space="preserve"> rather than single-year appearance, demonstrated by the Tso Morari–Pangong pairing; and a decoder-free, fully auditable forecasting layer that reports </w:t>
      </w:r>
      <w:r>
        <w:rPr>
          <w:i/>
        </w:rPr>
        <w:t>uncertain</w:t>
      </w:r>
      <w:r>
        <w:t xml:space="preserve"> rather than guessing when evidence is thin (13.3% abstention across 75 forecast cells).</w:t>
      </w:r>
    </w:p>
    <w:p>
      <w:pPr>
        <w:pStyle w:val="APABody"/>
      </w:pPr>
      <w:r>
        <w:t xml:space="preserve">Its limitations are structural. The ten-year window is not uniformly complete, and cloud cover reduces valid Sentinel-2 observations. A high embedding similarity does not guarantee ecological equivalence — only the ranking is meaningful, not the compressed absolute score — and every result is conditional on the fixed configuration reported in the results chapter. A twin whose matched window ends near 2025 has little observed future to transfer, which thinned Beas's and Tawa/Sasthamcotta's later-horizon forecasts to one or two twins — a consequence of dataset extent, not a flaw in the classification rule, which correctly reported </w:t>
      </w:r>
      <w:r>
        <w:rPr>
          <w:i/>
        </w:rPr>
        <w:t>uncertain</w:t>
      </w:r>
      <w:r>
        <w:t xml:space="preserve"> where warranted. Finally, the documented-condition checks are corroborating evidence, not calibrated validation, and their strength varies by site: Chilika's signal lines up with independently reported weed growth, Sasthamcotta's decline only partially agrees with the measured signal, Beas and Tawa have no published trend to check against, and Tso Morari's strongest corroboration is internal to the retrieval method; formal hindcasting is the next step precisely because it does not require external data.</w:t>
      </w:r>
    </w:p>
    <w:p>
      <w:r>
        <w:br w:type="page"/>
      </w:r>
    </w:p>
    <w:p>
      <w:pPr>
        <w:pStyle w:val="APAH1"/>
      </w:pPr>
      <w:r>
        <w:t>Conclusion and Future Work</w:t>
      </w:r>
    </w:p>
    <w:p>
      <w:pPr>
        <w:pStyle w:val="APAH2"/>
      </w:pPr>
      <w:r>
        <w:t>Conclusion</w:t>
      </w:r>
    </w:p>
    <w:p>
      <w:pPr>
        <w:pStyle w:val="APABody"/>
      </w:pPr>
      <w:r>
        <w:t>EcoTwin evolved from a conceptual ecosystem-comparison idea into a complete, fully executed geospatial retrieval and forecasting system: HydroLAKES and Sentinel-2 feed a buffered, tiled acquisition pipeline into Prithvi embeddings, coverage-pooled to lake level and indexed in pgvector, from which a five-year sliding-window trajectory search ranks analogs and a decoder-free forecasting layer transfers their measured index changes onto the target with a full audit trail — executed to completion over 829 lakes, ten years, and zero outstanding failures.</w:t>
      </w:r>
    </w:p>
    <w:p>
      <w:pPr>
        <w:pStyle w:val="APABody"/>
      </w:pPr>
      <w:r>
        <w:t>The applied-analysis chapter demonstrated the pipeline on five Ramsar wetlands, returning a striking unsupervised validation (Tso Morari's top analog is Pangong Tso, the only other high-altitude Ladakhi lake in the cohort), a measured encroachment signal at Chilika consistent with independently reported weed growth, a decade-long decline at Sasthamcotta that only partially agrees with its own documented degradation, and a forecasting method that correctly declined to predict in 10 of 75 cells rather than manufacturing a confident answer. The project's most significant contribution is the integration of geospatial data engineering, foundation-model inference, vector retrieval, temporal analysis, and visualization into one reproducible workflow carried through to applied results.</w:t>
      </w:r>
    </w:p>
    <w:p>
      <w:pPr>
        <w:pStyle w:val="APAH2"/>
      </w:pPr>
      <w:r>
        <w:t>Future Work</w:t>
      </w:r>
    </w:p>
    <w:p>
      <w:pPr>
        <w:pStyle w:val="APABody"/>
      </w:pPr>
      <w:r>
        <w:t xml:space="preserve">Priority items are executing the hindcasting protocol once further years extend the dataset past its current single-cutoff limitation; extending ingestion beyond 2025 to resolve </w:t>
      </w:r>
      <w:r>
        <w:rPr>
          <w:i/>
        </w:rPr>
        <w:t>uncertain</w:t>
      </w:r>
      <w:r>
        <w:t xml:space="preserve"> cells; adding independent field-ecological validation; and migrating trajectory search to pgvector's native ANN operators, since the current brute-force scan will not remain interactive as the cohort grows. Further directions include calibrating the similarity display scale against labelled ecosystem pairs, learned-weighted pooling in place of coverage-weighted mean, growing the cohort beyond 829 lakes, and deploying shared production infrastructure.</w:t>
      </w:r>
    </w:p>
    <w:p>
      <w:pPr>
        <w:pStyle w:val="APAH2"/>
      </w:pPr>
      <w:r>
        <w:t>Final Remarks</w:t>
      </w:r>
    </w:p>
    <w:p>
      <w:pPr>
        <w:pStyle w:val="APABody"/>
      </w:pPr>
      <w:r>
        <w:t>EcoTwin's central idea is to use historically observed ecosystems as computationally retrievable analogs rather than treating every ecosystem as an isolated forecasting problem. The Ramsar case studies show that this idea, carried through a fully processed cohort, produces results that are specific, checkable against independent knowledge where it exists, and honest about the limits of what it can currently claim where the evidence ran out.</w:t>
      </w:r>
    </w:p>
    <w:p>
      <w:r>
        <w:br w:type="page"/>
      </w:r>
    </w:p>
    <w:p>
      <w:pPr>
        <w:pStyle w:val="APAH1"/>
      </w:pPr>
      <w:r>
        <w:t>References</w:t>
      </w:r>
    </w:p>
    <w:p>
      <w:pPr>
        <w:pStyle w:val="APABodyNoIndent"/>
        <w:ind w:hanging="720" w:left="720"/>
      </w:pPr>
      <w:r>
        <w:t xml:space="preserve">Brown, C. F., Brumby, S. P., Guzder-Williams, B., Birch, T., Hyde, S. B., Mazzariello, J., Czerwinski, W., Pasquarella, V. J., Haertel, R., Ilyushchenko, S., Schwehr, K., Weisse, M., Stolle, F., Hanson, C., Guinan, O., Moore, R., &amp; Tait, A. M. (2022). Dynamic World, near real-time global 10 m land use land cover mapping. </w:t>
      </w:r>
      <w:r>
        <w:rPr>
          <w:i/>
        </w:rPr>
        <w:t>Scientific Data, 9</w:t>
      </w:r>
      <w:r>
        <w:t>, Article 251. https://doi.org/10.1038/s41597-022-01307-4</w:t>
      </w:r>
    </w:p>
    <w:p>
      <w:pPr>
        <w:pStyle w:val="APABodyNoIndent"/>
        <w:ind w:hanging="720" w:left="720"/>
      </w:pPr>
      <w:r>
        <w:t xml:space="preserve">Chilika Development Authority. (n.d.). </w:t>
      </w:r>
      <w:r>
        <w:rPr>
          <w:i/>
        </w:rPr>
        <w:t>Site history</w:t>
      </w:r>
      <w:r>
        <w:t>. Government of Odisha.</w:t>
      </w:r>
    </w:p>
    <w:p>
      <w:pPr>
        <w:pStyle w:val="APABodyNoIndent"/>
        <w:ind w:hanging="720" w:left="720"/>
      </w:pPr>
      <w:r>
        <w:t xml:space="preserve">Down To Earth. (n.d.). </w:t>
      </w:r>
      <w:r>
        <w:rPr>
          <w:i/>
        </w:rPr>
        <w:t>Chilika: A lake in limbo</w:t>
      </w:r>
      <w:r>
        <w:t>. https://www.downtoearth.org.in/environment/chilika-a-lake-in-limbo-30053</w:t>
      </w:r>
    </w:p>
    <w:p>
      <w:pPr>
        <w:pStyle w:val="APABodyNoIndent"/>
        <w:ind w:hanging="720" w:left="720"/>
      </w:pPr>
      <w:r>
        <w:t xml:space="preserve">European Space Agency. (n.d.). </w:t>
      </w:r>
      <w:r>
        <w:rPr>
          <w:i/>
        </w:rPr>
        <w:t>Sentinel-2 mission</w:t>
      </w:r>
      <w:r>
        <w:t>. Copernicus. https://sentinel.esa.int/web/sentinel/missions/sentinel-2</w:t>
      </w:r>
    </w:p>
    <w:p>
      <w:pPr>
        <w:pStyle w:val="APABodyNoIndent"/>
        <w:ind w:hanging="720" w:left="720"/>
      </w:pPr>
      <w:r>
        <w:t xml:space="preserve">Extreme seasonal water-level changes in high-altitude Himalayan lakes. (2023). </w:t>
      </w:r>
      <w:r>
        <w:rPr>
          <w:i/>
        </w:rPr>
        <w:t>Scientific Reports</w:t>
      </w:r>
      <w:r>
        <w:t>. https://www.nature.com/articles/s41598-023-37667-z</w:t>
      </w:r>
    </w:p>
    <w:p>
      <w:pPr>
        <w:pStyle w:val="APABodyNoIndent"/>
        <w:ind w:hanging="720" w:left="720"/>
      </w:pPr>
      <w:r>
        <w:t xml:space="preserve">Goodrich, S., et al. (2026). Sentinel-2 for chlorophyll-a water quality monitoring: A review of validation evidence and application potential. </w:t>
      </w:r>
      <w:r>
        <w:rPr>
          <w:i/>
        </w:rPr>
        <w:t>International Journal of Remote Sensing</w:t>
      </w:r>
      <w:r>
        <w:t>. https://doi.org/10.1080/01431161.2026.2637851</w:t>
      </w:r>
    </w:p>
    <w:p>
      <w:pPr>
        <w:pStyle w:val="APABodyNoIndent"/>
        <w:ind w:hanging="720" w:left="720"/>
      </w:pPr>
      <w:r>
        <w:t xml:space="preserve">Gorelick, N., Hancher, M., Dixon, M., Ilyushchenko, S., Thau, D., &amp; Moore, R. (2017). Google Earth Engine: Planetary-scale geospatial analysis for everyone. </w:t>
      </w:r>
      <w:r>
        <w:rPr>
          <w:i/>
        </w:rPr>
        <w:t>Remote Sensing of Environment, 202</w:t>
      </w:r>
      <w:r>
        <w:t>, 18–27. https://doi.org/10.1016/j.rse.2017.06.031</w:t>
      </w:r>
    </w:p>
    <w:p>
      <w:pPr>
        <w:pStyle w:val="APABodyNoIndent"/>
        <w:ind w:hanging="720" w:left="720"/>
      </w:pPr>
      <w:r>
        <w:t xml:space="preserve">Green, K. C., &amp; Armstrong, J. S. (2007). Structured analogies for forecasting. </w:t>
      </w:r>
      <w:r>
        <w:rPr>
          <w:i/>
        </w:rPr>
        <w:t>International Journal of Forecasting, 23</w:t>
      </w:r>
      <w:r>
        <w:t>(3), 365–376. https://doi.org/10.1016/j.ijforecast.2007.05.005</w:t>
      </w:r>
    </w:p>
    <w:p>
      <w:pPr>
        <w:pStyle w:val="APABodyNoIndent"/>
        <w:ind w:hanging="720" w:left="720"/>
      </w:pPr>
      <w:r>
        <w:t xml:space="preserve">Hsu, C.-Y., Li, W., &amp; Wang, S. (2024). Geospatial foundation models for image analysis: Evaluating and enhancing NASA-IBM Prithvi's domain adaptability. </w:t>
      </w:r>
      <w:r>
        <w:rPr>
          <w:i/>
        </w:rPr>
        <w:t>arXiv</w:t>
      </w:r>
      <w:r>
        <w:t>. https://doi.org/10.48550/arXiv.2409.00489</w:t>
      </w:r>
    </w:p>
    <w:p>
      <w:pPr>
        <w:pStyle w:val="APABodyNoIndent"/>
        <w:ind w:hanging="720" w:left="720"/>
      </w:pPr>
      <w:r>
        <w:t xml:space="preserve">Huete, A., Didan, K., Miura, T., Rodriguez, E. P., Gao, X., &amp; Ferreira, L. G. (2002). Overview of the radiometric and biophysical performance of the MODIS vegetation indices. </w:t>
      </w:r>
      <w:r>
        <w:rPr>
          <w:i/>
        </w:rPr>
        <w:t>Remote Sensing of Environment, 83</w:t>
      </w:r>
      <w:r>
        <w:t>(1–2), 195–213. https://doi.org/10.1016/S0034-4257(02)00096-2</w:t>
      </w:r>
    </w:p>
    <w:p>
      <w:pPr>
        <w:pStyle w:val="APABodyNoIndent"/>
        <w:ind w:hanging="720" w:left="720"/>
      </w:pPr>
      <w:r>
        <w:t xml:space="preserve">HydroLAKES. (n.d.). </w:t>
      </w:r>
      <w:r>
        <w:rPr>
          <w:i/>
        </w:rPr>
        <w:t>Global lake database and associated lake-boundary information</w:t>
      </w:r>
      <w:r>
        <w:t>. HydroSHEDS. https://www.hydrosheds.org/products/hydrolakes</w:t>
      </w:r>
    </w:p>
    <w:p>
      <w:pPr>
        <w:pStyle w:val="APABodyNoIndent"/>
        <w:ind w:hanging="720" w:left="720"/>
      </w:pPr>
      <w:r>
        <w:t xml:space="preserve">Lorenz, E. N. (1969). Atmospheric predictability as revealed by naturally occurring analogues. </w:t>
      </w:r>
      <w:r>
        <w:rPr>
          <w:i/>
        </w:rPr>
        <w:t>Journal of the Atmospheric Sciences, 26</w:t>
      </w:r>
      <w:r>
        <w:t>(4), 636–646. https://doi.org/10.1175/1520-0469(1969)26&lt;636:APARBN&gt;2.0.CO;2</w:t>
      </w:r>
    </w:p>
    <w:p>
      <w:pPr>
        <w:pStyle w:val="APABodyNoIndent"/>
        <w:ind w:hanging="720" w:left="720"/>
      </w:pPr>
      <w:r>
        <w:t xml:space="preserve">Ministry of Environment, Forest and Climate Change. (2024). </w:t>
      </w:r>
      <w:r>
        <w:rPr>
          <w:i/>
        </w:rPr>
        <w:t>Ramsar site notification, Tawa Reservoir</w:t>
      </w:r>
      <w:r>
        <w:t>. Government of India.</w:t>
      </w:r>
    </w:p>
    <w:p>
      <w:pPr>
        <w:pStyle w:val="APABodyNoIndent"/>
        <w:ind w:hanging="720" w:left="720"/>
      </w:pPr>
      <w:r>
        <w:t xml:space="preserve">NASA and IBM. (n.d.). </w:t>
      </w:r>
      <w:r>
        <w:rPr>
          <w:i/>
        </w:rPr>
        <w:t>Prithvi-EO: Geospatial foundation model for Earth observation</w:t>
      </w:r>
      <w:r>
        <w:t xml:space="preserve"> [Model documentation]. Hugging Face. https://huggingface.co/ibm-nasa-geospatial/Prithvi-EO-1.0-100M</w:t>
      </w:r>
    </w:p>
    <w:p>
      <w:pPr>
        <w:pStyle w:val="APABodyNoIndent"/>
        <w:ind w:hanging="720" w:left="720"/>
      </w:pPr>
      <w:r>
        <w:t xml:space="preserve">Pettorelli, N., Vik, J. O., Mysterud, A., Gaillard, J.-M., Tucker, C. J., &amp; Stenseth, N. C. (2005). Using the satellite-derived NDVI to assess ecological responses to environmental change. </w:t>
      </w:r>
      <w:r>
        <w:rPr>
          <w:i/>
        </w:rPr>
        <w:t>Trends in Ecology &amp; Evolution, 20</w:t>
      </w:r>
      <w:r>
        <w:t>(9), 503–510. https://doi.org/10.1016/j.tree.2005.05.011</w:t>
      </w:r>
    </w:p>
    <w:p>
      <w:pPr>
        <w:pStyle w:val="APABodyNoIndent"/>
        <w:ind w:hanging="720" w:left="720"/>
      </w:pPr>
      <w:r>
        <w:t xml:space="preserve">Ramsar Convention Secretariat. (2002). </w:t>
      </w:r>
      <w:r>
        <w:rPr>
          <w:i/>
        </w:rPr>
        <w:t>Maharana Pratap Sagar (Pong Dam Lake): Ramsar site designation</w:t>
      </w:r>
      <w:r>
        <w:t xml:space="preserve"> (Criteria 5 and 8).</w:t>
      </w:r>
    </w:p>
    <w:p>
      <w:pPr>
        <w:pStyle w:val="APABodyNoIndent"/>
        <w:ind w:hanging="720" w:left="720"/>
      </w:pPr>
      <w:r>
        <w:t xml:space="preserve">Ramsar Sites Information Service. (2024). </w:t>
      </w:r>
      <w:r>
        <w:rPr>
          <w:i/>
        </w:rPr>
        <w:t>Tawa Reservoir</w:t>
      </w:r>
      <w:r>
        <w:t>. https://rsis.ramsar.org/ris/2547</w:t>
      </w:r>
    </w:p>
    <w:p>
      <w:pPr>
        <w:pStyle w:val="APABodyNoIndent"/>
        <w:ind w:hanging="720" w:left="720"/>
      </w:pPr>
      <w:r>
        <w:t xml:space="preserve">Reddy, D. S., &amp; Prasad, P. R. C. (2018). Prediction of vegetation dynamics using NDVI time series data and LSTM. </w:t>
      </w:r>
      <w:r>
        <w:rPr>
          <w:i/>
        </w:rPr>
        <w:t>Modeling Earth Systems and Environment</w:t>
      </w:r>
      <w:r>
        <w:t>. https://doi.org/10.1007/s40808-018-0431-3</w:t>
      </w:r>
    </w:p>
    <w:p>
      <w:pPr>
        <w:pStyle w:val="APABodyNoIndent"/>
        <w:ind w:hanging="720" w:left="720"/>
      </w:pPr>
      <w:r>
        <w:t xml:space="preserve">Ryan, S., Powell, M., Ling, J., &amp; Wen, L. (2026). Streamlining wetland vegetation mapping with AlphaEarth embeddings: Comparable accuracy to traditional methods with cleaner maps and minimal preprocessing. </w:t>
      </w:r>
      <w:r>
        <w:rPr>
          <w:i/>
        </w:rPr>
        <w:t>Remote Sensing, 18</w:t>
      </w:r>
      <w:r>
        <w:t>(2), Article 293. https://doi.org/10.3390/rs18020293</w:t>
      </w:r>
    </w:p>
    <w:p>
      <w:pPr>
        <w:pStyle w:val="APABodyNoIndent"/>
        <w:ind w:hanging="720" w:left="720"/>
      </w:pPr>
      <w:r>
        <w:t xml:space="preserve">Szwarcman, D., Roy, S., Fraccaro, P., Gíslason, Þ. E., Blumenstiel, B., Ganti, R., Oliveira, P. H., Sedona, R., Shah, F., de Oliveira, M. F., Jakubik, J., Yin, X., Truong, H. Q., Moraes, R., Ramasubramanian, M., Rehman, S. E. U., Weldemariam, K., &amp; Ramachandran, R. (2024). Prithvi-EO-2.0: A versatile multi-temporal foundation model for Earth observation applications. </w:t>
      </w:r>
      <w:r>
        <w:rPr>
          <w:i/>
        </w:rPr>
        <w:t>arXiv</w:t>
      </w:r>
      <w:r>
        <w:t>. https://doi.org/10.48550/arXiv.2412.02732</w:t>
      </w:r>
    </w:p>
    <w:p>
      <w:pPr>
        <w:pStyle w:val="APABodyNoIndent"/>
        <w:ind w:hanging="720" w:left="720"/>
      </w:pPr>
      <w:r>
        <w:t xml:space="preserve">van den Dool, H. M. (1989). A new look at weather forecasting through analogues. </w:t>
      </w:r>
      <w:r>
        <w:rPr>
          <w:i/>
        </w:rPr>
        <w:t>Monthly Weather Review, 117</w:t>
      </w:r>
      <w:r>
        <w:t>(10), 2230–2247. https://doi.org/10.1175/1520-0493(1989)117&lt;2230:ANLAWF&gt;2.0.CO;2</w:t>
      </w:r>
    </w:p>
    <w:p>
      <w:pPr>
        <w:pStyle w:val="APABodyNoIndent"/>
        <w:ind w:hanging="720" w:left="720"/>
      </w:pPr>
      <w:r>
        <w:t>Water quality assessment of Sasthamcotta Lake, Kollam, Kerala. (n.d.). ResearchGate. https://www.researchgate.net/publication/323628043</w:t>
      </w:r>
    </w:p>
    <w:p>
      <w:pPr>
        <w:pStyle w:val="APABodyNoIndent"/>
        <w:ind w:hanging="720" w:left="720"/>
      </w:pPr>
      <w:r>
        <w:t xml:space="preserve">Wikipedia. (n.d.). </w:t>
      </w:r>
      <w:r>
        <w:rPr>
          <w:i/>
        </w:rPr>
        <w:t>Maharana Pratap Sagar</w:t>
      </w:r>
      <w:r>
        <w:t>. https://en.wikipedia.org/wiki/Maharana_Pratap_Sagar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Title">
    <w:name w:val="APA Title"/>
    <w:basedOn w:val="Normal"/>
    <w:pPr>
      <w:keepNext w:val="0"/>
      <w:spacing w:line="480" w:lineRule="auto" w:before="0" w:after="0"/>
      <w:ind w:firstLine="0"/>
      <w:jc w:val="center"/>
    </w:pPr>
    <w:rPr>
      <w:rFonts w:ascii="Times New Roman" w:hAnsi="Times New Roman"/>
      <w:b/>
      <w:i w:val="0"/>
      <w:sz w:val="24"/>
    </w:rPr>
  </w:style>
  <w:style w:type="paragraph" w:customStyle="1" w:styleId="APAH1">
    <w:name w:val="APA H1"/>
    <w:basedOn w:val="Normal"/>
    <w:pPr>
      <w:keepNext/>
      <w:spacing w:line="480" w:lineRule="auto" w:before="0" w:after="0"/>
      <w:ind w:firstLine="0"/>
      <w:jc w:val="center"/>
    </w:pPr>
    <w:rPr>
      <w:rFonts w:ascii="Times New Roman" w:hAnsi="Times New Roman"/>
      <w:b/>
      <w:i w:val="0"/>
      <w:sz w:val="24"/>
    </w:rPr>
  </w:style>
  <w:style w:type="paragraph" w:customStyle="1" w:styleId="APAH2">
    <w:name w:val="APA H2"/>
    <w:basedOn w:val="Normal"/>
    <w:pPr>
      <w:keepNext/>
      <w:spacing w:line="480" w:lineRule="auto" w:before="0" w:after="0"/>
      <w:ind w:firstLine="0"/>
      <w:jc w:val="left"/>
    </w:pPr>
    <w:rPr>
      <w:rFonts w:ascii="Times New Roman" w:hAnsi="Times New Roman"/>
      <w:b/>
      <w:i w:val="0"/>
      <w:sz w:val="24"/>
    </w:rPr>
  </w:style>
  <w:style w:type="paragraph" w:customStyle="1" w:styleId="APAH3">
    <w:name w:val="APA H3"/>
    <w:basedOn w:val="Normal"/>
    <w:pPr>
      <w:keepNext/>
      <w:spacing w:line="480" w:lineRule="auto" w:before="0" w:after="0"/>
      <w:ind w:firstLine="0"/>
      <w:jc w:val="left"/>
    </w:pPr>
    <w:rPr>
      <w:rFonts w:ascii="Times New Roman" w:hAnsi="Times New Roman"/>
      <w:b/>
      <w:i/>
      <w:sz w:val="24"/>
    </w:rPr>
  </w:style>
  <w:style w:type="paragraph" w:customStyle="1" w:styleId="APABody">
    <w:name w:val="APA Body"/>
    <w:basedOn w:val="Normal"/>
    <w:pPr>
      <w:keepNext w:val="0"/>
      <w:spacing w:line="480" w:lineRule="auto" w:before="0" w:after="0"/>
      <w:ind w:firstLine="720"/>
      <w:jc w:val="left"/>
    </w:pPr>
    <w:rPr>
      <w:rFonts w:ascii="Times New Roman" w:hAnsi="Times New Roman"/>
      <w:b w:val="0"/>
      <w:i w:val="0"/>
      <w:sz w:val="24"/>
    </w:rPr>
  </w:style>
  <w:style w:type="paragraph" w:customStyle="1" w:styleId="APABodyNoIndent">
    <w:name w:val="APA Body NoIndent"/>
    <w:basedOn w:val="Normal"/>
    <w:pPr>
      <w:keepNext w:val="0"/>
      <w:spacing w:line="480" w:lineRule="auto" w:before="0" w:after="0"/>
      <w:ind w:firstLine="0"/>
      <w:jc w:val="left"/>
    </w:pPr>
    <w:rPr>
      <w:rFonts w:ascii="Times New Roman" w:hAnsi="Times New Roman"/>
      <w:b w:val="0"/>
      <w:i w:val="0"/>
      <w:sz w:val="24"/>
    </w:rPr>
  </w:style>
  <w:style w:type="paragraph" w:customStyle="1" w:styleId="APACaptionLabel">
    <w:name w:val="APA Caption Label"/>
    <w:basedOn w:val="Normal"/>
    <w:pPr>
      <w:keepNext w:val="0"/>
      <w:spacing w:line="480" w:lineRule="auto" w:before="0" w:after="0"/>
      <w:ind w:firstLine="0"/>
      <w:jc w:val="left"/>
    </w:pPr>
    <w:rPr>
      <w:rFonts w:ascii="Times New Roman" w:hAnsi="Times New Roman"/>
      <w:b/>
      <w:i w:val="0"/>
      <w:sz w:val="24"/>
    </w:rPr>
  </w:style>
  <w:style w:type="paragraph" w:customStyle="1" w:styleId="APACaptionTitle">
    <w:name w:val="APA Caption Title"/>
    <w:basedOn w:val="Normal"/>
    <w:pPr>
      <w:keepNext w:val="0"/>
      <w:spacing w:line="480" w:lineRule="auto" w:before="0" w:after="0"/>
      <w:ind w:firstLine="0"/>
      <w:jc w:val="left"/>
    </w:pPr>
    <w:rPr>
      <w:rFonts w:ascii="Times New Roman" w:hAnsi="Times New Roman"/>
      <w:b w:val="0"/>
      <w:i/>
      <w:sz w:val="24"/>
    </w:rPr>
  </w:style>
  <w:style w:type="paragraph" w:customStyle="1" w:styleId="APACaptionNote">
    <w:name w:val="APA Caption Note"/>
    <w:basedOn w:val="Normal"/>
    <w:pPr>
      <w:keepNext w:val="0"/>
      <w:spacing w:line="240" w:lineRule="auto" w:before="0" w:after="0"/>
      <w:ind w:firstLine="0"/>
      <w:jc w:val="left"/>
    </w:pPr>
    <w:rPr>
      <w:rFonts w:ascii="Times New Roman" w:hAnsi="Times New Roman"/>
      <w:b w:val="0"/>
      <w:i w:val="0"/>
      <w:sz w:val="22"/>
    </w:rPr>
  </w:style>
  <w:style w:type="paragraph" w:customStyle="1" w:styleId="APAQuote">
    <w:name w:val="APA Quote"/>
    <w:basedOn w:val="Normal"/>
    <w:pPr>
      <w:keepNext w:val="0"/>
      <w:spacing w:line="480" w:lineRule="auto" w:before="0" w:after="0"/>
      <w:ind w:firstLine="720"/>
      <w:jc w:val="left"/>
    </w:pPr>
    <w:rPr>
      <w:rFonts w:ascii="Times New Roman" w:hAnsi="Times New Roman"/>
      <w:b w:val="0"/>
      <w:i w:val="0"/>
      <w:sz w:val="24"/>
    </w:rPr>
  </w:style>
  <w:style w:type="paragraph" w:customStyle="1" w:styleId="APAEquation">
    <w:name w:val="APA Equation"/>
    <w:basedOn w:val="Normal"/>
    <w:pPr>
      <w:keepNext w:val="0"/>
      <w:spacing w:line="240" w:lineRule="auto" w:before="120" w:after="120"/>
      <w:ind w:firstLine="0"/>
      <w:jc w:val="center"/>
    </w:pPr>
    <w:rPr>
      <w:rFonts w:ascii="Times New Roman" w:hAnsi="Times New Roman"/>
      <w:b w:val="0"/>
      <w:i w:val="0"/>
      <w:sz w:val="24"/>
    </w:rPr>
  </w:style>
  <w:style w:type="paragraph" w:customStyle="1" w:styleId="APACode">
    <w:name w:val="APA Code"/>
    <w:basedOn w:val="Normal"/>
    <w:pPr>
      <w:keepNext w:val="0"/>
      <w:spacing w:line="240" w:lineRule="auto" w:before="0" w:after="0"/>
      <w:ind w:firstLine="0"/>
      <w:jc w:val="left"/>
    </w:pPr>
    <w:rPr>
      <w:rFonts w:ascii="Consolas" w:hAnsi="Consolas"/>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