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51B54" w14:textId="47D35B3F" w:rsidR="00555BF0" w:rsidRPr="00555BF0" w:rsidRDefault="00555BF0" w:rsidP="00555BF0">
      <w:pPr>
        <w:spacing w:line="276" w:lineRule="auto"/>
        <w:rPr>
          <w:rFonts w:ascii="Times New Roman" w:hAnsi="Times New Roman" w:cs="Times New Roman"/>
        </w:rPr>
      </w:pPr>
      <w:r w:rsidRPr="00555BF0">
        <w:rPr>
          <w:rFonts w:ascii="Times New Roman" w:hAnsi="Times New Roman" w:cs="Times New Roman"/>
        </w:rPr>
        <w:t xml:space="preserve">Adv Big Data </w:t>
      </w:r>
    </w:p>
    <w:p w14:paraId="12605E26" w14:textId="7A8C42EE" w:rsidR="00555BF0" w:rsidRPr="00555BF0" w:rsidRDefault="00555BF0" w:rsidP="00555BF0">
      <w:pPr>
        <w:spacing w:line="276" w:lineRule="auto"/>
        <w:rPr>
          <w:rFonts w:ascii="Times New Roman" w:hAnsi="Times New Roman" w:cs="Times New Roman"/>
        </w:rPr>
      </w:pPr>
      <w:r w:rsidRPr="00555BF0">
        <w:rPr>
          <w:rFonts w:ascii="Times New Roman" w:hAnsi="Times New Roman" w:cs="Times New Roman"/>
        </w:rPr>
        <w:t>Professor Gu</w:t>
      </w:r>
    </w:p>
    <w:p w14:paraId="71F09B98" w14:textId="025E5E7B" w:rsidR="00555BF0" w:rsidRPr="00555BF0" w:rsidRDefault="00555BF0" w:rsidP="00555BF0">
      <w:pPr>
        <w:spacing w:line="276" w:lineRule="auto"/>
        <w:rPr>
          <w:rFonts w:ascii="Times New Roman" w:hAnsi="Times New Roman" w:cs="Times New Roman"/>
        </w:rPr>
      </w:pPr>
      <w:proofErr w:type="spellStart"/>
      <w:r w:rsidRPr="00555BF0">
        <w:rPr>
          <w:rFonts w:ascii="Times New Roman" w:hAnsi="Times New Roman" w:cs="Times New Roman"/>
        </w:rPr>
        <w:t>Xueyan</w:t>
      </w:r>
      <w:proofErr w:type="spellEnd"/>
      <w:r w:rsidRPr="00555BF0">
        <w:rPr>
          <w:rFonts w:ascii="Times New Roman" w:hAnsi="Times New Roman" w:cs="Times New Roman"/>
        </w:rPr>
        <w:t xml:space="preserve"> Bai </w:t>
      </w:r>
    </w:p>
    <w:p w14:paraId="795B47EE" w14:textId="4E209636" w:rsidR="00555BF0" w:rsidRDefault="00555BF0" w:rsidP="008B22A8">
      <w:pPr>
        <w:spacing w:line="360" w:lineRule="auto"/>
        <w:jc w:val="center"/>
        <w:rPr>
          <w:rFonts w:ascii="Times New Roman" w:hAnsi="Times New Roman" w:cs="Times New Roman"/>
        </w:rPr>
      </w:pPr>
      <w:r w:rsidRPr="00555BF0">
        <w:rPr>
          <w:rFonts w:ascii="Times New Roman" w:hAnsi="Times New Roman" w:cs="Times New Roman"/>
        </w:rPr>
        <w:t>The Summary of Deep Learning Approach to Clustering</w:t>
      </w:r>
    </w:p>
    <w:p w14:paraId="532F7E84" w14:textId="1D17169C" w:rsidR="00555BF0" w:rsidRDefault="00555BF0" w:rsidP="008B22A8">
      <w:pPr>
        <w:spacing w:line="276"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w:t>
      </w:r>
      <w:r>
        <w:rPr>
          <w:rFonts w:ascii="Times New Roman" w:hAnsi="Times New Roman" w:cs="Times New Roman"/>
        </w:rPr>
        <w:t xml:space="preserve"> article </w:t>
      </w:r>
      <w:r w:rsidR="008B22A8">
        <w:rPr>
          <w:rFonts w:ascii="Times New Roman" w:hAnsi="Times New Roman" w:cs="Times New Roman"/>
        </w:rPr>
        <w:t xml:space="preserve">is trying to build a new deep clustering network that leverages the discriminative power of information-theoretic divergence measures, which have been shown to be effective in traditional clustering. The proposal of the article is to set up a novel loss function that incorporates geometric regularization constraints to avoid degenerate structures of the resulting clustering partition. </w:t>
      </w:r>
    </w:p>
    <w:p w14:paraId="00D6B05A" w14:textId="3AAE31A3" w:rsidR="00CF4759" w:rsidRDefault="008B22A8" w:rsidP="008B22A8">
      <w:pPr>
        <w:spacing w:line="276" w:lineRule="auto"/>
        <w:rPr>
          <w:rFonts w:ascii="Times New Roman" w:hAnsi="Times New Roman" w:cs="Times New Roman"/>
        </w:rPr>
      </w:pPr>
      <w:r>
        <w:rPr>
          <w:rFonts w:ascii="Times New Roman" w:hAnsi="Times New Roman" w:cs="Times New Roman"/>
        </w:rPr>
        <w:t xml:space="preserve">There are a few methods have been proposed to exploit deep learning architectures for clustering, including </w:t>
      </w:r>
      <w:proofErr w:type="spellStart"/>
      <w:r>
        <w:rPr>
          <w:rFonts w:ascii="Times New Roman" w:hAnsi="Times New Roman" w:cs="Times New Roman"/>
        </w:rPr>
        <w:t>CatGAN</w:t>
      </w:r>
      <w:proofErr w:type="spellEnd"/>
      <w:r>
        <w:rPr>
          <w:rFonts w:ascii="Times New Roman" w:hAnsi="Times New Roman" w:cs="Times New Roman"/>
        </w:rPr>
        <w:t xml:space="preserve"> and AAE, which are based on the idea of adversarial networks, and DEC, which is the most closely relative method to the approach of the article. DEC </w:t>
      </w:r>
      <w:r w:rsidR="00CF4759">
        <w:rPr>
          <w:rFonts w:ascii="Times New Roman" w:hAnsi="Times New Roman" w:cs="Times New Roman"/>
        </w:rPr>
        <w:t xml:space="preserve">is founded on traditional clustering approaches. The first step is to analysis data based on Student t-distribution, and then, to optimize the parameters based on soft assignments to target distribution. The benefit of the DEC is that the method is performed by minimizing KL divergence. However, the disadvantage is that the effectiveness of DEC requires explicit feature design to handle complex image data. </w:t>
      </w:r>
    </w:p>
    <w:p w14:paraId="172DD84C" w14:textId="77777777" w:rsidR="002A5055" w:rsidRDefault="008B22A8" w:rsidP="008B22A8">
      <w:pPr>
        <w:spacing w:line="276" w:lineRule="auto"/>
        <w:rPr>
          <w:rFonts w:ascii="Times New Roman" w:hAnsi="Times New Roman" w:cs="Times New Roman"/>
        </w:rPr>
      </w:pPr>
      <w:r>
        <w:rPr>
          <w:rFonts w:ascii="Times New Roman" w:hAnsi="Times New Roman" w:cs="Times New Roman"/>
        </w:rPr>
        <w:t xml:space="preserve"> </w:t>
      </w:r>
      <w:r w:rsidR="00CF4759">
        <w:rPr>
          <w:rFonts w:ascii="Times New Roman" w:hAnsi="Times New Roman" w:cs="Times New Roman"/>
        </w:rPr>
        <w:t>The fundamental part of this project is to set up the loss function that allow the network to learn from gradient descent the intrinsic cluster structure in the input data. The propose of the model is to compute the dissimilar</w:t>
      </w:r>
      <w:r w:rsidR="00F905C3">
        <w:rPr>
          <w:rFonts w:ascii="Times New Roman" w:hAnsi="Times New Roman" w:cs="Times New Roman"/>
        </w:rPr>
        <w:t xml:space="preserve">ity between PDFs to set up each cluster and optimize clusters by maximizing the divergence between their PDFs. </w:t>
      </w:r>
      <w:r w:rsidR="00760EC8">
        <w:rPr>
          <w:rFonts w:ascii="Times New Roman" w:hAnsi="Times New Roman" w:cs="Times New Roman"/>
        </w:rPr>
        <w:t>T</w:t>
      </w:r>
      <w:r w:rsidR="00760EC8">
        <w:rPr>
          <w:rFonts w:ascii="Times New Roman" w:hAnsi="Times New Roman" w:cs="Times New Roman" w:hint="eastAsia"/>
        </w:rPr>
        <w:t>here</w:t>
      </w:r>
      <w:r w:rsidR="00760EC8">
        <w:rPr>
          <w:rFonts w:ascii="Times New Roman" w:hAnsi="Times New Roman" w:cs="Times New Roman"/>
        </w:rPr>
        <w:t xml:space="preserve"> are </w:t>
      </w:r>
      <w:r w:rsidR="002A5055">
        <w:rPr>
          <w:rFonts w:ascii="Times New Roman" w:hAnsi="Times New Roman" w:cs="Times New Roman"/>
        </w:rPr>
        <w:t xml:space="preserve">several different formulations of divergence measures exist, but the article focuses on Cauchy-Schwarz (CS) divergence, which can be used in multi-cluster problems by averaging the pairwise divergence over all pairs of cluster PDFs. Consider </w:t>
      </w:r>
      <m:oMath>
        <m:r>
          <w:rPr>
            <w:rFonts w:ascii="Cambria Math" w:hAnsi="Cambria Math" w:cs="Times New Roman"/>
          </w:rPr>
          <m:t>k≥2</m:t>
        </m:r>
      </m:oMath>
      <w:r w:rsidR="002A5055">
        <w:rPr>
          <w:rFonts w:ascii="Times New Roman" w:hAnsi="Times New Roman" w:cs="Times New Roman"/>
        </w:rPr>
        <w:t xml:space="preserve"> distinct PDFs, the CS divergence is defined as: </w:t>
      </w:r>
    </w:p>
    <w:p w14:paraId="1E45881B" w14:textId="1CAD0925" w:rsidR="002A5055" w:rsidRDefault="002A5055" w:rsidP="002A5055">
      <w:pPr>
        <w:spacing w:line="276" w:lineRule="auto"/>
        <w:jc w:val="center"/>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hint="eastAsia"/>
                    </w:rPr>
                    <m:t>k</m:t>
                  </m:r>
                  <m:r>
                    <w:rPr>
                      <w:rFonts w:ascii="Cambria Math" w:hAnsi="Cambria Math" w:cs="Cambria Math"/>
                    </w:rPr>
                    <m:t>-</m:t>
                  </m:r>
                  <m:r>
                    <w:rPr>
                      <w:rFonts w:ascii="Cambria Math" w:hAnsi="Cambria Math" w:cs="Times New Roman" w:hint="eastAsia"/>
                    </w:rPr>
                    <m:t>1</m:t>
                  </m:r>
                </m:sup>
                <m:e>
                  <m:nary>
                    <m:naryPr>
                      <m:chr m:val="∑"/>
                      <m:limLoc m:val="subSup"/>
                      <m:supHide m:val="1"/>
                      <m:ctrlPr>
                        <w:rPr>
                          <w:rFonts w:ascii="Cambria Math" w:hAnsi="Cambria Math" w:cs="Times New Roman"/>
                          <w:i/>
                        </w:rPr>
                      </m:ctrlPr>
                    </m:naryPr>
                    <m:sub>
                      <m:r>
                        <w:rPr>
                          <w:rFonts w:ascii="Cambria Math" w:hAnsi="Cambria Math" w:cs="Times New Roman"/>
                        </w:rPr>
                        <m:t>j&gt;i</m:t>
                      </m:r>
                    </m:sub>
                    <m:sup/>
                    <m:e>
                      <m:f>
                        <m:fPr>
                          <m:ctrlPr>
                            <w:rPr>
                              <w:rFonts w:ascii="Cambria Math" w:hAnsi="Cambria Math" w:cs="Times New Roman"/>
                              <w:i/>
                            </w:rPr>
                          </m:ctrlPr>
                        </m:fPr>
                        <m:num>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m:t>
                                  </m:r>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num>
                        <m:den>
                          <m:rad>
                            <m:radPr>
                              <m:degHide m:val="1"/>
                              <m:ctrlPr>
                                <w:rPr>
                                  <w:rFonts w:ascii="Cambria Math" w:hAnsi="Cambria Math" w:cs="Times New Roman"/>
                                  <w:i/>
                                </w:rPr>
                              </m:ctrlPr>
                            </m:radPr>
                            <m:deg/>
                            <m:e>
                              <m:nary>
                                <m:naryPr>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dx </m:t>
                                  </m:r>
                                  <m:nary>
                                    <m:naryPr>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dx </m:t>
                                      </m:r>
                                    </m:e>
                                  </m:nary>
                                </m:e>
                              </m:nary>
                            </m:e>
                          </m:rad>
                        </m:den>
                      </m:f>
                    </m:e>
                  </m:nary>
                </m:e>
              </m:nary>
              <m:r>
                <w:rPr>
                  <w:rFonts w:ascii="Cambria Math" w:hAnsi="Cambria Math" w:cs="Times New Roman"/>
                </w:rPr>
                <m:t>)</m:t>
              </m:r>
            </m:e>
          </m:func>
        </m:oMath>
      </m:oMathPara>
    </w:p>
    <w:p w14:paraId="5CCA0B4E" w14:textId="77777777" w:rsidR="00555BF0" w:rsidRPr="00555BF0" w:rsidRDefault="00555BF0" w:rsidP="00555BF0">
      <w:pPr>
        <w:rPr>
          <w:rFonts w:ascii="Times New Roman" w:hAnsi="Times New Roman" w:cs="Times New Roman"/>
        </w:rPr>
      </w:pPr>
    </w:p>
    <w:p w14:paraId="4390BAAB" w14:textId="77777777" w:rsidR="00F17051" w:rsidRDefault="002A5055" w:rsidP="00555BF0">
      <w:pPr>
        <w:rPr>
          <w:rFonts w:ascii="Times New Roman" w:hAnsi="Times New Roman" w:cs="Times New Roman"/>
        </w:rPr>
      </w:pPr>
      <w:r>
        <w:rPr>
          <w:rFonts w:ascii="Times New Roman" w:hAnsi="Times New Roman" w:cs="Times New Roman"/>
        </w:rPr>
        <w:t xml:space="preserve">Since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oMath>
      <w:r>
        <w:rPr>
          <w:rFonts w:ascii="Times New Roman" w:hAnsi="Times New Roman" w:cs="Times New Roman"/>
        </w:rPr>
        <w:t xml:space="preserve"> are unknown, the article follow</w:t>
      </w:r>
      <w:r w:rsidR="00431D11">
        <w:rPr>
          <w:rFonts w:ascii="Times New Roman" w:hAnsi="Times New Roman" w:cs="Times New Roman"/>
        </w:rPr>
        <w:t>s</w:t>
      </w:r>
      <w:r>
        <w:rPr>
          <w:rFonts w:ascii="Times New Roman" w:hAnsi="Times New Roman" w:cs="Times New Roman"/>
        </w:rPr>
        <w:t xml:space="preserve"> the data-driven approach and approximate the PDFs using a </w:t>
      </w:r>
      <w:proofErr w:type="spellStart"/>
      <w:r>
        <w:rPr>
          <w:rFonts w:ascii="Times New Roman" w:hAnsi="Times New Roman" w:cs="Times New Roman"/>
        </w:rPr>
        <w:t>Parzen</w:t>
      </w:r>
      <w:proofErr w:type="spellEnd"/>
      <w:r>
        <w:rPr>
          <w:rFonts w:ascii="Times New Roman" w:hAnsi="Times New Roman" w:cs="Times New Roman"/>
        </w:rPr>
        <w:t xml:space="preserve"> window estimator, configured with a Gaussian kernel having bandwidth </w:t>
      </w:r>
      <m:oMath>
        <m:r>
          <w:rPr>
            <w:rFonts w:ascii="Cambria Math" w:hAnsi="Cambria Math" w:cs="Times New Roman"/>
          </w:rPr>
          <m:t>σ</m:t>
        </m:r>
      </m:oMath>
      <w:r>
        <w:rPr>
          <w:rFonts w:ascii="Times New Roman" w:hAnsi="Times New Roman" w:cs="Times New Roman"/>
        </w:rPr>
        <w:t>.</w:t>
      </w:r>
      <w:r w:rsidR="00F17051">
        <w:rPr>
          <w:rFonts w:ascii="Times New Roman" w:hAnsi="Times New Roman" w:cs="Times New Roman"/>
        </w:rPr>
        <w:t xml:space="preserve"> Define </w:t>
      </w:r>
      <m:oMath>
        <m:r>
          <w:rPr>
            <w:rFonts w:ascii="Cambria Math" w:hAnsi="Cambria Math" w:cs="Times New Roman"/>
          </w:rPr>
          <m:t>the matrix K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 x n</m:t>
            </m:r>
          </m:sup>
        </m:sSup>
      </m:oMath>
      <w:r w:rsidR="00F17051">
        <w:rPr>
          <w:rFonts w:ascii="Times New Roman" w:hAnsi="Times New Roman" w:cs="Times New Roman"/>
        </w:rPr>
        <w:t xml:space="preserve"> so that the element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i,j</m:t>
            </m:r>
          </m:sub>
        </m:sSub>
        <m:r>
          <w:rPr>
            <w:rFonts w:ascii="Cambria Math" w:hAnsi="Cambria Math" w:cs="Times New Roman"/>
          </w:rPr>
          <m:t xml:space="preserve"> stores the value</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oMath>
    </w:p>
    <w:p w14:paraId="1A99D55E" w14:textId="77777777" w:rsidR="00C031E1" w:rsidRDefault="00F17051" w:rsidP="00555BF0">
      <w:pPr>
        <w:rPr>
          <w:rFonts w:ascii="Times New Roman" w:hAnsi="Times New Roman" w:cs="Times New Roman"/>
        </w:rPr>
      </w:pPr>
      <w:r>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sup/>
        </m:sSup>
      </m:oMath>
      <w:r>
        <w:rPr>
          <w:rFonts w:ascii="Times New Roman" w:hAnsi="Times New Roman" w:cs="Times New Roman"/>
        </w:rPr>
        <w:t xml:space="preserve">is the Euclidean distance between data point </w:t>
      </w:r>
      <w:r w:rsidR="002A505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Pr>
          <w:rFonts w:ascii="Times New Roman" w:hAnsi="Times New Roman" w:cs="Times New Roman"/>
        </w:rPr>
        <w:t xml:space="preserve">. The article assumes that there is a n x k cluster assignment matrix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q,i</m:t>
                </m:r>
              </m:sub>
            </m:sSub>
          </m:e>
        </m:d>
        <m:r>
          <w:rPr>
            <w:rFonts w:ascii="Cambria Math" w:hAnsi="Cambria Math" w:cs="Times New Roman"/>
          </w:rPr>
          <m:t xml:space="preserve"> with element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q,i</m:t>
            </m:r>
          </m:sub>
        </m:sSub>
        <m:r>
          <w:rPr>
            <w:rFonts w:ascii="Cambria Math" w:hAnsi="Cambria Math" w:cs="Times New Roman"/>
          </w:rPr>
          <m:t>∈{0,1}</m:t>
        </m:r>
      </m:oMath>
      <w:r>
        <w:rPr>
          <w:rFonts w:ascii="Times New Roman" w:hAnsi="Times New Roman" w:cs="Times New Roman"/>
        </w:rPr>
        <w:t xml:space="preserve"> representing the crisp cluster assignment of data point q to cluster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Pr>
          <w:rFonts w:ascii="Times New Roman" w:hAnsi="Times New Roman" w:cs="Times New Roman"/>
        </w:rPr>
        <w:t xml:space="preserve">. </w:t>
      </w:r>
      <w:r w:rsidR="00C031E1">
        <w:rPr>
          <w:rFonts w:ascii="Times New Roman" w:hAnsi="Times New Roman" w:cs="Times New Roman"/>
        </w:rPr>
        <w:t xml:space="preserve">Thus: </w:t>
      </w:r>
    </w:p>
    <w:p w14:paraId="4BB2F6F1" w14:textId="441A8E21" w:rsidR="00555BF0" w:rsidRDefault="00C031E1" w:rsidP="00C031E1">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cs</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e>
        </m:func>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m:t>
            </m:r>
          </m:sub>
        </m:sSub>
        <m:r>
          <w:rPr>
            <w:rFonts w:ascii="Cambria Math" w:hAnsi="Cambria Math" w:cs="Times New Roman"/>
          </w:rPr>
          <m:t>)</m:t>
        </m:r>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hint="eastAsia"/>
              </w:rPr>
              <m:t>k</m:t>
            </m:r>
            <m:r>
              <w:rPr>
                <w:rFonts w:ascii="Cambria Math" w:hAnsi="Cambria Math" w:cs="Cambria Math"/>
              </w:rPr>
              <m:t>-</m:t>
            </m:r>
            <m:r>
              <w:rPr>
                <w:rFonts w:ascii="Cambria Math" w:hAnsi="Cambria Math" w:cs="Times New Roman" w:hint="eastAsia"/>
              </w:rPr>
              <m:t>1</m:t>
            </m:r>
          </m:sup>
          <m:e>
            <m:nary>
              <m:naryPr>
                <m:chr m:val="∑"/>
                <m:limLoc m:val="subSup"/>
                <m:supHide m:val="1"/>
                <m:ctrlPr>
                  <w:rPr>
                    <w:rFonts w:ascii="Cambria Math" w:hAnsi="Cambria Math" w:cs="Times New Roman"/>
                    <w:i/>
                  </w:rPr>
                </m:ctrlPr>
              </m:naryPr>
              <m:sub>
                <m:r>
                  <w:rPr>
                    <w:rFonts w:ascii="Cambria Math" w:hAnsi="Cambria Math" w:cs="Times New Roman"/>
                  </w:rPr>
                  <m:t>j&gt;i</m:t>
                </m:r>
              </m:sub>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 xml:space="preserve">K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num>
                  <m:den>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 xml:space="preserve">K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 xml:space="preserve">K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e>
                    </m:rad>
                  </m:den>
                </m:f>
              </m:e>
            </m:nary>
          </m:e>
        </m:nary>
        <m:r>
          <w:rPr>
            <w:rFonts w:ascii="Cambria Math" w:hAnsi="Cambria Math" w:cs="Times New Roman"/>
          </w:rPr>
          <m:t xml:space="preserve"> </m:t>
        </m:r>
      </m:oMath>
    </w:p>
    <w:p w14:paraId="54CC7C95" w14:textId="77777777" w:rsidR="00CF006D" w:rsidRDefault="00CF006D" w:rsidP="00C031E1">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r>
        <w:rPr>
          <w:rFonts w:ascii="Times New Roman" w:hAnsi="Times New Roman" w:cs="Times New Roman"/>
        </w:rPr>
        <w:t xml:space="preserve"> order to enforce closeness to a corner of the simplex, the article d</w:t>
      </w:r>
      <w:r w:rsidR="00C031E1">
        <w:rPr>
          <w:rFonts w:ascii="Times New Roman" w:hAnsi="Times New Roman" w:cs="Times New Roman"/>
        </w:rPr>
        <w:t>efine an additional term for the loss function</w:t>
      </w:r>
      <w:r>
        <w:rPr>
          <w:rFonts w:ascii="Times New Roman" w:hAnsi="Times New Roman" w:cs="Times New Roman"/>
        </w:rPr>
        <w:t xml:space="preserve">: </w:t>
      </w:r>
    </w:p>
    <w:p w14:paraId="61BFAF99" w14:textId="2795AB55" w:rsidR="00CF006D" w:rsidRPr="00CF006D" w:rsidRDefault="00CF006D" w:rsidP="00CF006D">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q,i</m:t>
              </m:r>
            </m:sub>
          </m:sSub>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q</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d>
                    </m:e>
                    <m:sup>
                      <m:r>
                        <w:rPr>
                          <w:rFonts w:ascii="Cambria Math" w:hAnsi="Cambria Math" w:cs="Times New Roman"/>
                        </w:rPr>
                        <m:t>2</m:t>
                      </m:r>
                    </m:sup>
                  </m:sSup>
                </m:e>
              </m:d>
            </m:e>
          </m:func>
          <m:r>
            <w:rPr>
              <w:rFonts w:ascii="Cambria Math" w:hAnsi="Cambria Math" w:cs="Times New Roman" w:hint="eastAsia"/>
            </w:rPr>
            <m:t>，</m:t>
          </m:r>
          <m:r>
            <w:rPr>
              <w:rFonts w:ascii="Cambria Math" w:hAnsi="Cambria Math" w:cs="Times New Roman" w:hint="eastAsia"/>
            </w:rPr>
            <m:t>w</m:t>
          </m:r>
          <m:r>
            <w:rPr>
              <w:rFonts w:ascii="Cambria Math" w:hAnsi="Cambria Math" w:cs="Times New Roman"/>
            </w:rPr>
            <m:t>here:</m:t>
          </m:r>
          <m:r>
            <w:rPr>
              <w:rFonts w:ascii="Cambria Math" w:hAnsi="Cambria Math" w:cs="Times New Roman" w:hint="eastAsia"/>
            </w:rPr>
            <m:t xml:space="preserve"> </m:t>
          </m:r>
        </m:oMath>
      </m:oMathPara>
    </w:p>
    <w:p w14:paraId="49CB656C" w14:textId="00980217" w:rsidR="00C031E1" w:rsidRDefault="00CF006D" w:rsidP="00CF006D">
      <w:pPr>
        <w:rPr>
          <w:rFonts w:ascii="Times New Roman" w:hAnsi="Times New Roman" w:cs="Times New Roman"/>
          <w:iCs/>
        </w:rPr>
      </w:pPr>
      <m:oMath>
        <m:r>
          <w:rPr>
            <w:rFonts w:ascii="Cambria Math" w:hAnsi="Cambria Math" w:cs="Times New Roman"/>
          </w:rPr>
          <w:lastRenderedPageBreak/>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k</m:t>
            </m:r>
          </m:sup>
        </m:sSup>
        <m:r>
          <w:rPr>
            <w:rFonts w:ascii="Cambria Math" w:hAnsi="Cambria Math" w:cs="Times New Roman"/>
          </w:rPr>
          <m:t xml:space="preserve"> is the vector denoting the ith corner of the simplex;  representing cluster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Pr>
          <w:rFonts w:ascii="Times New Roman" w:hAnsi="Times New Roman" w:cs="Times New Roman"/>
          <w:i/>
        </w:rPr>
        <w:t xml:space="preserve">. </w:t>
      </w:r>
    </w:p>
    <w:p w14:paraId="57BABCC8" w14:textId="739FAA23" w:rsidR="00CF006D" w:rsidRDefault="00CF006D" w:rsidP="00CF006D">
      <w:pPr>
        <w:rPr>
          <w:rFonts w:ascii="Times New Roman" w:hAnsi="Times New Roman" w:cs="Times New Roman"/>
          <w:iCs/>
        </w:rPr>
      </w:pPr>
      <w:r>
        <w:rPr>
          <w:rFonts w:ascii="Times New Roman" w:hAnsi="Times New Roman" w:cs="Times New Roman"/>
          <w:iCs/>
        </w:rPr>
        <w:t xml:space="preserve">Hence, the final clustering loss function is: </w:t>
      </w:r>
    </w:p>
    <w:p w14:paraId="7C620ED9" w14:textId="21C7879B" w:rsidR="00CF006D" w:rsidRPr="00CF006D" w:rsidRDefault="00CF006D" w:rsidP="00CF006D">
      <w:pPr>
        <w:rPr>
          <w:rFonts w:ascii="Times New Roman" w:hAnsi="Times New Roman" w:cs="Times New Roman"/>
        </w:rPr>
      </w:pPr>
      <m:oMathPara>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hid, α</m:t>
              </m:r>
            </m:sub>
          </m:sSub>
          <m:r>
            <w:rPr>
              <w:rFonts w:ascii="Cambria Math" w:hAnsi="Cambria Math" w:cs="Times New Roman"/>
            </w:rPr>
            <m:t>+triu</m:t>
          </m:r>
          <m:d>
            <m:dPr>
              <m:ctrlPr>
                <w:rPr>
                  <w:rFonts w:ascii="Cambria Math"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 xml:space="preserve">hid, </m:t>
              </m:r>
              <m:r>
                <w:rPr>
                  <w:rFonts w:ascii="Cambria Math" w:hAnsi="Cambria Math" w:cs="Times New Roman"/>
                </w:rPr>
                <m:t xml:space="preserve">m  </m:t>
              </m:r>
            </m:sub>
          </m:sSub>
        </m:oMath>
      </m:oMathPara>
    </w:p>
    <w:p w14:paraId="7EAA11CF" w14:textId="06CBBB5F" w:rsidR="00CF006D" w:rsidRPr="00CF006D" w:rsidRDefault="00CF006D" w:rsidP="00CF006D">
      <w:pPr>
        <w:rPr>
          <w:rFonts w:ascii="Times New Roman" w:hAnsi="Times New Roman" w:cs="Times New Roman"/>
        </w:rPr>
      </w:pPr>
      <w:r>
        <w:rPr>
          <w:rFonts w:ascii="Times New Roman" w:hAnsi="Times New Roman" w:cs="Times New Roman"/>
        </w:rPr>
        <w:t xml:space="preserve">Where: </w:t>
      </w:r>
    </w:p>
    <w:p w14:paraId="414B76CA" w14:textId="77777777" w:rsidR="00CF006D" w:rsidRPr="00CF006D" w:rsidRDefault="00CF006D" w:rsidP="00CF006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 xml:space="preserve">hid, </m:t>
              </m:r>
              <m:r>
                <w:rPr>
                  <w:rFonts w:ascii="Cambria Math" w:hAnsi="Cambria Math" w:cs="Times New Roman"/>
                </w:rPr>
                <m:t>α</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hint="eastAsia"/>
                </w:rPr>
                <m:t>k</m:t>
              </m:r>
              <m:r>
                <w:rPr>
                  <w:rFonts w:ascii="Cambria Math" w:hAnsi="Cambria Math" w:cs="Cambria Math"/>
                </w:rPr>
                <m:t>-</m:t>
              </m:r>
              <m:r>
                <w:rPr>
                  <w:rFonts w:ascii="Cambria Math" w:hAnsi="Cambria Math" w:cs="Times New Roman" w:hint="eastAsia"/>
                </w:rPr>
                <m:t>1</m:t>
              </m:r>
            </m:sup>
            <m:e>
              <m:nary>
                <m:naryPr>
                  <m:chr m:val="∑"/>
                  <m:limLoc m:val="subSup"/>
                  <m:supHide m:val="1"/>
                  <m:ctrlPr>
                    <w:rPr>
                      <w:rFonts w:ascii="Cambria Math" w:hAnsi="Cambria Math" w:cs="Times New Roman"/>
                      <w:i/>
                    </w:rPr>
                  </m:ctrlPr>
                </m:naryPr>
                <m:sub>
                  <m:r>
                    <w:rPr>
                      <w:rFonts w:ascii="Cambria Math" w:hAnsi="Cambria Math" w:cs="Times New Roman"/>
                    </w:rPr>
                    <m:t>j&gt;i</m:t>
                  </m:r>
                </m:sub>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hid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num>
                    <m:den>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hid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hid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e>
                      </m:rad>
                    </m:den>
                  </m:f>
                </m:e>
              </m:nary>
            </m:e>
          </m:nary>
          <m:r>
            <w:rPr>
              <w:rFonts w:ascii="Cambria Math" w:hAnsi="Cambria Math" w:cs="Times New Roman"/>
            </w:rPr>
            <m:t xml:space="preserve"> </m:t>
          </m:r>
        </m:oMath>
      </m:oMathPara>
    </w:p>
    <w:p w14:paraId="15E80509" w14:textId="50DFF1B8" w:rsidR="00CF006D" w:rsidRPr="00CF006D" w:rsidRDefault="00CF006D" w:rsidP="00CF006D">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hid,m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hint="eastAsia"/>
                </w:rPr>
                <m:t>k</m:t>
              </m:r>
              <m:r>
                <w:rPr>
                  <w:rFonts w:ascii="Cambria Math" w:hAnsi="Cambria Math" w:cs="Cambria Math"/>
                </w:rPr>
                <m:t>-</m:t>
              </m:r>
              <m:r>
                <w:rPr>
                  <w:rFonts w:ascii="Cambria Math" w:hAnsi="Cambria Math" w:cs="Times New Roman" w:hint="eastAsia"/>
                </w:rPr>
                <m:t>1</m:t>
              </m:r>
            </m:sup>
            <m:e>
              <m:nary>
                <m:naryPr>
                  <m:chr m:val="∑"/>
                  <m:limLoc m:val="subSup"/>
                  <m:supHide m:val="1"/>
                  <m:ctrlPr>
                    <w:rPr>
                      <w:rFonts w:ascii="Cambria Math" w:hAnsi="Cambria Math" w:cs="Times New Roman"/>
                      <w:i/>
                    </w:rPr>
                  </m:ctrlPr>
                </m:naryPr>
                <m:sub>
                  <m:r>
                    <w:rPr>
                      <w:rFonts w:ascii="Cambria Math" w:hAnsi="Cambria Math" w:cs="Times New Roman"/>
                    </w:rPr>
                    <m:t>j&gt;i</m:t>
                  </m:r>
                </m:sub>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hid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num>
                    <m:den>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hid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hid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e>
                      </m:rad>
                    </m:den>
                  </m:f>
                </m:e>
              </m:nary>
            </m:e>
          </m:nary>
          <m:r>
            <w:rPr>
              <w:rFonts w:ascii="Cambria Math" w:hAnsi="Cambria Math" w:cs="Times New Roman"/>
            </w:rPr>
            <m:t xml:space="preserve"> </m:t>
          </m:r>
        </m:oMath>
      </m:oMathPara>
    </w:p>
    <w:p w14:paraId="3A490140" w14:textId="768B0147" w:rsidR="00CF006D" w:rsidRDefault="009162EB" w:rsidP="00CF006D">
      <w:pPr>
        <w:rPr>
          <w:rFonts w:ascii="Times New Roman" w:hAnsi="Times New Roman" w:cs="Times New Roman"/>
        </w:rPr>
      </w:pPr>
      <w:r>
        <w:rPr>
          <w:rFonts w:ascii="Times New Roman" w:hAnsi="Times New Roman" w:cs="Times New Roman"/>
        </w:rPr>
        <w:t>The article used MNIST dataset, SEALS dataset and Reuters dataset to test the algorithm. To evaluate the partition quality obtained after training, there are two different supervised measures to consider: Normalized mutual information (NMI) and unsupervised clustering accuracy (ACC</w:t>
      </w:r>
      <w:proofErr w:type="gramStart"/>
      <w:r>
        <w:rPr>
          <w:rFonts w:ascii="Times New Roman" w:hAnsi="Times New Roman" w:cs="Times New Roman"/>
        </w:rPr>
        <w:t xml:space="preserve">) </w:t>
      </w:r>
      <w:r w:rsidR="00521949">
        <w:rPr>
          <w:rFonts w:ascii="Times New Roman" w:hAnsi="Times New Roman" w:cs="Times New Roman"/>
        </w:rPr>
        <w:t>.</w:t>
      </w:r>
      <w:proofErr w:type="gramEnd"/>
      <w:r w:rsidR="00521949">
        <w:rPr>
          <w:rFonts w:ascii="Times New Roman" w:hAnsi="Times New Roman" w:cs="Times New Roman"/>
        </w:rPr>
        <w:t xml:space="preserve"> </w:t>
      </w:r>
    </w:p>
    <w:p w14:paraId="3E786C6B" w14:textId="795E1A4E" w:rsidR="009162EB" w:rsidRDefault="009162EB" w:rsidP="00CF006D">
      <w:pPr>
        <w:rPr>
          <w:rFonts w:ascii="Times New Roman" w:hAnsi="Times New Roman" w:cs="Times New Roman"/>
        </w:rPr>
      </w:pPr>
      <w:r>
        <w:rPr>
          <w:rFonts w:ascii="Times New Roman" w:hAnsi="Times New Roman" w:cs="Times New Roman"/>
        </w:rPr>
        <w:t xml:space="preserve">Define below as: </w:t>
      </w:r>
    </w:p>
    <w:p w14:paraId="6166FAEC" w14:textId="46B524C6" w:rsidR="009162EB" w:rsidRDefault="009162EB" w:rsidP="009162EB">
      <w:pPr>
        <w:jc w:val="center"/>
        <w:rPr>
          <w:rFonts w:ascii="Times New Roman" w:hAnsi="Times New Roman" w:cs="Times New Roman"/>
        </w:rPr>
      </w:pPr>
      <m:oMathPara>
        <m:oMath>
          <m:r>
            <w:rPr>
              <w:rFonts w:ascii="Cambria Math" w:hAnsi="Cambria Math" w:cs="Times New Roman"/>
            </w:rPr>
            <m:t>NMI=</m:t>
          </m:r>
          <m:f>
            <m:fPr>
              <m:ctrlPr>
                <w:rPr>
                  <w:rFonts w:ascii="Cambria Math" w:hAnsi="Cambria Math" w:cs="Times New Roman"/>
                  <w:i/>
                </w:rPr>
              </m:ctrlPr>
            </m:fPr>
            <m:num>
              <m:r>
                <w:rPr>
                  <w:rFonts w:ascii="Cambria Math" w:hAnsi="Cambria Math" w:cs="Times New Roman"/>
                </w:rPr>
                <m:t>I(l,c)</m:t>
              </m:r>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(H</m:t>
              </m:r>
              <m:d>
                <m:dPr>
                  <m:ctrlPr>
                    <w:rPr>
                      <w:rFonts w:ascii="Cambria Math" w:hAnsi="Cambria Math" w:cs="Times New Roman"/>
                      <w:i/>
                    </w:rPr>
                  </m:ctrlPr>
                </m:dPr>
                <m:e>
                  <m:r>
                    <w:rPr>
                      <w:rFonts w:ascii="Cambria Math" w:hAnsi="Cambria Math" w:cs="Times New Roman"/>
                    </w:rPr>
                    <m:t>l</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den>
          </m:f>
        </m:oMath>
      </m:oMathPara>
    </w:p>
    <w:p w14:paraId="2A240EC2" w14:textId="5A9A02B7" w:rsidR="009162EB" w:rsidRDefault="009162EB" w:rsidP="00CF006D">
      <w:pPr>
        <w:rPr>
          <w:rFonts w:ascii="Times New Roman" w:hAnsi="Times New Roman" w:cs="Times New Roman"/>
        </w:rPr>
      </w:pPr>
      <w:r>
        <w:rPr>
          <w:rFonts w:ascii="Times New Roman" w:hAnsi="Times New Roman" w:cs="Times New Roman"/>
        </w:rPr>
        <w:t xml:space="preserve">where I and H denote mutual information and entropy functions. </w:t>
      </w:r>
    </w:p>
    <w:p w14:paraId="505150EA" w14:textId="77777777" w:rsidR="009162EB" w:rsidRPr="009162EB" w:rsidRDefault="009162EB" w:rsidP="00CF006D">
      <w:pPr>
        <w:rPr>
          <w:rFonts w:ascii="Times New Roman" w:hAnsi="Times New Roman" w:cs="Times New Roman"/>
        </w:rPr>
      </w:pPr>
      <m:oMathPara>
        <m:oMath>
          <m:r>
            <w:rPr>
              <w:rFonts w:ascii="Cambria Math" w:hAnsi="Cambria Math" w:cs="Times New Roman"/>
            </w:rPr>
            <m:t xml:space="preserve">ACC= </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M</m:t>
                  </m:r>
                </m:lim>
              </m:limLow>
            </m:fName>
            <m:e>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δ</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e>
                      </m:d>
                    </m:e>
                  </m:nary>
                </m:num>
                <m:den>
                  <m:r>
                    <w:rPr>
                      <w:rFonts w:ascii="Cambria Math" w:hAnsi="Cambria Math" w:cs="Times New Roman"/>
                    </w:rPr>
                    <m:t>n</m:t>
                  </m:r>
                </m:den>
              </m:f>
            </m:e>
          </m:func>
          <m:r>
            <w:rPr>
              <w:rFonts w:ascii="Cambria Math" w:hAnsi="Cambria Math" w:cs="Times New Roman"/>
            </w:rPr>
            <m:t xml:space="preserve"> , </m:t>
          </m:r>
        </m:oMath>
      </m:oMathPara>
    </w:p>
    <w:p w14:paraId="3D3EC684" w14:textId="76FB8990" w:rsidR="009162EB" w:rsidRPr="009162EB" w:rsidRDefault="009162EB" w:rsidP="00CF006D">
      <w:pPr>
        <w:rPr>
          <w:rFonts w:ascii="Times New Roman" w:hAnsi="Times New Roman" w:cs="Times New Roman"/>
        </w:rPr>
      </w:pPr>
      <m:oMathPara>
        <m:oMath>
          <m:r>
            <w:rPr>
              <w:rFonts w:ascii="Cambria Math" w:hAnsi="Cambria Math" w:cs="Times New Roman"/>
            </w:rPr>
            <m:t xml:space="preserve">where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xml:space="preserve"> refers to the ground truth label, and </m:t>
          </m:r>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rPr>
                <m:t>i</m:t>
              </m:r>
            </m:sub>
          </m:sSub>
          <m:r>
            <w:rPr>
              <w:rFonts w:ascii="Cambria Math" w:hAnsi="Cambria Math" w:cs="Times New Roman"/>
            </w:rPr>
            <m:t xml:space="preserve"> to the assgned cluster of data point i. </m:t>
          </m:r>
        </m:oMath>
      </m:oMathPara>
    </w:p>
    <w:p w14:paraId="432A0C3C" w14:textId="77777777" w:rsidR="009162EB" w:rsidRPr="009162EB" w:rsidRDefault="009162EB" w:rsidP="00CF006D">
      <w:pPr>
        <w:rPr>
          <w:rFonts w:ascii="Times New Roman" w:hAnsi="Times New Roman" w:cs="Times New Roman"/>
        </w:rPr>
      </w:pPr>
      <m:oMathPara>
        <m:oMath>
          <m:r>
            <w:rPr>
              <w:rFonts w:ascii="Cambria Math" w:hAnsi="Cambria Math" w:cs="Times New Roman"/>
            </w:rPr>
            <m:t xml:space="preserve">and δ is the Dirac delta. M is the mapping fucntion that corresponds to the optimal one </m:t>
          </m:r>
        </m:oMath>
      </m:oMathPara>
    </w:p>
    <w:p w14:paraId="67D33D42" w14:textId="77777777" w:rsidR="00521949" w:rsidRDefault="009162EB" w:rsidP="00CF006D">
      <w:pPr>
        <w:rPr>
          <w:rFonts w:ascii="Times New Roman" w:hAnsi="Times New Roman" w:cs="Times New Roman"/>
        </w:rPr>
      </w:pPr>
      <m:oMathPara>
        <m:oMath>
          <m:r>
            <w:rPr>
              <w:rFonts w:ascii="Cambria Math" w:hAnsi="Cambria Math" w:cs="Times New Roman"/>
            </w:rPr>
            <m:t>to one assignment of clusters to label classes implemented by means of the Hungarian algorithm.</m:t>
          </m:r>
        </m:oMath>
      </m:oMathPara>
    </w:p>
    <w:p w14:paraId="3E0C4ECD" w14:textId="330D4D01" w:rsidR="009162EB" w:rsidRPr="00CF006D" w:rsidRDefault="00521949" w:rsidP="00CF006D">
      <w:pPr>
        <w:rPr>
          <w:rFonts w:ascii="Times New Roman" w:hAnsi="Times New Roman" w:cs="Times New Roman" w:hint="eastAsia"/>
        </w:rPr>
      </w:pPr>
      <w:r>
        <w:rPr>
          <w:rFonts w:ascii="Times New Roman" w:hAnsi="Times New Roman" w:cs="Times New Roman"/>
        </w:rPr>
        <w:t>Comparing the baseline algorithms: k-NN approach (ITC-</w:t>
      </w:r>
      <w:proofErr w:type="spellStart"/>
      <w:r>
        <w:rPr>
          <w:rFonts w:ascii="Times New Roman" w:hAnsi="Times New Roman" w:cs="Times New Roman"/>
        </w:rPr>
        <w:t>kNN</w:t>
      </w:r>
      <w:proofErr w:type="spellEnd"/>
      <w:r>
        <w:rPr>
          <w:rFonts w:ascii="Times New Roman" w:hAnsi="Times New Roman" w:cs="Times New Roman"/>
        </w:rPr>
        <w:t>) and Deep Embedded Clustering (SEC) and Local Discriminant Models and Global Integration (LDMGI) with the article algorithms DDC and DDC-VOTE (DDC-VOTE is to run 20 times of DDC and report the results of a voting scheme of the top three runs according to the unsupervised loss function), the result shows that ITC algorithm could not be evaluated on MNIST and large datasets in general. This shows an important advantage of DDC regards to previous clustering approaches based on the CS divergence. Except the SEALS-3 dataset, DDC-VOTE has better performance than DDC.</w:t>
      </w:r>
      <w:r w:rsidR="00E37936">
        <w:rPr>
          <w:rFonts w:ascii="Times New Roman" w:hAnsi="Times New Roman" w:cs="Times New Roman"/>
        </w:rPr>
        <w:t xml:space="preserve"> </w:t>
      </w:r>
    </w:p>
    <w:sectPr w:rsidR="009162EB" w:rsidRPr="00CF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BF0"/>
    <w:rsid w:val="002A5055"/>
    <w:rsid w:val="00431D11"/>
    <w:rsid w:val="00521949"/>
    <w:rsid w:val="00555BF0"/>
    <w:rsid w:val="00760EC8"/>
    <w:rsid w:val="008B22A8"/>
    <w:rsid w:val="009162EB"/>
    <w:rsid w:val="00C031E1"/>
    <w:rsid w:val="00CF006D"/>
    <w:rsid w:val="00CF4759"/>
    <w:rsid w:val="00E37936"/>
    <w:rsid w:val="00F17051"/>
    <w:rsid w:val="00F90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005CD8"/>
  <w15:chartTrackingRefBased/>
  <w15:docId w15:val="{1F8B73BD-B8DF-234D-9371-05CB8237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Xueyan Bai</dc:creator>
  <cp:keywords/>
  <dc:description/>
  <cp:lastModifiedBy>Xueyan Bai</cp:lastModifiedBy>
  <cp:revision>1</cp:revision>
  <dcterms:created xsi:type="dcterms:W3CDTF">2021-04-16T15:30:00Z</dcterms:created>
  <dcterms:modified xsi:type="dcterms:W3CDTF">2021-04-16T18:03:00Z</dcterms:modified>
</cp:coreProperties>
</file>