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What Really Drives the Rupee? — Project Plan</w:t>
      </w:r>
    </w:p>
    <w:p>
      <w:pPr/>
      <w:r>
        <w:t xml:space="preserve">Oct 18, 2026</w:t>
      </w:r>
      <w:r>
        <w:t xml:space="preserve"> · </w:t>
      </w:r>
      <w:r>
        <w:t xml:space="preserve">@Ankit</w:t>
      </w:r>
    </w:p>
    <w:p>
      <w:pPr>
        <w:pStyle w:val="Heading2"/>
      </w:pPr>
      <w:r>
        <w:t xml:space="preserve">Project overview</w:t>
      </w:r>
    </w:p>
    <w:p>
      <w:pPr/>
      <w:r>
        <w:t xml:space="preserve">Group 4 will build a data-driven intelligence system that explains and classifies monthly USD/INR movements from January 2010 to the latest available month, using only official published data pulled by code.</w:t>
      </w:r>
    </w:p>
    <w:p>
      <w:pPr/>
      <w:r>
        <w:rPr>
          <w:b/>
        </w:rPr>
        <w:t xml:space="preserve">Full title:</w:t>
      </w:r>
      <w:r>
        <w:t xml:space="preserve"> What Really Drives the Rupee? A Data-Driven Intelligence System for Explaining and Predicting USD/INR Movements</w:t>
      </w:r>
    </w:p>
    <w:p>
      <w:pPr/>
      <w:r>
        <w:rPr>
          <w:b/>
        </w:rPr>
        <w:t xml:space="preserve">Team (Group 4):</w:t>
      </w:r>
      <w:r>
        <w:t xml:space="preserve"> Ankit Singh (EMBAA25004), Gopalakrishnan S (EMBAA25017), Murugan Perumal (EMBAA25020), Aswin G. (EMBAA25008), Atul Kumar Singh (EMBAA25009), Devanshu Priyam (EMBAA25014)</w:t>
      </w:r>
    </w:p>
    <w:p>
      <w:pPr/>
      <w:r>
        <w:rPr>
          <w:b/>
        </w:rPr>
        <w:t xml:space="preserve">Business problem.</w:t>
      </w:r>
      <w:r>
        <w:t xml:space="preserve"> Importers, exporters, treasurers and investors need to know which forces move the rupee and how exposed they are. In 2026 the rupee crossed ₹95 per dollar and became Asia's weakest major currency, so the question is live, not academic.</w:t>
      </w:r>
    </w:p>
    <w:p>
      <w:pPr/>
      <w:r>
        <w:rPr>
          <w:b/>
        </w:rPr>
        <w:t xml:space="preserve">Research questions</w:t>
      </w:r>
    </w:p>
    <w:p>
      <w:pPr>
        <w:pStyle w:val="ListParagraph"/>
        <w:numPr>
          <w:ilvl w:val="0"/>
          <w:numId w:val="2"/>
        </w:numPr>
      </w:pPr>
      <w:r>
        <w:t xml:space="preserve">Which economic and financial variables are most strongly associated with monthly USD/INR returns?</w:t>
      </w:r>
    </w:p>
    <w:p>
      <w:pPr>
        <w:pStyle w:val="ListParagraph"/>
        <w:numPr>
          <w:ilvl w:val="0"/>
          <w:numId w:val="2"/>
        </w:numPr>
      </w:pPr>
      <w:r>
        <w:t xml:space="preserve">Is crude oil the dominant driver, or do dollar strength and foreign portfolio flows matter more?</w:t>
      </w:r>
    </w:p>
    <w:p>
      <w:pPr>
        <w:pStyle w:val="ListParagraph"/>
        <w:numPr>
          <w:ilvl w:val="0"/>
          <w:numId w:val="2"/>
        </w:numPr>
      </w:pPr>
      <w:r>
        <w:t xml:space="preserve">Does a multi-factor model beat an oil-only model out of sample?</w:t>
      </w:r>
    </w:p>
    <w:p>
      <w:pPr>
        <w:pStyle w:val="ListParagraph"/>
        <w:numPr>
          <w:ilvl w:val="0"/>
          <w:numId w:val="2"/>
        </w:numPr>
      </w:pPr>
      <w:r>
        <w:t xml:space="preserve">Can we classify months of high depreciation pressure before they happen, using last month's data?</w:t>
      </w:r>
    </w:p>
    <w:p>
      <w:pPr>
        <w:pStyle w:val="ListParagraph"/>
        <w:numPr>
          <w:ilvl w:val="0"/>
          <w:numId w:val="2"/>
        </w:numPr>
      </w:pPr>
      <w:r>
        <w:t xml:space="preserve">Do historical months cluster into distinct currency regimes (calm, oil shock, capital flight)?</w:t>
      </w:r>
    </w:p>
    <w:p>
      <w:pPr>
        <w:pStyle w:val="ListParagraph"/>
        <w:numPr>
          <w:ilvl w:val="0"/>
          <w:numId w:val="2"/>
        </w:numPr>
      </w:pPr>
      <w:r>
        <w:t xml:space="preserve">How would the model's estimate change under a chosen what-if scenario?</w:t>
      </w:r>
    </w:p>
    <w:p>
      <w:pPr/>
      <w:r>
        <w:rPr>
          <w:b/>
        </w:rPr>
        <w:t xml:space="preserve">Benchmark to beat.</w:t>
      </w:r>
      <w:r>
        <w:t xml:space="preserve"> A 2026 regression by CareEdge chief economist Madan Sabnavis found that three variables explained roughly 25% of the variation in the rupee's daily percentage moves (</w:t>
      </w:r>
      <w:hyperlink r:id="rId3" w:history="1">
        <w:r>
          <w:rPr>
            <w:rStyle w:val="Hyperlink"/>
          </w:rPr>
          <w:t xml:space="preserve">Polymerupdate summary</w:t>
        </w:r>
      </w:hyperlink>
      <w:r>
        <w:t xml:space="preserve">). Our target is to explain more at monthly frequency and to test which drivers carry the weight.</w:t>
      </w:r>
    </w:p>
    <w:p>
      <w:pPr>
        <w:pStyle w:val="Heading2"/>
      </w:pPr>
      <w:r>
        <w:t xml:space="preserve">Data plan</w:t>
      </w:r>
    </w:p>
    <w:p>
      <w:pPr/>
      <w:r>
        <w:t xml:space="preserve">Every variable comes from an official publisher and is downloaded by code; no value is typed in, simulated or interpolated to fill a gap. Twelve of fourteen series download automatically from FRED and the World Bank; FPI flows and recent India CPI need one extra step (scrape or token API) with a manual-CSV fallback.</w:t>
      </w:r>
    </w:p>
    <w:p>
      <w:pPr/>
      <w:r>
        <w:rPr>
          <w:b/>
        </w:rPr>
        <w:t xml:space="preserve">Sample:</w:t>
      </w:r>
      <w:r>
        <w:t xml:space="preserve"> January 2012 to the latest common month (the India interest-rate series starts November 2011). That gives roughly 170 monthly rows for modelling. The rupee charts in the dashboard use the full 2010-onward history.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2041"/>
        <w:gridCol w:w="2359"/>
        <w:gridCol w:w="1226"/>
        <w:gridCol w:w="1226"/>
        <w:gridCol w:w="948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Column</w:t>
            </w:r>
          </w:p>
        </w:tc>
        <w:tc>
          <w:tcPr>
            <w:tcW w:w="2041" w:type="dxa"/>
            <w:shd w:val="clear" w:color="auto" w:fill="F2F2F2"/>
          </w:tcPr>
          <w:p>
            <w:pPr/>
            <w:r>
              <w:t xml:space="preserve">What it measures</w:t>
            </w:r>
          </w:p>
        </w:tc>
        <w:tc>
          <w:tcPr>
            <w:tcW w:w="2359" w:type="dxa"/>
            <w:shd w:val="clear" w:color="auto" w:fill="F2F2F2"/>
          </w:tcPr>
          <w:p>
            <w:pPr/>
            <w:r>
              <w:t xml:space="preserve">Source and ID</w:t>
            </w:r>
          </w:p>
        </w:tc>
        <w:tc>
          <w:tcPr>
            <w:tcW w:w="1226" w:type="dxa"/>
            <w:shd w:val="clear" w:color="auto" w:fill="F2F2F2"/>
          </w:tcPr>
          <w:p>
            <w:pPr/>
            <w:r>
              <w:t xml:space="preserve">Native frequency</w:t>
            </w:r>
          </w:p>
        </w:tc>
        <w:tc>
          <w:tcPr>
            <w:tcW w:w="1226" w:type="dxa"/>
            <w:shd w:val="clear" w:color="auto" w:fill="F2F2F2"/>
          </w:tcPr>
          <w:p>
            <w:pPr/>
            <w:r>
              <w:t xml:space="preserve">Monthly rule</w:t>
            </w:r>
          </w:p>
        </w:tc>
        <w:tc>
          <w:tcPr>
            <w:tcW w:w="948" w:type="dxa"/>
            <w:shd w:val="clear" w:color="auto" w:fill="F2F2F2"/>
          </w:tcPr>
          <w:p>
            <w:pPr/>
            <w:r>
              <w:t xml:space="preserve">Fetch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USDINR</w:t>
            </w:r>
          </w:p>
        </w:tc>
        <w:tc>
          <w:tcPr>
            <w:tcW w:w="2041" w:type="dxa"/>
          </w:tcPr>
          <w:p>
            <w:pPr/>
            <w:r>
              <w:t xml:space="preserve">Rupees per dollar, monthly average</w:t>
            </w:r>
          </w:p>
        </w:tc>
        <w:tc>
          <w:tcPr>
            <w:tcW w:w="2359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FRED EXINUS</w:t>
              </w:r>
            </w:hyperlink>
            <w:r>
              <w:t xml:space="preserve"> (Fed G.5)</w:t>
            </w:r>
          </w:p>
        </w:tc>
        <w:tc>
          <w:tcPr>
            <w:tcW w:w="1226" w:type="dxa"/>
          </w:tcPr>
          <w:p>
            <w:pPr/>
            <w:r>
              <w:t xml:space="preserve">Monthly</w:t>
            </w:r>
          </w:p>
        </w:tc>
        <w:tc>
          <w:tcPr>
            <w:tcW w:w="1226" w:type="dxa"/>
          </w:tcPr>
          <w:p>
            <w:pPr/>
            <w:r>
              <w:t xml:space="preserve">As published</w:t>
            </w:r>
          </w:p>
        </w:tc>
        <w:tc>
          <w:tcPr>
            <w:tcW w:w="948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USDINR_eom</w:t>
            </w:r>
            <w:r>
              <w:t xml:space="preserve">, </w:t>
            </w:r>
            <w:r>
              <w:rPr>
                <w:rStyle w:val="CodeChar"/>
              </w:rPr>
              <w:t xml:space="preserve">INR_vol</w:t>
            </w:r>
          </w:p>
        </w:tc>
        <w:tc>
          <w:tcPr>
            <w:tcW w:w="2041" w:type="dxa"/>
          </w:tcPr>
          <w:p>
            <w:pPr/>
            <w:r>
              <w:t xml:space="preserve">Month-end rate; volatility of daily returns</w:t>
            </w:r>
          </w:p>
        </w:tc>
        <w:tc>
          <w:tcPr>
            <w:tcW w:w="2359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FRED DEXINUS</w:t>
              </w:r>
            </w:hyperlink>
          </w:p>
        </w:tc>
        <w:tc>
          <w:tcPr>
            <w:tcW w:w="1226" w:type="dxa"/>
          </w:tcPr>
          <w:p>
            <w:pPr/>
            <w:r>
              <w:t xml:space="preserve">Daily</w:t>
            </w:r>
          </w:p>
        </w:tc>
        <w:tc>
          <w:tcPr>
            <w:tcW w:w="1226" w:type="dxa"/>
          </w:tcPr>
          <w:p>
            <w:pPr/>
            <w:r>
              <w:t xml:space="preserve">Last value; SD of daily log returns</w:t>
            </w:r>
          </w:p>
        </w:tc>
        <w:tc>
          <w:tcPr>
            <w:tcW w:w="948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Brent</w:t>
            </w:r>
          </w:p>
        </w:tc>
        <w:tc>
          <w:tcPr>
            <w:tcW w:w="2041" w:type="dxa"/>
          </w:tcPr>
          <w:p>
            <w:pPr/>
            <w:r>
              <w:t xml:space="preserve">Brent crude, $/bbl</w:t>
            </w:r>
          </w:p>
        </w:tc>
        <w:tc>
          <w:tcPr>
            <w:tcW w:w="2359" w:type="dxa"/>
          </w:tcPr>
          <w:p>
            <w:pPr/>
            <w:r>
              <w:t xml:space="preserve">FRED DCOILBRENTEU (EIA); cross-check </w:t>
            </w:r>
            <w:hyperlink r:id="rId6" w:history="1">
              <w:r>
                <w:rPr>
                  <w:rStyle w:val="Hyperlink"/>
                </w:rPr>
                <w:t xml:space="preserve">World Bank Pink Sheet</w:t>
              </w:r>
            </w:hyperlink>
          </w:p>
        </w:tc>
        <w:tc>
          <w:tcPr>
            <w:tcW w:w="1226" w:type="dxa"/>
          </w:tcPr>
          <w:p>
            <w:pPr/>
            <w:r>
              <w:t xml:space="preserve">Daily / Monthly</w:t>
            </w:r>
          </w:p>
        </w:tc>
        <w:tc>
          <w:tcPr>
            <w:tcW w:w="1226" w:type="dxa"/>
          </w:tcPr>
          <w:p>
            <w:pPr/>
            <w:r>
              <w:t xml:space="preserve">Mean</w:t>
            </w:r>
          </w:p>
        </w:tc>
        <w:tc>
          <w:tcPr>
            <w:tcW w:w="948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Broad_USD</w:t>
            </w:r>
          </w:p>
        </w:tc>
        <w:tc>
          <w:tcPr>
            <w:tcW w:w="2041" w:type="dxa"/>
          </w:tcPr>
          <w:p>
            <w:pPr/>
            <w:r>
              <w:t xml:space="preserve">Nominal broad dollar index</w:t>
            </w:r>
          </w:p>
        </w:tc>
        <w:tc>
          <w:tcPr>
            <w:tcW w:w="2359" w:type="dxa"/>
          </w:tcPr>
          <w:p>
            <w:pPr/>
            <w:r>
              <w:t xml:space="preserve">FRED DTWEXBGS</w:t>
            </w:r>
          </w:p>
        </w:tc>
        <w:tc>
          <w:tcPr>
            <w:tcW w:w="1226" w:type="dxa"/>
          </w:tcPr>
          <w:p>
            <w:pPr/>
            <w:r>
              <w:t xml:space="preserve">Daily</w:t>
            </w:r>
          </w:p>
        </w:tc>
        <w:tc>
          <w:tcPr>
            <w:tcW w:w="1226" w:type="dxa"/>
          </w:tcPr>
          <w:p>
            <w:pPr/>
            <w:r>
              <w:t xml:space="preserve">Mean</w:t>
            </w:r>
          </w:p>
        </w:tc>
        <w:tc>
          <w:tcPr>
            <w:tcW w:w="948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VIX</w:t>
            </w:r>
          </w:p>
        </w:tc>
        <w:tc>
          <w:tcPr>
            <w:tcW w:w="2041" w:type="dxa"/>
          </w:tcPr>
          <w:p>
            <w:pPr/>
            <w:r>
              <w:t xml:space="preserve">Global risk appetite</w:t>
            </w:r>
          </w:p>
        </w:tc>
        <w:tc>
          <w:tcPr>
            <w:tcW w:w="2359" w:type="dxa"/>
          </w:tcPr>
          <w:p>
            <w:pPr/>
            <w:r>
              <w:t xml:space="preserve">FRED VIXCLS</w:t>
            </w:r>
          </w:p>
        </w:tc>
        <w:tc>
          <w:tcPr>
            <w:tcW w:w="1226" w:type="dxa"/>
          </w:tcPr>
          <w:p>
            <w:pPr/>
            <w:r>
              <w:t xml:space="preserve">Daily</w:t>
            </w:r>
          </w:p>
        </w:tc>
        <w:tc>
          <w:tcPr>
            <w:tcW w:w="1226" w:type="dxa"/>
          </w:tcPr>
          <w:p>
            <w:pPr/>
            <w:r>
              <w:t xml:space="preserve">Mean</w:t>
            </w:r>
          </w:p>
        </w:tc>
        <w:tc>
          <w:tcPr>
            <w:tcW w:w="948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US_CPI</w:t>
            </w:r>
          </w:p>
        </w:tc>
        <w:tc>
          <w:tcPr>
            <w:tcW w:w="2041" w:type="dxa"/>
          </w:tcPr>
          <w:p>
            <w:pPr/>
            <w:r>
              <w:t xml:space="preserve">US consumer prices</w:t>
            </w:r>
          </w:p>
        </w:tc>
        <w:tc>
          <w:tcPr>
            <w:tcW w:w="2359" w:type="dxa"/>
          </w:tcPr>
          <w:p>
            <w:pPr/>
            <w:r>
              <w:t xml:space="preserve">FRED CPIAUCSL</w:t>
            </w:r>
          </w:p>
        </w:tc>
        <w:tc>
          <w:tcPr>
            <w:tcW w:w="1226" w:type="dxa"/>
          </w:tcPr>
          <w:p>
            <w:pPr/>
            <w:r>
              <w:t xml:space="preserve">Monthly</w:t>
            </w:r>
          </w:p>
        </w:tc>
        <w:tc>
          <w:tcPr>
            <w:tcW w:w="1226" w:type="dxa"/>
          </w:tcPr>
          <w:p>
            <w:pPr/>
            <w:r>
              <w:t xml:space="preserve">As published</w:t>
            </w:r>
          </w:p>
        </w:tc>
        <w:tc>
          <w:tcPr>
            <w:tcW w:w="948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US_Rate</w:t>
            </w:r>
            <w:r>
              <w:t xml:space="preserve">, </w:t>
            </w:r>
            <w:r>
              <w:rPr>
                <w:rStyle w:val="CodeChar"/>
              </w:rPr>
              <w:t xml:space="preserve">US_10Y</w:t>
            </w:r>
          </w:p>
        </w:tc>
        <w:tc>
          <w:tcPr>
            <w:tcW w:w="2041" w:type="dxa"/>
          </w:tcPr>
          <w:p>
            <w:pPr/>
            <w:r>
              <w:t xml:space="preserve">Fed funds; US 10-year yield</w:t>
            </w:r>
          </w:p>
        </w:tc>
        <w:tc>
          <w:tcPr>
            <w:tcW w:w="2359" w:type="dxa"/>
          </w:tcPr>
          <w:p>
            <w:pPr/>
            <w:r>
              <w:t xml:space="preserve">FRED FEDFUNDS, GS10</w:t>
            </w:r>
          </w:p>
        </w:tc>
        <w:tc>
          <w:tcPr>
            <w:tcW w:w="1226" w:type="dxa"/>
          </w:tcPr>
          <w:p>
            <w:pPr/>
            <w:r>
              <w:t xml:space="preserve">Monthly</w:t>
            </w:r>
          </w:p>
        </w:tc>
        <w:tc>
          <w:tcPr>
            <w:tcW w:w="1226" w:type="dxa"/>
          </w:tcPr>
          <w:p>
            <w:pPr/>
            <w:r>
              <w:t xml:space="preserve">As published</w:t>
            </w:r>
          </w:p>
        </w:tc>
        <w:tc>
          <w:tcPr>
            <w:tcW w:w="948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India_Rate</w:t>
            </w:r>
          </w:p>
        </w:tc>
        <w:tc>
          <w:tcPr>
            <w:tcW w:w="2041" w:type="dxa"/>
          </w:tcPr>
          <w:p>
            <w:pPr/>
            <w:r>
              <w:t xml:space="preserve">3-month interbank rate, %</w:t>
            </w:r>
          </w:p>
        </w:tc>
        <w:tc>
          <w:tcPr>
            <w:tcW w:w="2359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FRED INDIR3TIB01STM</w:t>
              </w:r>
            </w:hyperlink>
            <w:r>
              <w:t xml:space="preserve"> (OECD)</w:t>
            </w:r>
          </w:p>
        </w:tc>
        <w:tc>
          <w:tcPr>
            <w:tcW w:w="1226" w:type="dxa"/>
          </w:tcPr>
          <w:p>
            <w:pPr/>
            <w:r>
              <w:t xml:space="preserve">Monthly</w:t>
            </w:r>
          </w:p>
        </w:tc>
        <w:tc>
          <w:tcPr>
            <w:tcW w:w="1226" w:type="dxa"/>
          </w:tcPr>
          <w:p>
            <w:pPr/>
            <w:r>
              <w:t xml:space="preserve">As published</w:t>
            </w:r>
          </w:p>
        </w:tc>
        <w:tc>
          <w:tcPr>
            <w:tcW w:w="948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India_CPI</w:t>
            </w:r>
          </w:p>
        </w:tc>
        <w:tc>
          <w:tcPr>
            <w:tcW w:w="2041" w:type="dxa"/>
          </w:tcPr>
          <w:p>
            <w:pPr/>
            <w:r>
              <w:t xml:space="preserve">All-India CPI, general, combined</w:t>
            </w:r>
          </w:p>
        </w:tc>
        <w:tc>
          <w:tcPr>
            <w:tcW w:w="2359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MoSPI CPI API</w:t>
              </w:r>
            </w:hyperlink>
            <w:r>
              <w:t xml:space="preserve">; FRED INDCPIALLMINMEI ends Mar 2025</w:t>
            </w:r>
          </w:p>
        </w:tc>
        <w:tc>
          <w:tcPr>
            <w:tcW w:w="1226" w:type="dxa"/>
          </w:tcPr>
          <w:p>
            <w:pPr/>
            <w:r>
              <w:t xml:space="preserve">Monthly</w:t>
            </w:r>
          </w:p>
        </w:tc>
        <w:tc>
          <w:tcPr>
            <w:tcW w:w="1226" w:type="dxa"/>
          </w:tcPr>
          <w:p>
            <w:pPr/>
            <w:r>
              <w:t xml:space="preserve">As published</w:t>
            </w:r>
          </w:p>
        </w:tc>
        <w:tc>
          <w:tcPr>
            <w:tcW w:w="948" w:type="dxa"/>
          </w:tcPr>
          <w:p>
            <w:pPr/>
            <w:r>
              <w:t xml:space="preserve">Token API or CSV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Exports</w:t>
            </w:r>
            <w:r>
              <w:t xml:space="preserve">, </w:t>
            </w:r>
            <w:r>
              <w:rPr>
                <w:rStyle w:val="CodeChar"/>
              </w:rPr>
              <w:t xml:space="preserve">Imports</w:t>
            </w:r>
          </w:p>
        </w:tc>
        <w:tc>
          <w:tcPr>
            <w:tcW w:w="2041" w:type="dxa"/>
          </w:tcPr>
          <w:p>
            <w:pPr/>
            <w:r>
              <w:t xml:space="preserve">Merchandise trade, US$</w:t>
            </w:r>
          </w:p>
        </w:tc>
        <w:tc>
          <w:tcPr>
            <w:tcW w:w="2359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FRED XTEXVA01INM667S</w:t>
              </w:r>
            </w:hyperlink>
            <w:r>
              <w:t xml:space="preserve">, XTIMVA01INM667S</w:t>
            </w:r>
          </w:p>
        </w:tc>
        <w:tc>
          <w:tcPr>
            <w:tcW w:w="1226" w:type="dxa"/>
          </w:tcPr>
          <w:p>
            <w:pPr/>
            <w:r>
              <w:t xml:space="preserve">Monthly</w:t>
            </w:r>
          </w:p>
        </w:tc>
        <w:tc>
          <w:tcPr>
            <w:tcW w:w="1226" w:type="dxa"/>
          </w:tcPr>
          <w:p>
            <w:pPr/>
            <w:r>
              <w:t xml:space="preserve">As published</w:t>
            </w:r>
          </w:p>
        </w:tc>
        <w:tc>
          <w:tcPr>
            <w:tcW w:w="948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Forex_Reserves</w:t>
            </w:r>
          </w:p>
        </w:tc>
        <w:tc>
          <w:tcPr>
            <w:tcW w:w="2041" w:type="dxa"/>
          </w:tcPr>
          <w:p>
            <w:pPr/>
            <w:r>
              <w:t xml:space="preserve">Reserves excluding gold, US$ mn</w:t>
            </w:r>
          </w:p>
        </w:tc>
        <w:tc>
          <w:tcPr>
            <w:tcW w:w="2359" w:type="dxa"/>
          </w:tcPr>
          <w:p>
            <w:pPr/>
            <w:hyperlink r:id="rId10" w:history="1">
              <w:r>
                <w:rPr>
                  <w:rStyle w:val="Hyperlink"/>
                </w:rPr>
                <w:t xml:space="preserve">FRED TRESEGINM052N</w:t>
              </w:r>
            </w:hyperlink>
            <w:r>
              <w:t xml:space="preserve"> (IMF)</w:t>
            </w:r>
          </w:p>
        </w:tc>
        <w:tc>
          <w:tcPr>
            <w:tcW w:w="1226" w:type="dxa"/>
          </w:tcPr>
          <w:p>
            <w:pPr/>
            <w:r>
              <w:t xml:space="preserve">Monthly</w:t>
            </w:r>
          </w:p>
        </w:tc>
        <w:tc>
          <w:tcPr>
            <w:tcW w:w="1226" w:type="dxa"/>
          </w:tcPr>
          <w:p>
            <w:pPr/>
            <w:r>
              <w:t xml:space="preserve">As published</w:t>
            </w:r>
          </w:p>
        </w:tc>
        <w:tc>
          <w:tcPr>
            <w:tcW w:w="948" w:type="dxa"/>
          </w:tcPr>
          <w:p>
            <w:pPr/>
            <w:r>
              <w:t xml:space="preserve">Auto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FPI</w:t>
            </w:r>
          </w:p>
        </w:tc>
        <w:tc>
          <w:tcPr>
            <w:tcW w:w="2041" w:type="dxa"/>
          </w:tcPr>
          <w:p>
            <w:pPr/>
            <w:r>
              <w:t xml:space="preserve">Net FPI flows, equity + debt</w:t>
            </w:r>
          </w:p>
        </w:tc>
        <w:tc>
          <w:tcPr>
            <w:tcW w:w="2359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NSDL monthly FPI report</w:t>
              </w:r>
            </w:hyperlink>
          </w:p>
        </w:tc>
        <w:tc>
          <w:tcPr>
            <w:tcW w:w="1226" w:type="dxa"/>
          </w:tcPr>
          <w:p>
            <w:pPr/>
            <w:r>
              <w:t xml:space="preserve">Monthly</w:t>
            </w:r>
          </w:p>
        </w:tc>
        <w:tc>
          <w:tcPr>
            <w:tcW w:w="1226" w:type="dxa"/>
          </w:tcPr>
          <w:p>
            <w:pPr/>
            <w:r>
              <w:t xml:space="preserve">As published (US$ toggle)</w:t>
            </w:r>
          </w:p>
        </w:tc>
        <w:tc>
          <w:tcPr>
            <w:tcW w:w="948" w:type="dxa"/>
          </w:tcPr>
          <w:p>
            <w:pPr/>
            <w:r>
              <w:t xml:space="preserve">Scrape or CSV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Live quotes</w:t>
            </w:r>
          </w:p>
        </w:tc>
        <w:tc>
          <w:tcPr>
            <w:tcW w:w="2041" w:type="dxa"/>
          </w:tcPr>
          <w:p>
            <w:pPr/>
            <w:r>
              <w:t xml:space="preserve">USD/INR, Brent futures, DXY today</w:t>
            </w:r>
          </w:p>
        </w:tc>
        <w:tc>
          <w:tcPr>
            <w:tcW w:w="2359" w:type="dxa"/>
          </w:tcPr>
          <w:p>
            <w:pPr/>
            <w:r>
              <w:t xml:space="preserve">Yahoo Finance via </w:t>
            </w:r>
            <w:r>
              <w:rPr>
                <w:rStyle w:val="CodeChar"/>
              </w:rPr>
              <w:t xml:space="preserve">quantmod</w:t>
            </w:r>
            <w:r>
              <w:t xml:space="preserve"> (INR=X, BZ=F, DX-Y.NYB)</w:t>
            </w:r>
          </w:p>
        </w:tc>
        <w:tc>
          <w:tcPr>
            <w:tcW w:w="1226" w:type="dxa"/>
          </w:tcPr>
          <w:p>
            <w:pPr/>
            <w:r>
              <w:t xml:space="preserve">Intraday</w:t>
            </w:r>
          </w:p>
        </w:tc>
        <w:tc>
          <w:tcPr>
            <w:tcW w:w="1226" w:type="dxa"/>
          </w:tcPr>
          <w:p>
            <w:pPr/>
            <w:r>
              <w:t xml:space="preserve">Daily close</w:t>
            </w:r>
          </w:p>
        </w:tc>
        <w:tc>
          <w:tcPr>
            <w:tcW w:w="948" w:type="dxa"/>
          </w:tcPr>
          <w:p>
            <w:pPr/>
            <w:r>
              <w:t xml:space="preserve">Auto</w:t>
            </w:r>
          </w:p>
        </w:tc>
      </w:tr>
    </w:tbl>
    <w:p>
      <w:pPr/>
      <w:r>
        <w:rPr>
          <w:b/>
        </w:rPr>
        <w:t xml:space="preserve">Freshness as of 18 Oct 2026:</w:t>
      </w:r>
      <w:r>
        <w:t xml:space="preserve"> FRED's USD/INR runs to September 2026 (₹95.51 average); reserves and trade run to June 2026; India interbank rate to July 2026. The pipeline trims to the latest month where all model inputs exist and reports the cut-off.</w:t>
      </w:r>
    </w:p>
    <w:p>
      <w:pPr/>
      <w:r>
        <w:rPr>
          <w:b/>
        </w:rPr>
        <w:t xml:space="preserve">Real-data rules</w:t>
      </w:r>
    </w:p>
    <w:p>
      <w:pPr>
        <w:pStyle w:val="ListParagraph"/>
        <w:numPr>
          <w:ilvl w:val="0"/>
          <w:numId w:val="3"/>
        </w:numPr>
      </w:pPr>
      <w:r>
        <w:t xml:space="preserve">No synthetic, simulated or randomly generated values anywhere. If a source fails, the script stops with an error rather than filling in numbers.</w:t>
      </w:r>
    </w:p>
    <w:p>
      <w:pPr>
        <w:pStyle w:val="ListParagraph"/>
        <w:numPr>
          <w:ilvl w:val="0"/>
          <w:numId w:val="3"/>
        </w:numPr>
      </w:pPr>
      <w:r>
        <w:t xml:space="preserve">No interpolation of missing months; a missing month is dropped from modelling and listed in the data-quality log.</w:t>
      </w:r>
    </w:p>
    <w:p>
      <w:pPr>
        <w:pStyle w:val="ListParagraph"/>
        <w:numPr>
          <w:ilvl w:val="0"/>
          <w:numId w:val="3"/>
        </w:numPr>
      </w:pPr>
      <w:r>
        <w:t xml:space="preserve">Raw downloads are saved untouched in </w:t>
      </w:r>
      <w:r>
        <w:rPr>
          <w:rStyle w:val="CodeChar"/>
        </w:rPr>
        <w:t xml:space="preserve">data/raw/</w:t>
      </w:r>
      <w:r>
        <w:t xml:space="preserve"> with the download date; cleaned data lives separately in </w:t>
      </w:r>
      <w:r>
        <w:rPr>
          <w:rStyle w:val="CodeChar"/>
        </w:rPr>
        <w:t xml:space="preserve">data/processed/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A provenance file records source, series ID, URL and download time for every column.</w:t>
      </w:r>
    </w:p>
    <w:p>
      <w:pPr>
        <w:pStyle w:val="ListParagraph"/>
        <w:numPr>
          <w:ilvl w:val="0"/>
          <w:numId w:val="3"/>
        </w:numPr>
      </w:pPr>
      <w:r>
        <w:t xml:space="preserve">Manual CSVs (FPI, India CPI) must be copied from the official page and keep the publisher's figures exactly.</w:t>
      </w:r>
    </w:p>
    <w:p>
      <w:pPr>
        <w:pStyle w:val="Heading2"/>
      </w:pPr>
      <w:r>
        <w:t xml:space="preserve">Data pipeline</w:t>
      </w:r>
    </w:p>
    <w:p>
      <w:pPr/>
      <w:r>
        <w:t xml:space="preserve">One command runs the chain from download to dashboard, and a weekday refresh keeps it current without anyone retyping a number.</w:t>
      </w:r>
    </w:p>
    <w:p>
      <w:pPr/>
      <w:r>
        <w:drawing>
          <wp:inline distT="0" distB="0" distL="0" distR="0">
            <wp:extent cx="5486400" cy="4098471"/>
            <wp:docPr id="1" name="image1" descr="data pipeline · 8 scripts, 5 sourc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ata pipeline · 8 scripts, 5 source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data pipeline · 8 scripts, 5 sources</w:t>
      </w:r>
    </w:p>
    <w:p>
      <w:pPr/>
      <w:r>
        <w:t xml:space="preserve">Daily series become monthly by average (oil, dollar, VIX) or month-end (USD/INR); every predictor also gets a one-month lag so forecasts only use information available at the time.</w:t>
      </w:r>
    </w:p>
    <w:p>
      <w:pPr>
        <w:pStyle w:val="Heading2"/>
      </w:pPr>
      <w:r>
        <w:t xml:space="preserve">Analytics plan</w:t>
      </w:r>
    </w:p>
    <w:p>
      <w:pPr/>
      <w:r>
        <w:t xml:space="preserve">The project covers every analytics block in the syllabus (sessions 6–18) on one real dataset. The target is </w:t>
      </w:r>
      <w:r>
        <w:rPr>
          <w:rStyle w:val="CodeChar"/>
        </w:rPr>
        <w:t xml:space="preserve">INR_ret</w:t>
      </w:r>
      <w:r>
        <w:t xml:space="preserve">, the monthly % change in USD/INR, where a positive value means the rupee weakened. Models train on 2012–2022 and are tested on 2023 onward, split by time, never at random.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01"/>
        <w:gridCol w:w="2517"/>
        <w:gridCol w:w="3057"/>
        <w:gridCol w:w="2085"/>
      </w:tblGrid>
      <w:tr>
        <w:trPr>
          <w:tblHeader/>
        </w:trPr>
        <w:tc>
          <w:tcPr>
            <w:tcW w:w="1701" w:type="dxa"/>
            <w:shd w:val="clear" w:color="auto" w:fill="F2F2F2"/>
          </w:tcPr>
          <w:p>
            <w:pPr/>
            <w:r>
              <w:t xml:space="preserve">Syllabus block (sessions)</w:t>
            </w:r>
          </w:p>
        </w:tc>
        <w:tc>
          <w:tcPr>
            <w:tcW w:w="2517" w:type="dxa"/>
            <w:shd w:val="clear" w:color="auto" w:fill="F2F2F2"/>
          </w:tcPr>
          <w:p>
            <w:pPr/>
            <w:r>
              <w:t xml:space="preserve">Technique</w:t>
            </w:r>
          </w:p>
        </w:tc>
        <w:tc>
          <w:tcPr>
            <w:tcW w:w="3057" w:type="dxa"/>
            <w:shd w:val="clear" w:color="auto" w:fill="F2F2F2"/>
          </w:tcPr>
          <w:p>
            <w:pPr/>
            <w:r>
              <w:t xml:space="preserve">Question it answers</w:t>
            </w:r>
          </w:p>
        </w:tc>
        <w:tc>
          <w:tcPr>
            <w:tcW w:w="2085" w:type="dxa"/>
            <w:shd w:val="clear" w:color="auto" w:fill="F2F2F2"/>
          </w:tcPr>
          <w:p>
            <w:pPr/>
            <w:r>
              <w:t xml:space="preserve">Output</w:t>
            </w:r>
          </w:p>
        </w:tc>
      </w:tr>
      <w:tr>
        <w:tc>
          <w:tcPr>
            <w:tcW w:w="1701" w:type="dxa"/>
          </w:tcPr>
          <w:p>
            <w:pPr/>
            <w:r>
              <w:t xml:space="preserve">Descriptive (6–7)</w:t>
            </w:r>
          </w:p>
        </w:tc>
        <w:tc>
          <w:tcPr>
            <w:tcW w:w="2517" w:type="dxa"/>
          </w:tcPr>
          <w:p>
            <w:pPr/>
            <w:r>
              <w:t xml:space="preserve">Mean, median, SD, skew, frequencies, mode of month type</w:t>
            </w:r>
          </w:p>
        </w:tc>
        <w:tc>
          <w:tcPr>
            <w:tcW w:w="3057" w:type="dxa"/>
          </w:tcPr>
          <w:p>
            <w:pPr/>
            <w:r>
              <w:t xml:space="preserve">How often does the rupee weaken, and how much?</w:t>
            </w:r>
          </w:p>
        </w:tc>
        <w:tc>
          <w:tcPr>
            <w:tcW w:w="2085" w:type="dxa"/>
          </w:tcPr>
          <w:p>
            <w:pPr/>
            <w:r>
              <w:t xml:space="preserve">Stats table, trend chart with shock bands, histogram</w:t>
            </w:r>
          </w:p>
        </w:tc>
      </w:tr>
      <w:tr>
        <w:tc>
          <w:tcPr>
            <w:tcW w:w="1701" w:type="dxa"/>
          </w:tcPr>
          <w:p>
            <w:pPr/>
            <w:r>
              <w:t xml:space="preserve">Inferential (8–9)</w:t>
            </w:r>
          </w:p>
        </w:tc>
        <w:tc>
          <w:tcPr>
            <w:tcW w:w="2517" w:type="dxa"/>
          </w:tcPr>
          <w:p>
            <w:pPr/>
            <w:r>
              <w:t xml:space="preserve">Correlation with p-values and CIs</w:t>
            </w:r>
          </w:p>
        </w:tc>
        <w:tc>
          <w:tcPr>
            <w:tcW w:w="3057" w:type="dxa"/>
          </w:tcPr>
          <w:p>
            <w:pPr/>
            <w:r>
              <w:t xml:space="preserve">Which drivers move with the rupee?</w:t>
            </w:r>
          </w:p>
        </w:tc>
        <w:tc>
          <w:tcPr>
            <w:tcW w:w="2085" w:type="dxa"/>
          </w:tcPr>
          <w:p>
            <w:pPr/>
            <w:r>
              <w:t xml:space="preserve">Ranked correlation table, correlogram</w:t>
            </w:r>
          </w:p>
        </w:tc>
      </w:tr>
      <w:tr>
        <w:tc>
          <w:tcPr>
            <w:tcW w:w="1701" w:type="dxa"/>
          </w:tcPr>
          <w:p>
            <w:pPr/>
            <w:r>
              <w:t xml:space="preserve">Inferential (8–9)</w:t>
            </w:r>
          </w:p>
        </w:tc>
        <w:tc>
          <w:tcPr>
            <w:tcW w:w="2517" w:type="dxa"/>
          </w:tcPr>
          <w:p>
            <w:pPr/>
            <w:r>
              <w:t xml:space="preserve">Welch t-tests</w:t>
            </w:r>
          </w:p>
        </w:tc>
        <w:tc>
          <w:tcPr>
            <w:tcW w:w="3057" w:type="dxa"/>
          </w:tcPr>
          <w:p>
            <w:pPr/>
            <w:r>
              <w:t xml:space="preserve">Is the rupee weaker in FPI-outflow months? When oil rises? Is volatility higher in shocks?</w:t>
            </w:r>
          </w:p>
        </w:tc>
        <w:tc>
          <w:tcPr>
            <w:tcW w:w="2085" w:type="dxa"/>
          </w:tcPr>
          <w:p>
            <w:pPr/>
            <w:r>
              <w:t xml:space="preserve">Test results</w:t>
            </w:r>
          </w:p>
        </w:tc>
      </w:tr>
      <w:tr>
        <w:tc>
          <w:tcPr>
            <w:tcW w:w="1701" w:type="dxa"/>
          </w:tcPr>
          <w:p>
            <w:pPr/>
            <w:r>
              <w:t xml:space="preserve">Inferential (8–9)</w:t>
            </w:r>
          </w:p>
        </w:tc>
        <w:tc>
          <w:tcPr>
            <w:tcW w:w="2517" w:type="dxa"/>
          </w:tcPr>
          <w:p>
            <w:pPr/>
            <w:r>
              <w:t xml:space="preserve">One-way ANOVA, Tukey HSD, Levene, Kruskal-Wallis</w:t>
            </w:r>
          </w:p>
        </w:tc>
        <w:tc>
          <w:tcPr>
            <w:tcW w:w="3057" w:type="dxa"/>
          </w:tcPr>
          <w:p>
            <w:pPr/>
            <w:r>
              <w:t xml:space="preserve">Do rupee moves differ across oil and flow regimes?</w:t>
            </w:r>
          </w:p>
        </w:tc>
        <w:tc>
          <w:tcPr>
            <w:tcW w:w="2085" w:type="dxa"/>
          </w:tcPr>
          <w:p>
            <w:pPr/>
            <w:r>
              <w:t xml:space="preserve">ANOVA tables, box plots</w:t>
            </w:r>
          </w:p>
        </w:tc>
      </w:tr>
      <w:tr>
        <w:tc>
          <w:tcPr>
            <w:tcW w:w="1701" w:type="dxa"/>
          </w:tcPr>
          <w:p>
            <w:pPr/>
            <w:r>
              <w:t xml:space="preserve">Predictive (10–11)</w:t>
            </w:r>
          </w:p>
        </w:tc>
        <w:tc>
          <w:tcPr>
            <w:tcW w:w="2517" w:type="dxa"/>
          </w:tcPr>
          <w:p>
            <w:pPr/>
            <w:r>
              <w:t xml:space="preserve">Multiple regression, Models A to D</w:t>
            </w:r>
          </w:p>
        </w:tc>
        <w:tc>
          <w:tcPr>
            <w:tcW w:w="3057" w:type="dxa"/>
          </w:tcPr>
          <w:p>
            <w:pPr/>
            <w:r>
              <w:t xml:space="preserve">Is oil really the villain, or do dollar and flows matter more?</w:t>
            </w:r>
          </w:p>
        </w:tc>
        <w:tc>
          <w:tcPr>
            <w:tcW w:w="2085" w:type="dxa"/>
          </w:tcPr>
          <w:p>
            <w:pPr/>
            <w:r>
              <w:t xml:space="preserve">Model comparison: adj. R², AIC, test RMSE, MAE</w:t>
            </w:r>
          </w:p>
        </w:tc>
      </w:tr>
      <w:tr>
        <w:tc>
          <w:tcPr>
            <w:tcW w:w="1701" w:type="dxa"/>
          </w:tcPr>
          <w:p>
            <w:pPr/>
            <w:r>
              <w:t xml:space="preserve">Predictive (10–11)</w:t>
            </w:r>
          </w:p>
        </w:tc>
        <w:tc>
          <w:tcPr>
            <w:tcW w:w="2517" w:type="dxa"/>
          </w:tcPr>
          <w:p>
            <w:pPr/>
            <w:r>
              <w:t xml:space="preserve">Diagnostics: VIF, Breusch-Pagan, Durbin-Watson, Newey-West SEs</w:t>
            </w:r>
          </w:p>
        </w:tc>
        <w:tc>
          <w:tcPr>
            <w:tcW w:w="3057" w:type="dxa"/>
          </w:tcPr>
          <w:p>
            <w:pPr/>
            <w:r>
              <w:t xml:space="preserve">Are the estimates trustworthy?</w:t>
            </w:r>
          </w:p>
        </w:tc>
        <w:tc>
          <w:tcPr>
            <w:tcW w:w="2085" w:type="dxa"/>
          </w:tcPr>
          <w:p>
            <w:pPr/>
            <w:r>
              <w:t xml:space="preserve">Diagnostic report, residual plots</w:t>
            </w:r>
          </w:p>
        </w:tc>
      </w:tr>
      <w:tr>
        <w:tc>
          <w:tcPr>
            <w:tcW w:w="1701" w:type="dxa"/>
          </w:tcPr>
          <w:p>
            <w:pPr/>
            <w:r>
              <w:t xml:space="preserve">Predictive (10–11)</w:t>
            </w:r>
          </w:p>
        </w:tc>
        <w:tc>
          <w:tcPr>
            <w:tcW w:w="2517" w:type="dxa"/>
          </w:tcPr>
          <w:p>
            <w:pPr/>
            <w:r>
              <w:t xml:space="preserve">Forecast model F (lagged inputs only)</w:t>
            </w:r>
          </w:p>
        </w:tc>
        <w:tc>
          <w:tcPr>
            <w:tcW w:w="3057" w:type="dxa"/>
          </w:tcPr>
          <w:p>
            <w:pPr/>
            <w:r>
              <w:t xml:space="preserve">Can last month's data predict this month?</w:t>
            </w:r>
          </w:p>
        </w:tc>
        <w:tc>
          <w:tcPr>
            <w:tcW w:w="2085" w:type="dxa"/>
          </w:tcPr>
          <w:p>
            <w:pPr/>
            <w:r>
              <w:t xml:space="preserve">Honest test vs naive benchmark</w:t>
            </w:r>
          </w:p>
        </w:tc>
      </w:tr>
      <w:tr>
        <w:tc>
          <w:tcPr>
            <w:tcW w:w="1701" w:type="dxa"/>
          </w:tcPr>
          <w:p>
            <w:pPr/>
            <w:r>
              <w:t xml:space="preserve">Classification (12–14)</w:t>
            </w:r>
          </w:p>
        </w:tc>
        <w:tc>
          <w:tcPr>
            <w:tcW w:w="2517" w:type="dxa"/>
          </w:tcPr>
          <w:p>
            <w:pPr/>
            <w:r>
              <w:t xml:space="preserve">Logistic regression, LDA, decision tree, SVM</w:t>
            </w:r>
          </w:p>
        </w:tc>
        <w:tc>
          <w:tcPr>
            <w:tcW w:w="3057" w:type="dxa"/>
          </w:tcPr>
          <w:p>
            <w:pPr/>
            <w:r>
              <w:t xml:space="preserve">Can we flag high-depreciation months?</w:t>
            </w:r>
          </w:p>
        </w:tc>
        <w:tc>
          <w:tcPr>
            <w:tcW w:w="2085" w:type="dxa"/>
          </w:tcPr>
          <w:p>
            <w:pPr/>
            <w:r>
              <w:t xml:space="preserve">Confusion matrices, sensitivity, AUC</w:t>
            </w:r>
          </w:p>
        </w:tc>
      </w:tr>
      <w:tr>
        <w:tc>
          <w:tcPr>
            <w:tcW w:w="1701" w:type="dxa"/>
          </w:tcPr>
          <w:p>
            <w:pPr/>
            <w:r>
              <w:t xml:space="preserve">Unsupervised (15–16)</w:t>
            </w:r>
          </w:p>
        </w:tc>
        <w:tc>
          <w:tcPr>
            <w:tcW w:w="2517" w:type="dxa"/>
          </w:tcPr>
          <w:p>
            <w:pPr/>
            <w:r>
              <w:t xml:space="preserve">k-means, hierarchical clustering</w:t>
            </w:r>
          </w:p>
        </w:tc>
        <w:tc>
          <w:tcPr>
            <w:tcW w:w="3057" w:type="dxa"/>
          </w:tcPr>
          <w:p>
            <w:pPr/>
            <w:r>
              <w:t xml:space="preserve">What currency regimes exist?</w:t>
            </w:r>
          </w:p>
        </w:tc>
        <w:tc>
          <w:tcPr>
            <w:tcW w:w="2085" w:type="dxa"/>
          </w:tcPr>
          <w:p>
            <w:pPr/>
            <w:r>
              <w:t xml:space="preserve">Regime profiles, dendrogram</w:t>
            </w:r>
          </w:p>
        </w:tc>
      </w:tr>
      <w:tr>
        <w:tc>
          <w:tcPr>
            <w:tcW w:w="1701" w:type="dxa"/>
          </w:tcPr>
          <w:p>
            <w:pPr/>
            <w:r>
              <w:t xml:space="preserve">Unsupervised (15–16)</w:t>
            </w:r>
          </w:p>
        </w:tc>
        <w:tc>
          <w:tcPr>
            <w:tcW w:w="2517" w:type="dxa"/>
          </w:tcPr>
          <w:p>
            <w:pPr/>
            <w:r>
              <w:t xml:space="preserve">Apriori association rules</w:t>
            </w:r>
          </w:p>
        </w:tc>
        <w:tc>
          <w:tcPr>
            <w:tcW w:w="3057" w:type="dxa"/>
          </w:tcPr>
          <w:p>
            <w:pPr/>
            <w:r>
              <w:t xml:space="preserve">Which combinations of conditions co-occur with a weak rupee?</w:t>
            </w:r>
          </w:p>
        </w:tc>
        <w:tc>
          <w:tcPr>
            <w:tcW w:w="2085" w:type="dxa"/>
          </w:tcPr>
          <w:p>
            <w:pPr/>
            <w:r>
              <w:t xml:space="preserve">Rules ranked by lift</w:t>
            </w:r>
          </w:p>
        </w:tc>
      </w:tr>
      <w:tr>
        <w:tc>
          <w:tcPr>
            <w:tcW w:w="1701" w:type="dxa"/>
          </w:tcPr>
          <w:p>
            <w:pPr/>
            <w:r>
              <w:t xml:space="preserve">Prescriptive (17–18)</w:t>
            </w:r>
          </w:p>
        </w:tc>
        <w:tc>
          <w:tcPr>
            <w:tcW w:w="2517" w:type="dxa"/>
          </w:tcPr>
          <w:p>
            <w:pPr/>
            <w:r>
              <w:t xml:space="preserve">What-if scenarios with 80% prediction intervals</w:t>
            </w:r>
          </w:p>
        </w:tc>
        <w:tc>
          <w:tcPr>
            <w:tcW w:w="3057" w:type="dxa"/>
          </w:tcPr>
          <w:p>
            <w:pPr/>
            <w:r>
              <w:t xml:space="preserve">What happens under oil +20%, dollar +3%, $5 bn outflow?</w:t>
            </w:r>
          </w:p>
        </w:tc>
        <w:tc>
          <w:tcPr>
            <w:tcW w:w="2085" w:type="dxa"/>
          </w:tcPr>
          <w:p>
            <w:pPr/>
            <w:r>
              <w:t xml:space="preserve">Scenario table, hedging recommendation</w:t>
            </w:r>
          </w:p>
        </w:tc>
      </w:tr>
    </w:tbl>
    <w:p>
      <w:pPr/>
      <w:r>
        <w:rPr>
          <w:b/>
        </w:rPr>
        <w:t xml:space="preserve">Key definitions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High-pressure month:</w:t>
      </w:r>
      <w:r>
        <w:t xml:space="preserve"> depreciation above the 75th percentile of training months. The threshold is fixed on training data so the test period stays unseen.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Model A:</w:t>
      </w:r>
      <w:r>
        <w:t xml:space="preserve"> oil only. </w:t>
      </w:r>
      <w:r>
        <w:rPr>
          <w:b/>
        </w:rPr>
        <w:t xml:space="preserve">Model B:</w:t>
      </w:r>
      <w:r>
        <w:t xml:space="preserve"> oil plus India–US inflation gap. </w:t>
      </w:r>
      <w:r>
        <w:rPr>
          <w:b/>
        </w:rPr>
        <w:t xml:space="preserve">Model C:</w:t>
      </w:r>
      <w:r>
        <w:t xml:space="preserve"> adds rate-gap change, broad dollar, FPI and trade balance. </w:t>
      </w:r>
      <w:r>
        <w:rPr>
          <w:b/>
        </w:rPr>
        <w:t xml:space="preserve">Model D:</w:t>
      </w:r>
      <w:r>
        <w:t xml:space="preserve"> adds VIX and last month's FPI, following the lagged-FPI finding in the 2026 regression cited above.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Early warning vs nowcast:</w:t>
      </w:r>
      <w:r>
        <w:t xml:space="preserve"> the early-warning classifier uses only last month's data and is the real forecasting test. The nowcast uses same-month drivers and explains rather than predicts. Both are reported and labelled.</w:t>
      </w:r>
    </w:p>
    <w:p>
      <w:pPr/>
      <w:r>
        <w:t xml:space="preserve">RFM analysis (sessions 17–18) does not fit currency data, so the prescriptive block uses scenario analysis and a hedging decision rule instead. We should confirm this substitution with Prof. Varma.</w:t>
      </w:r>
    </w:p>
    <w:p>
      <w:pPr>
        <w:pStyle w:val="Heading2"/>
      </w:pPr>
      <w:r>
        <w:t xml:space="preserve">Dashboard plan</w:t>
      </w:r>
    </w:p>
    <w:p>
      <w:pPr/>
      <w:r>
        <w:t xml:space="preserve">The Rupee Intelligence Dashboard is an R Shiny app with seven tabs, built only from files the pipeline produces. It answers three questions fast: what happened to the rupee, what moved with it, and what the model estimates under a changed scenario.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0"/>
        <w:gridCol w:w="4920"/>
        <w:gridCol w:w="2180"/>
      </w:tblGrid>
      <w:tr>
        <w:trPr>
          <w:tblHeader/>
        </w:trPr>
        <w:tc>
          <w:tcPr>
            <w:tcW w:w="2260" w:type="dxa"/>
            <w:shd w:val="clear" w:color="auto" w:fill="F2F2F2"/>
          </w:tcPr>
          <w:p>
            <w:pPr/>
            <w:r>
              <w:t xml:space="preserve">Tab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the viewer sees</w:t>
            </w:r>
          </w:p>
        </w:tc>
        <w:tc>
          <w:tcPr>
            <w:tcW w:w="2180" w:type="dxa"/>
            <w:shd w:val="clear" w:color="auto" w:fill="F2F2F2"/>
          </w:tcPr>
          <w:p>
            <w:pPr/>
            <w:r>
              <w:t xml:space="preserve">Built from</w:t>
            </w:r>
          </w:p>
        </w:tc>
      </w:tr>
      <w:tr>
        <w:tc>
          <w:tcPr>
            <w:tcW w:w="2260" w:type="dxa"/>
          </w:tcPr>
          <w:p>
            <w:pPr/>
            <w:r>
              <w:t xml:space="preserve">Overview</w:t>
            </w:r>
          </w:p>
        </w:tc>
        <w:tc>
          <w:tcPr>
            <w:tcW w:w="4920" w:type="dxa"/>
          </w:tcPr>
          <w:p>
            <w:pPr/>
            <w:r>
              <w:t xml:space="preserve">Latest USD/INR, live quote, month-to-date estimate, reserves; rupee since 2010 with shock bands</w:t>
            </w:r>
          </w:p>
        </w:tc>
        <w:tc>
          <w:tcPr>
            <w:tcW w:w="2180" w:type="dxa"/>
          </w:tcPr>
          <w:p>
            <w:pPr/>
            <w:r>
              <w:t xml:space="preserve">FRED, Yahoo Finance, nowcast</w:t>
            </w:r>
          </w:p>
        </w:tc>
      </w:tr>
      <w:tr>
        <w:tc>
          <w:tcPr>
            <w:tcW w:w="2260" w:type="dxa"/>
          </w:tcPr>
          <w:p>
            <w:pPr/>
            <w:r>
              <w:t xml:space="preserve">Shock Explorer</w:t>
            </w:r>
          </w:p>
        </w:tc>
        <w:tc>
          <w:tcPr>
            <w:tcW w:w="4920" w:type="dxa"/>
          </w:tcPr>
          <w:p>
            <w:pPr/>
            <w:r>
              <w:t xml:space="preserve">Pick an event; rupee, Brent, dollar and reserves indexed to 100 at its start</w:t>
            </w:r>
          </w:p>
        </w:tc>
        <w:tc>
          <w:tcPr>
            <w:tcW w:w="2180" w:type="dxa"/>
          </w:tcPr>
          <w:p>
            <w:pPr/>
            <w:r>
              <w:t xml:space="preserve">Monthly dataset, shock list</w:t>
            </w:r>
          </w:p>
        </w:tc>
      </w:tr>
      <w:tr>
        <w:tc>
          <w:tcPr>
            <w:tcW w:w="2260" w:type="dxa"/>
          </w:tcPr>
          <w:p>
            <w:pPr/>
            <w:r>
              <w:t xml:space="preserve">Driver Scorecard</w:t>
            </w:r>
          </w:p>
        </w:tc>
        <w:tc>
          <w:tcPr>
            <w:tcW w:w="4920" w:type="dxa"/>
          </w:tcPr>
          <w:p>
            <w:pPr/>
            <w:r>
              <w:t xml:space="preserve">Standardised effect of each driver with 95% CI; Model A–F comparison</w:t>
            </w:r>
          </w:p>
        </w:tc>
        <w:tc>
          <w:tcPr>
            <w:tcW w:w="2180" w:type="dxa"/>
          </w:tcPr>
          <w:p>
            <w:pPr/>
            <w:r>
              <w:t xml:space="preserve">Regression outputs</w:t>
            </w:r>
          </w:p>
        </w:tc>
      </w:tr>
      <w:tr>
        <w:tc>
          <w:tcPr>
            <w:tcW w:w="2260" w:type="dxa"/>
          </w:tcPr>
          <w:p>
            <w:pPr/>
            <w:r>
              <w:t xml:space="preserve">What-if Simulator</w:t>
            </w:r>
          </w:p>
        </w:tc>
        <w:tc>
          <w:tcPr>
            <w:tcW w:w="4920" w:type="dxa"/>
          </w:tcPr>
          <w:p>
            <w:pPr/>
            <w:r>
              <w:t xml:space="preserve">Sliders for oil, dollar, FPI, rate gap, trade, inflation; estimated change, implied USD/INR, 80% range</w:t>
            </w:r>
          </w:p>
        </w:tc>
        <w:tc>
          <w:tcPr>
            <w:tcW w:w="2180" w:type="dxa"/>
          </w:tcPr>
          <w:p>
            <w:pPr/>
            <w:r>
              <w:t xml:space="preserve">Model C</w:t>
            </w:r>
          </w:p>
        </w:tc>
      </w:tr>
      <w:tr>
        <w:tc>
          <w:tcPr>
            <w:tcW w:w="2260" w:type="dxa"/>
          </w:tcPr>
          <w:p>
            <w:pPr/>
            <w:r>
              <w:t xml:space="preserve">Stress Monitor</w:t>
            </w:r>
          </w:p>
        </w:tc>
        <w:tc>
          <w:tcPr>
            <w:tcW w:w="4920" w:type="dxa"/>
          </w:tcPr>
          <w:p>
            <w:pPr/>
            <w:r>
              <w:t xml:space="preserve">Monthly probability of high depreciation, actual high months marked, test metrics</w:t>
            </w:r>
          </w:p>
        </w:tc>
        <w:tc>
          <w:tcPr>
            <w:tcW w:w="2180" w:type="dxa"/>
          </w:tcPr>
          <w:p>
            <w:pPr/>
            <w:r>
              <w:t xml:space="preserve">Classification outputs</w:t>
            </w:r>
          </w:p>
        </w:tc>
      </w:tr>
      <w:tr>
        <w:tc>
          <w:tcPr>
            <w:tcW w:w="2260" w:type="dxa"/>
          </w:tcPr>
          <w:p>
            <w:pPr/>
            <w:r>
              <w:t xml:space="preserve">Regimes and Rules</w:t>
            </w:r>
          </w:p>
        </w:tc>
        <w:tc>
          <w:tcPr>
            <w:tcW w:w="4920" w:type="dxa"/>
          </w:tcPr>
          <w:p>
            <w:pPr/>
            <w:r>
              <w:t xml:space="preserve">Months coloured by regime; regime profiles; top Apriori rules</w:t>
            </w:r>
          </w:p>
        </w:tc>
        <w:tc>
          <w:tcPr>
            <w:tcW w:w="2180" w:type="dxa"/>
          </w:tcPr>
          <w:p>
            <w:pPr/>
            <w:r>
              <w:t xml:space="preserve">Clustering and rules</w:t>
            </w:r>
          </w:p>
        </w:tc>
      </w:tr>
      <w:tr>
        <w:tc>
          <w:tcPr>
            <w:tcW w:w="2260" w:type="dxa"/>
          </w:tcPr>
          <w:p>
            <w:pPr/>
            <w:r>
              <w:t xml:space="preserve">Data and Sources</w:t>
            </w:r>
          </w:p>
        </w:tc>
        <w:tc>
          <w:tcPr>
            <w:tcW w:w="4920" w:type="dxa"/>
          </w:tcPr>
          <w:p>
            <w:pPr/>
            <w:r>
              <w:t xml:space="preserve">Provenance of every column; data-quality log</w:t>
            </w:r>
          </w:p>
        </w:tc>
        <w:tc>
          <w:tcPr>
            <w:tcW w:w="2180" w:type="dxa"/>
          </w:tcPr>
          <w:p>
            <w:pPr/>
            <w:r>
              <w:t xml:space="preserve">Provenance file</w:t>
            </w:r>
          </w:p>
        </w:tc>
      </w:tr>
    </w:tbl>
    <w:p>
      <w:pPr/>
      <w:r>
        <w:t xml:space="preserve">Shock periods marked: taper tantrum (May–Sep 2013), demonetisation (Nov–Dec 2016), 2018 oil spike and EM sell-off, COVID-19 (Feb–May 2020), Russia–Ukraine war and Fed hikes (2022), and the 2026 West Asia conflict when the rupee passed ₹95.</w:t>
      </w:r>
    </w:p>
    <w:p>
      <w:pPr/>
      <w:r>
        <w:t xml:space="preserve">To share it, deploy free on shinyapps.io with </w:t>
      </w:r>
      <w:r>
        <w:rPr>
          <w:rStyle w:val="CodeChar"/>
        </w:rPr>
        <w:t xml:space="preserve">rsconnect::deployApp()</w:t>
      </w:r>
      <w:r>
        <w:t xml:space="preserve">.</w:t>
      </w:r>
    </w:p>
    <w:p>
      <w:pPr>
        <w:pStyle w:val="Heading2"/>
      </w:pPr>
      <w:r>
        <w:t xml:space="preserve">Code structure</w:t>
      </w:r>
    </w:p>
    <w:p>
      <w:pPr/>
      <w:r>
        <w:t xml:space="preserve">The code is ten R scripts plus a Shiny app; </w:t>
      </w:r>
      <w:r>
        <w:rPr>
          <w:rStyle w:val="CodeChar"/>
        </w:rPr>
        <w:t xml:space="preserve">source("R/run_all.R")</w:t>
      </w:r>
      <w:r>
        <w:t xml:space="preserve"> runs the whole pipeline end to end from the project folder.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Script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Main outputs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00_config.R</w:t>
            </w:r>
          </w:p>
        </w:tc>
        <w:tc>
          <w:tcPr>
            <w:tcW w:w="3120" w:type="dxa"/>
          </w:tcPr>
          <w:p>
            <w:pPr/>
            <w:r>
              <w:t xml:space="preserve">Packages, folders, dates, FRED series catalogue, shock list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01_fetch_data.R</w:t>
            </w:r>
          </w:p>
        </w:tc>
        <w:tc>
          <w:tcPr>
            <w:tcW w:w="3120" w:type="dxa"/>
          </w:tcPr>
          <w:p>
            <w:pPr/>
            <w:r>
              <w:t xml:space="preserve">Downloads 13 FRED series (API with key, or public CSV), World Bank Brent, NSDL FPI (scrape or CSV), India CPI (MoSPI API or CSV)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data/raw/*</w:t>
            </w:r>
            <w:r>
              <w:t xml:space="preserve">, </w:t>
            </w:r>
            <w:r>
              <w:rPr>
                <w:rStyle w:val="CodeChar"/>
              </w:rPr>
              <w:t xml:space="preserve">provenance.csv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02_build_dataset.R</w:t>
            </w:r>
          </w:p>
        </w:tc>
        <w:tc>
          <w:tcPr>
            <w:tcW w:w="3120" w:type="dxa"/>
          </w:tcPr>
          <w:p>
            <w:pPr/>
            <w:r>
              <w:t xml:space="preserve">Daily to monthly, merge, features, 1-month lags, high-pressure label, QA log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rupee_monthly.csv</w:t>
            </w:r>
            <w:r>
              <w:t xml:space="preserve">, </w:t>
            </w:r>
            <w:r>
              <w:rPr>
                <w:rStyle w:val="CodeChar"/>
              </w:rPr>
              <w:t xml:space="preserve">model_data.csv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03_descriptive_inferential.R</w:t>
            </w:r>
          </w:p>
        </w:tc>
        <w:tc>
          <w:tcPr>
            <w:tcW w:w="3120" w:type="dxa"/>
          </w:tcPr>
          <w:p>
            <w:pPr/>
            <w:r>
              <w:t xml:space="preserve">Descriptives, correlations, t-tests, ANOVA</w:t>
            </w:r>
          </w:p>
        </w:tc>
        <w:tc>
          <w:tcPr>
            <w:tcW w:w="3120" w:type="dxa"/>
          </w:tcPr>
          <w:p>
            <w:pPr/>
            <w:r>
              <w:t xml:space="preserve">Stats tables, 4 charts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04_regression.R</w:t>
            </w:r>
          </w:p>
        </w:tc>
        <w:tc>
          <w:tcPr>
            <w:tcW w:w="3120" w:type="dxa"/>
          </w:tcPr>
          <w:p>
            <w:pPr/>
            <w:r>
              <w:t xml:space="preserve">Models A–D and F, diagnostics, out-of-sample test, scorecard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model_comparison.csv</w:t>
            </w:r>
            <w:r>
              <w:t xml:space="preserve">, </w:t>
            </w:r>
            <w:r>
              <w:rPr>
                <w:rStyle w:val="CodeChar"/>
              </w:rPr>
              <w:t xml:space="preserve">driver_scorecard.csv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05_classification.R</w:t>
            </w:r>
          </w:p>
        </w:tc>
        <w:tc>
          <w:tcPr>
            <w:tcW w:w="3120" w:type="dxa"/>
          </w:tcPr>
          <w:p>
            <w:pPr/>
            <w:r>
              <w:t xml:space="preserve">Logistic, LDA, tree, SVM for early warning and nowcast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classification_results.csv</w:t>
            </w:r>
            <w:r>
              <w:t xml:space="preserve">, tree plots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06_clustering_rules.R</w:t>
            </w:r>
          </w:p>
        </w:tc>
        <w:tc>
          <w:tcPr>
            <w:tcW w:w="3120" w:type="dxa"/>
          </w:tcPr>
          <w:p>
            <w:pPr/>
            <w:r>
              <w:t xml:space="preserve">k-means, hierarchical, Apriori</w:t>
            </w:r>
          </w:p>
        </w:tc>
        <w:tc>
          <w:tcPr>
            <w:tcW w:w="3120" w:type="dxa"/>
          </w:tcPr>
          <w:p>
            <w:pPr/>
            <w:r>
              <w:t xml:space="preserve">Regime profiles, rules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07_scenario.R</w:t>
            </w:r>
          </w:p>
        </w:tc>
        <w:tc>
          <w:tcPr>
            <w:tcW w:w="3120" w:type="dxa"/>
          </w:tcPr>
          <w:p>
            <w:pPr/>
            <w:r>
              <w:t xml:space="preserve">What-if scenarios and hedging decision rule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scenarios.csv</w:t>
            </w:r>
            <w:r>
              <w:t xml:space="preserve">, </w:t>
            </w:r>
            <w:r>
              <w:rPr>
                <w:rStyle w:val="CodeChar"/>
              </w:rPr>
              <w:t xml:space="preserve">hedging_decision.csv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08_realtime_refresh.R</w:t>
            </w:r>
          </w:p>
        </w:tc>
        <w:tc>
          <w:tcPr>
            <w:tcW w:w="3120" w:type="dxa"/>
          </w:tcPr>
          <w:p>
            <w:pPr/>
            <w:r>
              <w:t xml:space="preserve">Live quotes, re-download, month-to-date nowcast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data/live/*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app.R</w:t>
            </w:r>
          </w:p>
        </w:tc>
        <w:tc>
          <w:tcPr>
            <w:tcW w:w="3120" w:type="dxa"/>
          </w:tcPr>
          <w:p>
            <w:pPr/>
            <w:r>
              <w:t xml:space="preserve">Shiny dashboard</w:t>
            </w:r>
          </w:p>
        </w:tc>
        <w:tc>
          <w:tcPr>
            <w:tcW w:w="3120" w:type="dxa"/>
          </w:tcPr>
          <w:p>
            <w:pPr/>
            <w:r>
              <w:t xml:space="preserve">Interactive app</w:t>
            </w:r>
          </w:p>
        </w:tc>
      </w:tr>
    </w:tbl>
    <w:p>
      <w:pPr/>
      <w:r>
        <w:rPr>
          <w:b/>
        </w:rPr>
        <w:t xml:space="preserve">Real-time data.</w:t>
      </w:r>
      <w:r>
        <w:t xml:space="preserve"> Most series refresh automatically from official APIs. FRED daily series lag about a week, so the live ticker uses Yahoo Finance quotes through </w:t>
      </w:r>
      <w:r>
        <w:rPr>
          <w:rStyle w:val="CodeChar"/>
        </w:rPr>
        <w:t xml:space="preserve">quantmod</w:t>
      </w:r>
      <w:r>
        <w:t xml:space="preserve">; the model nowcast stays on FRED daily data so its inputs match the training definitions. Schedule </w:t>
      </w:r>
      <w:r>
        <w:rPr>
          <w:rStyle w:val="CodeChar"/>
        </w:rPr>
        <w:t xml:space="preserve">08_realtime_refresh.R</w:t>
      </w:r>
      <w:r>
        <w:t xml:space="preserve"> on weekdays with cron or Windows Task Scheduler (steps in the README).</w:t>
      </w:r>
    </w:p>
    <w:p>
      <w:pPr/>
      <w:r>
        <w:rPr>
          <w:b/>
        </w:rPr>
        <w:t xml:space="preserve">Setup.</w:t>
      </w:r>
      <w:r>
        <w:t xml:space="preserve"> Install R 4.1+, open the project folder, optionally add a free FRED API key to </w:t>
      </w:r>
      <w:r>
        <w:rPr>
          <w:rStyle w:val="CodeChar"/>
        </w:rPr>
        <w:t xml:space="preserve">~/.Renviron</w:t>
      </w:r>
      <w:r>
        <w:t xml:space="preserve">, then run </w:t>
      </w:r>
      <w:r>
        <w:rPr>
          <w:rStyle w:val="CodeChar"/>
        </w:rPr>
        <w:t xml:space="preserve">run_all.R</w:t>
      </w:r>
      <w:r>
        <w:t xml:space="preserve">. The first run installs missing packages.</w:t>
      </w:r>
    </w:p>
    <w:p>
      <w:pPr>
        <w:pStyle w:val="Heading2"/>
      </w:pPr>
      <w:r>
        <w:t xml:space="preserve">Timeline and team roles</w:t>
      </w:r>
    </w:p>
    <w:p>
      <w:pPr/>
      <w:r>
        <w:t xml:space="preserve">The work runs in six weekly phases, and nothing downstream starts until the dataset is frozen with full provenance. Week numbers count from kickoff; map them to the course calendar once the submission date is confirmed.</w:t>
      </w:r>
    </w:p>
    <w:p>
      <w:pPr/>
      <w:r>
        <w:drawing>
          <wp:inline distT="0" distB="0" distL="0" distR="0">
            <wp:extent cx="5486400" cy="1698171"/>
            <wp:docPr id="2" name="image2" descr="project roadmap · 6 weeks, 2 gat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roject roadmap · 6 weeks, 2 gate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project roadmap · 6 weeks, 2 gates</w:t>
      </w:r>
    </w:p>
    <w:p>
      <w:pPr/>
      <w:r>
        <w:t xml:space="preserve">Suggested split, one workstream per member; edit the owners as the group agrees.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480"/>
        <w:gridCol w:w="1436"/>
        <w:gridCol w:w="2443"/>
      </w:tblGrid>
      <w:tr>
        <w:trPr>
          <w:tblHeader/>
        </w:trPr>
        <w:tc>
          <w:tcPr>
            <w:tcW w:w="5480" w:type="dxa"/>
            <w:shd w:val="clear" w:color="auto" w:fill="F2F2F2"/>
          </w:tcPr>
          <w:p>
            <w:pPr/>
            <w:r>
              <w:t xml:space="preserve">Workstream</w:t>
            </w:r>
          </w:p>
        </w:tc>
        <w:tc>
          <w:tcPr>
            <w:tcW w:w="1436" w:type="dxa"/>
            <w:shd w:val="clear" w:color="auto" w:fill="F2F2F2"/>
          </w:tcPr>
          <w:p>
            <w:pPr/>
            <w:r>
              <w:t xml:space="preserve">Scripts</w:t>
            </w:r>
          </w:p>
        </w:tc>
        <w:tc>
          <w:tcPr>
            <w:tcW w:w="2443" w:type="dxa"/>
            <w:shd w:val="clear" w:color="auto" w:fill="F2F2F2"/>
          </w:tcPr>
          <w:p>
            <w:pPr/>
            <w:r>
              <w:t xml:space="preserve">Suggested owner</w:t>
            </w:r>
          </w:p>
        </w:tc>
      </w:tr>
      <w:tr>
        <w:tc>
          <w:tcPr>
            <w:tcW w:w="5480" w:type="dxa"/>
          </w:tcPr>
          <w:p>
            <w:pPr/>
            <w:r>
              <w:t xml:space="preserve">Data collection, manual CSVs, provenance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01</w:t>
            </w:r>
            <w:r>
              <w:t xml:space="preserve">, </w:t>
            </w:r>
            <w:r>
              <w:rPr>
                <w:rStyle w:val="CodeChar"/>
              </w:rPr>
              <w:t xml:space="preserve">02</w:t>
            </w:r>
          </w:p>
        </w:tc>
        <w:tc>
          <w:tcPr>
            <w:tcW w:w="2443" w:type="dxa"/>
          </w:tcPr>
          <w:p>
            <w:pPr/>
            <w:r>
              <w:t xml:space="preserve">Ankit Singh</w:t>
            </w:r>
          </w:p>
        </w:tc>
      </w:tr>
      <w:tr>
        <w:tc>
          <w:tcPr>
            <w:tcW w:w="5480" w:type="dxa"/>
          </w:tcPr>
          <w:p>
            <w:pPr/>
            <w:r>
              <w:t xml:space="preserve">Descriptive and inferential analysis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03</w:t>
            </w:r>
          </w:p>
        </w:tc>
        <w:tc>
          <w:tcPr>
            <w:tcW w:w="2443" w:type="dxa"/>
          </w:tcPr>
          <w:p>
            <w:pPr/>
            <w:r>
              <w:t xml:space="preserve">Gopalakrishnan S</w:t>
            </w:r>
          </w:p>
        </w:tc>
      </w:tr>
      <w:tr>
        <w:tc>
          <w:tcPr>
            <w:tcW w:w="5480" w:type="dxa"/>
          </w:tcPr>
          <w:p>
            <w:pPr/>
            <w:r>
              <w:t xml:space="preserve">Regression models and diagnostics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04</w:t>
            </w:r>
          </w:p>
        </w:tc>
        <w:tc>
          <w:tcPr>
            <w:tcW w:w="2443" w:type="dxa"/>
          </w:tcPr>
          <w:p>
            <w:pPr/>
            <w:r>
              <w:t xml:space="preserve">Murugan Perumal</w:t>
            </w:r>
          </w:p>
        </w:tc>
      </w:tr>
      <w:tr>
        <w:tc>
          <w:tcPr>
            <w:tcW w:w="5480" w:type="dxa"/>
          </w:tcPr>
          <w:p>
            <w:pPr/>
            <w:r>
              <w:t xml:space="preserve">Classification and stress monitor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05</w:t>
            </w:r>
          </w:p>
        </w:tc>
        <w:tc>
          <w:tcPr>
            <w:tcW w:w="2443" w:type="dxa"/>
          </w:tcPr>
          <w:p>
            <w:pPr/>
            <w:r>
              <w:t xml:space="preserve">Aswin G.</w:t>
            </w:r>
          </w:p>
        </w:tc>
      </w:tr>
      <w:tr>
        <w:tc>
          <w:tcPr>
            <w:tcW w:w="5480" w:type="dxa"/>
          </w:tcPr>
          <w:p>
            <w:pPr/>
            <w:r>
              <w:t xml:space="preserve">Clustering, rules and scenarios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06</w:t>
            </w:r>
            <w:r>
              <w:t xml:space="preserve">, </w:t>
            </w:r>
            <w:r>
              <w:rPr>
                <w:rStyle w:val="CodeChar"/>
              </w:rPr>
              <w:t xml:space="preserve">07</w:t>
            </w:r>
          </w:p>
        </w:tc>
        <w:tc>
          <w:tcPr>
            <w:tcW w:w="2443" w:type="dxa"/>
          </w:tcPr>
          <w:p>
            <w:pPr/>
            <w:r>
              <w:t xml:space="preserve">Atul Kumar Singh</w:t>
            </w:r>
          </w:p>
        </w:tc>
      </w:tr>
      <w:tr>
        <w:tc>
          <w:tcPr>
            <w:tcW w:w="5480" w:type="dxa"/>
          </w:tcPr>
          <w:p>
            <w:pPr/>
            <w:r>
              <w:t xml:space="preserve">Dashboard, live refresh, report and slides</w:t>
            </w:r>
          </w:p>
        </w:tc>
        <w:tc>
          <w:tcPr>
            <w:tcW w:w="1436" w:type="dxa"/>
          </w:tcPr>
          <w:p>
            <w:pPr/>
            <w:r>
              <w:rPr>
                <w:rStyle w:val="CodeChar"/>
              </w:rPr>
              <w:t xml:space="preserve">08</w:t>
            </w:r>
            <w:r>
              <w:t xml:space="preserve">, </w:t>
            </w:r>
            <w:r>
              <w:rPr>
                <w:rStyle w:val="CodeChar"/>
              </w:rPr>
              <w:t xml:space="preserve">app.R</w:t>
            </w:r>
          </w:p>
        </w:tc>
        <w:tc>
          <w:tcPr>
            <w:tcW w:w="2443" w:type="dxa"/>
          </w:tcPr>
          <w:p>
            <w:pPr/>
            <w:r>
              <w:t xml:space="preserve">Devanshu Priyam</w:t>
            </w:r>
          </w:p>
        </w:tc>
      </w:tr>
    </w:tbl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5"/>
        </w:numPr>
      </w:pPr>
      <w:hyperlink r:id="rId4" w:history="1">
        <w:r>
          <w:rPr>
            <w:rStyle w:val="Hyperlink"/>
          </w:rPr>
          <w:t xml:space="preserve">FRED: Indian Rupees to U.S. Dollar Spot Exchange Rate (EXINUS)</w:t>
        </w:r>
      </w:hyperlink>
    </w:p>
    <w:p>
      <w:pPr>
        <w:pStyle w:val="ListParagraph"/>
        <w:numPr>
          <w:ilvl w:val="0"/>
          <w:numId w:val="5"/>
        </w:numPr>
      </w:pPr>
      <w:hyperlink r:id="rId7" w:history="1">
        <w:r>
          <w:rPr>
            <w:rStyle w:val="Hyperlink"/>
          </w:rPr>
          <w:t xml:space="preserve">FRED: India 3-month interbank rate (INDIR3TIB01STM)</w:t>
        </w:r>
      </w:hyperlink>
    </w:p>
    <w:p>
      <w:pPr>
        <w:pStyle w:val="ListParagraph"/>
        <w:numPr>
          <w:ilvl w:val="0"/>
          <w:numId w:val="5"/>
        </w:numPr>
      </w:pPr>
      <w:hyperlink r:id="rId10" w:history="1">
        <w:r>
          <w:rPr>
            <w:rStyle w:val="Hyperlink"/>
          </w:rPr>
          <w:t xml:space="preserve">FRED: India total reserves excluding gold (TRESEGINM052N)</w:t>
        </w:r>
      </w:hyperlink>
    </w:p>
    <w:p>
      <w:pPr>
        <w:pStyle w:val="ListParagraph"/>
        <w:numPr>
          <w:ilvl w:val="0"/>
          <w:numId w:val="5"/>
        </w:numPr>
      </w:pPr>
      <w:hyperlink r:id="rId9" w:history="1">
        <w:r>
          <w:rPr>
            <w:rStyle w:val="Hyperlink"/>
          </w:rPr>
          <w:t xml:space="preserve">FRED: India merchandise exports (XTEXVA01INM667S)</w:t>
        </w:r>
      </w:hyperlink>
    </w:p>
    <w:p>
      <w:pPr>
        <w:pStyle w:val="ListParagraph"/>
        <w:numPr>
          <w:ilvl w:val="0"/>
          <w:numId w:val="5"/>
        </w:numPr>
      </w:pPr>
      <w:hyperlink r:id="rId14" w:history="1">
        <w:r>
          <w:rPr>
            <w:rStyle w:val="Hyperlink"/>
          </w:rPr>
          <w:t xml:space="preserve">FRED: India CPI (INDCPIALLMINMEI)</w:t>
        </w:r>
      </w:hyperlink>
    </w:p>
    <w:p>
      <w:pPr>
        <w:pStyle w:val="ListParagraph"/>
        <w:numPr>
          <w:ilvl w:val="0"/>
          <w:numId w:val="5"/>
        </w:numPr>
      </w:pPr>
      <w:hyperlink r:id="rId6" w:history="1">
        <w:r>
          <w:rPr>
            <w:rStyle w:val="Hyperlink"/>
          </w:rPr>
          <w:t xml:space="preserve">World Bank Commodities Price Data (Pink Sheet)</w:t>
        </w:r>
      </w:hyperlink>
    </w:p>
    <w:p>
      <w:pPr>
        <w:pStyle w:val="ListParagraph"/>
        <w:numPr>
          <w:ilvl w:val="0"/>
          <w:numId w:val="5"/>
        </w:numPr>
      </w:pPr>
      <w:hyperlink r:id="rId11" w:history="1">
        <w:r>
          <w:rPr>
            <w:rStyle w:val="Hyperlink"/>
          </w:rPr>
          <w:t xml:space="preserve">NSDL Monthly FPI Net Investments</w:t>
        </w:r>
      </w:hyperlink>
    </w:p>
    <w:p>
      <w:pPr>
        <w:pStyle w:val="ListParagraph"/>
        <w:numPr>
          <w:ilvl w:val="0"/>
          <w:numId w:val="5"/>
        </w:numPr>
      </w:pPr>
      <w:hyperlink r:id="rId8" w:history="1">
        <w:r>
          <w:rPr>
            <w:rStyle w:val="Hyperlink"/>
          </w:rPr>
          <w:t xml:space="preserve">MoSPI CPI API user manual</w:t>
        </w:r>
      </w:hyperlink>
    </w:p>
    <w:p>
      <w:pPr>
        <w:pStyle w:val="ListParagraph"/>
        <w:numPr>
          <w:ilvl w:val="0"/>
          <w:numId w:val="5"/>
        </w:numPr>
      </w:pPr>
      <w:hyperlink r:id="rId3" w:history="1">
        <w:r>
          <w:rPr>
            <w:rStyle w:val="Hyperlink"/>
          </w:rPr>
          <w:t xml:space="preserve">Polymerupdate: Rupee@97, decoding the drivers of the slide</w:t>
        </w:r>
      </w:hyperlink>
    </w:p>
    <w:p>
      <w:pPr>
        <w:pStyle w:val="ListParagraph"/>
        <w:numPr>
          <w:ilvl w:val="0"/>
          <w:numId w:val="5"/>
        </w:numPr>
      </w:pPr>
      <w:r>
        <w:t xml:space="preserve">Economic Times, "Explained: What really drives the rupee" (provided by the group; not reachable from this workspace)</w:t>
      </w:r>
    </w:p>
    <w:p>
      <w:pPr>
        <w:pStyle w:val="Heading2"/>
      </w:pPr>
      <w:r>
        <w:t xml:space="preserve">Risks and limitations</w:t>
      </w:r>
    </w:p>
    <w:p>
      <w:pPr/>
      <w:r>
        <w:t xml:space="preserve">The biggest risks are two semi-manual series and the temptation to over-claim; each has a fallback that keeps the data real.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61"/>
        <w:gridCol w:w="2121"/>
        <w:gridCol w:w="4578"/>
      </w:tblGrid>
      <w:tr>
        <w:trPr>
          <w:tblHeader/>
        </w:trPr>
        <w:tc>
          <w:tcPr>
            <w:tcW w:w="2661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2121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4578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NSDL page layout blocks the scraper</w:t>
            </w:r>
          </w:p>
        </w:tc>
        <w:tc>
          <w:tcPr>
            <w:tcW w:w="2121" w:type="dxa"/>
          </w:tcPr>
          <w:p>
            <w:pPr/>
            <w:r>
              <w:t xml:space="preserve">No FPI data</w:t>
            </w:r>
          </w:p>
        </w:tc>
        <w:tc>
          <w:tcPr>
            <w:tcW w:w="4578" w:type="dxa"/>
          </w:tcPr>
          <w:p>
            <w:pPr/>
            <w:r>
              <w:t xml:space="preserve">Copy the NSDL monthly table into </w:t>
            </w:r>
            <w:r>
              <w:rPr>
                <w:rStyle w:val="CodeChar"/>
              </w:rPr>
              <w:t xml:space="preserve">fpi_monthly.csv</w:t>
            </w:r>
            <w:r>
              <w:t xml:space="preserve"> exactly as published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FRED India CPI ends Mar 2025</w:t>
            </w:r>
          </w:p>
        </w:tc>
        <w:tc>
          <w:tcPr>
            <w:tcW w:w="2121" w:type="dxa"/>
          </w:tcPr>
          <w:p>
            <w:pPr/>
            <w:r>
              <w:t xml:space="preserve">Inflation gap missing for recent months; sample shrinks</w:t>
            </w:r>
          </w:p>
        </w:tc>
        <w:tc>
          <w:tcPr>
            <w:tcW w:w="4578" w:type="dxa"/>
          </w:tcPr>
          <w:p>
            <w:pPr/>
            <w:r>
              <w:t xml:space="preserve">Add MoSPI headline CPI (about 18 months) to </w:t>
            </w:r>
            <w:r>
              <w:rPr>
                <w:rStyle w:val="CodeChar"/>
              </w:rPr>
              <w:t xml:space="preserve">india_cpi.csv</w:t>
            </w:r>
            <w:r>
              <w:t xml:space="preserve">, or use the MoSPI API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World Bank Pink Sheet URL changes yearly</w:t>
            </w:r>
          </w:p>
        </w:tc>
        <w:tc>
          <w:tcPr>
            <w:tcW w:w="2121" w:type="dxa"/>
          </w:tcPr>
          <w:p>
            <w:pPr/>
            <w:r>
              <w:t xml:space="preserve">Oil cross-check fails</w:t>
            </w:r>
          </w:p>
        </w:tc>
        <w:tc>
          <w:tcPr>
            <w:tcW w:w="4578" w:type="dxa"/>
          </w:tcPr>
          <w:p>
            <w:pPr/>
            <w:r>
              <w:t xml:space="preserve">Brent from FRED/EIA is primary; update the URL in config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Trade and reserves lag about 3 months</w:t>
            </w:r>
          </w:p>
        </w:tc>
        <w:tc>
          <w:tcPr>
            <w:tcW w:w="2121" w:type="dxa"/>
          </w:tcPr>
          <w:p>
            <w:pPr/>
            <w:r>
              <w:t xml:space="preserve">Model sample ends mid-2026</w:t>
            </w:r>
          </w:p>
        </w:tc>
        <w:tc>
          <w:tcPr>
            <w:tcW w:w="4578" w:type="dxa"/>
          </w:tcPr>
          <w:p>
            <w:pPr/>
            <w:r>
              <w:t xml:space="preserve">Pipeline reports the cut-off; dashboard rupee chart still runs to the latest month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RBI intervention is not in the data directly</w:t>
            </w:r>
          </w:p>
        </w:tc>
        <w:tc>
          <w:tcPr>
            <w:tcW w:w="2121" w:type="dxa"/>
          </w:tcPr>
          <w:p>
            <w:pPr/>
            <w:r>
              <w:t xml:space="preserve">Unexplained variation, especially in 2026</w:t>
            </w:r>
          </w:p>
        </w:tc>
        <w:tc>
          <w:tcPr>
            <w:tcW w:w="4578" w:type="dxa"/>
          </w:tcPr>
          <w:p>
            <w:pPr/>
            <w:r>
              <w:t xml:space="preserve">Use reserve changes as a proxy and state it as a limitation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Monthly averages smooth daily shocks</w:t>
            </w:r>
          </w:p>
        </w:tc>
        <w:tc>
          <w:tcPr>
            <w:tcW w:w="2121" w:type="dxa"/>
          </w:tcPr>
          <w:p>
            <w:pPr/>
            <w:r>
              <w:t xml:space="preserve">Lower apparent volatility</w:t>
            </w:r>
          </w:p>
        </w:tc>
        <w:tc>
          <w:tcPr>
            <w:tcW w:w="4578" w:type="dxa"/>
          </w:tcPr>
          <w:p>
            <w:pPr/>
            <w:r>
              <w:t xml:space="preserve">Also report month-end returns and daily volatility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Results read as causation</w:t>
            </w:r>
          </w:p>
        </w:tc>
        <w:tc>
          <w:tcPr>
            <w:tcW w:w="2121" w:type="dxa"/>
          </w:tcPr>
          <w:p>
            <w:pPr/>
            <w:r>
              <w:t xml:space="preserve">Misleading conclusions</w:t>
            </w:r>
          </w:p>
        </w:tc>
        <w:tc>
          <w:tcPr>
            <w:tcW w:w="4578" w:type="dxa"/>
          </w:tcPr>
          <w:p>
            <w:pPr/>
            <w:r>
              <w:t xml:space="preserve">Describe results as associations; Newey-West SEs; out-of-sample tests</w:t>
            </w:r>
          </w:p>
        </w:tc>
      </w:tr>
      <w:tr>
        <w:tc>
          <w:tcPr>
            <w:tcW w:w="2661" w:type="dxa"/>
          </w:tcPr>
          <w:p>
            <w:pPr/>
            <w:r>
              <w:t xml:space="preserve">Same-month drivers used for forecasting</w:t>
            </w:r>
          </w:p>
        </w:tc>
        <w:tc>
          <w:tcPr>
            <w:tcW w:w="2121" w:type="dxa"/>
          </w:tcPr>
          <w:p>
            <w:pPr/>
            <w:r>
              <w:t xml:space="preserve">Overstated accuracy</w:t>
            </w:r>
          </w:p>
        </w:tc>
        <w:tc>
          <w:tcPr>
            <w:tcW w:w="4578" w:type="dxa"/>
          </w:tcPr>
          <w:p>
            <w:pPr/>
            <w:r>
              <w:t xml:space="preserve">Separate early-warning (lagged) and nowcast models</w:t>
            </w:r>
          </w:p>
        </w:tc>
      </w:tr>
    </w:tbl>
    <w:p>
      <w:pPr/>
      <w:r>
        <w:rPr>
          <w:b/>
        </w:rPr>
        <w:t xml:space="preserve">Integrity rules for the group</w:t>
      </w:r>
    </w:p>
    <w:p>
      <w:pPr>
        <w:pStyle w:val="ListParagraph"/>
        <w:numPr>
          <w:ilvl w:val="0"/>
          <w:numId w:val="6"/>
        </w:numPr>
      </w:pPr>
      <w:r>
        <w:t xml:space="preserve">No team member types, estimates or fills a data value. Every number traces to </w:t>
      </w:r>
      <w:r>
        <w:rPr>
          <w:rStyle w:val="CodeChar"/>
        </w:rPr>
        <w:t xml:space="preserve">provenance.csv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Cite FRED, the World Bank, NSDL, MoSPI and any articles in APA style, per the course plagiarism policy.</w:t>
      </w:r>
    </w:p>
    <w:p>
      <w:pPr>
        <w:pStyle w:val="ListParagraph"/>
        <w:numPr>
          <w:ilvl w:val="0"/>
          <w:numId w:val="6"/>
        </w:numPr>
      </w:pPr>
      <w:r>
        <w:t xml:space="preserve">Report weak results honestly; a model that fails to beat the naive benchmark is a finding, not a failure.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polymerupdate.com/News/Details/1488089" TargetMode="External"/><Relationship Id="rId4" Type="http://schemas.openxmlformats.org/officeDocument/2006/relationships/hyperlink" Target="https://fred.stlouisfed.org/series/EXINUS" TargetMode="External"/><Relationship Id="rId5" Type="http://schemas.openxmlformats.org/officeDocument/2006/relationships/hyperlink" Target="https://fred.stlouisfed.org/series/DEXINUS" TargetMode="External"/><Relationship Id="rId6" Type="http://schemas.openxmlformats.org/officeDocument/2006/relationships/hyperlink" Target="https://thedocs.worldbank.org/en/doc/74e8be41ceb20fa0da750cda2f6b9e4e-0050012026/world-bank-commodities-price-data-the-pink-sheet" TargetMode="External"/><Relationship Id="rId7" Type="http://schemas.openxmlformats.org/officeDocument/2006/relationships/hyperlink" Target="https://fred.stlouisfed.org/series/INDIR3TIB01STM" TargetMode="External"/><Relationship Id="rId8" Type="http://schemas.openxmlformats.org/officeDocument/2006/relationships/hyperlink" Target="https://api.mospi.gov.in/API/CPI%20API%20User%20Manual.pdf" TargetMode="External"/><Relationship Id="rId9" Type="http://schemas.openxmlformats.org/officeDocument/2006/relationships/hyperlink" Target="https://fred.stlouisfed.org/series/XTEXVA01INM667S" TargetMode="External"/><Relationship Id="rId10" Type="http://schemas.openxmlformats.org/officeDocument/2006/relationships/hyperlink" Target="https://fred.stlouisfed.org/series/TRESEGINM052N" TargetMode="External"/><Relationship Id="rId11" Type="http://schemas.openxmlformats.org/officeDocument/2006/relationships/hyperlink" Target="https://www.fpi.nsdl.co.in/Reports/Yearwise.aspx?RptType=6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fred.stlouisfed.org/series/INDCPIALLMINMEI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What Really Drives the Rupee — Project Plan</dc:title>
  <dc:description>Claude Docs node/692b45f2-d82b@9 docx-w7</dc:description>
  <cp:revision>9</cp:revision>
</cp:coreProperties>
</file>