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2012" w:tblpY="2036"/>
        <w:tblW w:w="6658" w:type="dxa"/>
        <w:tblLook w:val="04A0" w:firstRow="1" w:lastRow="0" w:firstColumn="1" w:lastColumn="0" w:noHBand="0" w:noVBand="1"/>
      </w:tblPr>
      <w:tblGrid>
        <w:gridCol w:w="1161"/>
        <w:gridCol w:w="591"/>
        <w:gridCol w:w="592"/>
        <w:gridCol w:w="592"/>
        <w:gridCol w:w="702"/>
        <w:gridCol w:w="998"/>
        <w:gridCol w:w="2022"/>
      </w:tblGrid>
      <w:tr w:rsidR="00183625" w:rsidRPr="00DC6346" w:rsidTr="00183625">
        <w:trPr>
          <w:trHeight w:val="525"/>
        </w:trPr>
        <w:tc>
          <w:tcPr>
            <w:tcW w:w="46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Destination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183625" w:rsidRPr="00DC6346" w:rsidTr="00183625">
        <w:trPr>
          <w:trHeight w:val="4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8</w:t>
            </w:r>
          </w:p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8</w:t>
            </w:r>
          </w:p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4</w:t>
            </w:r>
          </w:p>
          <w:p w:rsidR="00183625" w:rsidRPr="00F05EB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</w:p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</w:p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</w:p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i/>
                <w:iCs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i/>
                <w:iCs/>
                <w:color w:val="000000"/>
                <w:sz w:val="24"/>
                <w:szCs w:val="24"/>
                <w:lang w:eastAsia="en-GB"/>
              </w:rPr>
              <w:t>11</w:t>
            </w:r>
          </w:p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8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8</w:t>
            </w:r>
          </w:p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8</w:t>
            </w:r>
          </w:p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3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183625" w:rsidRPr="00DC6346" w:rsidTr="00183625">
        <w:trPr>
          <w:trHeight w:val="45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Origin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Supply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183625" w:rsidRPr="00DC6346" w:rsidTr="00183625">
        <w:trPr>
          <w:trHeight w:val="81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20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22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17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4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 xml:space="preserve">13, </w:t>
            </w:r>
            <w:r w:rsidRPr="00905587">
              <w:rPr>
                <w:rFonts w:ascii="Play" w:eastAsia="Times New Roman" w:hAnsi="Play" w:cs="Arial"/>
                <w:i/>
                <w:iCs/>
                <w:color w:val="000000"/>
                <w:sz w:val="24"/>
                <w:szCs w:val="24"/>
                <w:lang w:eastAsia="en-GB"/>
              </w:rPr>
              <w:t>13</w:t>
            </w:r>
          </w:p>
        </w:tc>
      </w:tr>
      <w:tr w:rsidR="00183625" w:rsidRPr="00DC6346" w:rsidTr="00183625">
        <w:trPr>
          <w:trHeight w:val="81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24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37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9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7</w:t>
            </w:r>
          </w:p>
          <w:p w:rsidR="00183625" w:rsidRPr="00227E03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2,2,2,17</w:t>
            </w:r>
          </w:p>
        </w:tc>
      </w:tr>
      <w:tr w:rsidR="00183625" w:rsidRPr="00DC6346" w:rsidTr="00183625">
        <w:trPr>
          <w:trHeight w:val="81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32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37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20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15</w:t>
            </w:r>
          </w:p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905587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905587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5,5,5,</w:t>
            </w:r>
            <w:r w:rsidRPr="00905587">
              <w:rPr>
                <w:rFonts w:ascii="Play" w:eastAsia="Times New Roman" w:hAnsi="Play" w:cs="Arial"/>
                <w:i/>
                <w:iCs/>
                <w:color w:val="000000"/>
                <w:sz w:val="24"/>
                <w:szCs w:val="24"/>
                <w:lang w:eastAsia="en-GB"/>
              </w:rPr>
              <w:t>17</w:t>
            </w:r>
          </w:p>
        </w:tc>
      </w:tr>
      <w:tr w:rsidR="00183625" w:rsidRPr="00DC6346" w:rsidTr="00183625">
        <w:trPr>
          <w:trHeight w:val="81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b/>
                <w:bCs/>
                <w:color w:val="000000"/>
                <w:sz w:val="24"/>
                <w:szCs w:val="24"/>
                <w:lang w:eastAsia="en-GB"/>
              </w:rPr>
              <w:t>Demand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  <w:r w:rsidRPr="00DC6346"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  <w:t>240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83625" w:rsidRPr="00DC6346" w:rsidRDefault="00183625" w:rsidP="00183625">
            <w:pPr>
              <w:spacing w:after="0" w:line="240" w:lineRule="auto"/>
              <w:jc w:val="both"/>
              <w:rPr>
                <w:rFonts w:ascii="Play" w:eastAsia="Times New Roman" w:hAnsi="Play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05587" w:rsidRPr="00DC6346" w:rsidRDefault="00905587" w:rsidP="00905587">
      <w:pPr>
        <w:jc w:val="both"/>
        <w:rPr>
          <w:rFonts w:ascii="Play" w:hAnsi="Play"/>
          <w:sz w:val="24"/>
          <w:szCs w:val="24"/>
        </w:rPr>
      </w:pPr>
      <w:r w:rsidRPr="00DC6346">
        <w:rPr>
          <w:rFonts w:ascii="Play" w:hAnsi="Play"/>
          <w:sz w:val="24"/>
          <w:szCs w:val="24"/>
        </w:rPr>
        <w:t>2.</w:t>
      </w:r>
      <w:r w:rsidR="00183625">
        <w:rPr>
          <w:rFonts w:ascii="Play" w:hAnsi="Play"/>
          <w:sz w:val="24"/>
          <w:szCs w:val="24"/>
        </w:rPr>
        <w:t xml:space="preserve"> </w:t>
      </w:r>
      <w:bookmarkStart w:id="0" w:name="_GoBack"/>
      <w:bookmarkEnd w:id="0"/>
      <w:r w:rsidRPr="00DC6346">
        <w:rPr>
          <w:rFonts w:ascii="Play" w:hAnsi="Play"/>
          <w:sz w:val="24"/>
          <w:szCs w:val="24"/>
        </w:rPr>
        <w:t xml:space="preserve">Minimize the total transportation cost using Vogel's approximation method. </w:t>
      </w:r>
      <w:r w:rsidRPr="00DC6346">
        <w:rPr>
          <w:rFonts w:ascii="Play" w:hAnsi="Play"/>
          <w:sz w:val="24"/>
          <w:szCs w:val="24"/>
        </w:rPr>
        <w:tab/>
      </w:r>
      <w:r w:rsidRPr="00DC6346">
        <w:rPr>
          <w:rFonts w:ascii="Play" w:hAnsi="Play"/>
          <w:sz w:val="24"/>
          <w:szCs w:val="24"/>
        </w:rPr>
        <w:tab/>
      </w:r>
    </w:p>
    <w:p w:rsidR="00905587" w:rsidRPr="00DC6346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Pr="00DC6346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  <w:r w:rsidRPr="00DC6346">
        <w:rPr>
          <w:rFonts w:ascii="Play" w:hAnsi="Play"/>
          <w:sz w:val="24"/>
          <w:szCs w:val="24"/>
        </w:rPr>
        <w:tab/>
      </w:r>
      <w:r w:rsidRPr="00DC6346">
        <w:rPr>
          <w:rFonts w:ascii="Play" w:hAnsi="Play"/>
          <w:sz w:val="24"/>
          <w:szCs w:val="24"/>
        </w:rPr>
        <w:tab/>
      </w:r>
      <w:r w:rsidRPr="00DC6346">
        <w:rPr>
          <w:rFonts w:ascii="Play" w:hAnsi="Play"/>
          <w:sz w:val="24"/>
          <w:szCs w:val="24"/>
        </w:rPr>
        <w:tab/>
      </w: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905587" w:rsidRDefault="00905587" w:rsidP="00905587">
      <w:pPr>
        <w:jc w:val="both"/>
        <w:rPr>
          <w:rFonts w:ascii="Play" w:hAnsi="Play"/>
          <w:b/>
          <w:bCs/>
          <w:sz w:val="24"/>
          <w:szCs w:val="24"/>
        </w:rPr>
      </w:pPr>
      <w:r>
        <w:rPr>
          <w:rFonts w:ascii="Play" w:hAnsi="Play"/>
          <w:sz w:val="24"/>
          <w:szCs w:val="24"/>
        </w:rPr>
        <w:t xml:space="preserve">Total </w:t>
      </w:r>
      <w:r w:rsidRPr="00DC6346">
        <w:rPr>
          <w:rFonts w:ascii="Play" w:hAnsi="Play"/>
          <w:sz w:val="24"/>
          <w:szCs w:val="24"/>
        </w:rPr>
        <w:t>transportation cost</w:t>
      </w:r>
      <w:r>
        <w:rPr>
          <w:rFonts w:ascii="Play" w:hAnsi="Play"/>
          <w:sz w:val="24"/>
          <w:szCs w:val="24"/>
        </w:rPr>
        <w:t xml:space="preserve"> = 22 x 40 + 4 x 80 + 24 x 40 + 9 x 30 + 32 x 20 + 15 x 30 =$</w:t>
      </w:r>
      <w:r>
        <w:rPr>
          <w:rFonts w:ascii="Play" w:hAnsi="Play"/>
          <w:b/>
          <w:bCs/>
          <w:sz w:val="24"/>
          <w:szCs w:val="24"/>
        </w:rPr>
        <w:t>3,520</w:t>
      </w: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905587">
      <w:pPr>
        <w:jc w:val="both"/>
        <w:rPr>
          <w:rFonts w:ascii="Play" w:hAnsi="Play"/>
          <w:b/>
          <w:bCs/>
          <w:sz w:val="24"/>
          <w:szCs w:val="24"/>
        </w:rPr>
      </w:pPr>
    </w:p>
    <w:p w:rsidR="00183625" w:rsidRDefault="00183625" w:rsidP="00183625">
      <w:pPr>
        <w:pStyle w:val="NormalWeb"/>
        <w:jc w:val="both"/>
        <w:rPr>
          <w:rFonts w:ascii="Calibri" w:hAnsi="Calibri" w:cs="Calibri"/>
        </w:rPr>
      </w:pPr>
      <w:r>
        <w:rPr>
          <w:rFonts w:ascii="Play" w:hAnsi="Play"/>
        </w:rPr>
        <w:lastRenderedPageBreak/>
        <w:t xml:space="preserve">1. </w:t>
      </w:r>
      <w:r w:rsidRPr="00DC6346">
        <w:rPr>
          <w:rFonts w:ascii="Play" w:hAnsi="Play"/>
        </w:rPr>
        <w:t>What has aided the globalization phenomena in relation to the location of facilities in the last 25-30 years?</w:t>
      </w:r>
      <w:r>
        <w:rPr>
          <w:rFonts w:ascii="Play" w:hAnsi="Play"/>
        </w:rPr>
        <w:t xml:space="preserve"> </w:t>
      </w:r>
      <w:r w:rsidRPr="00DC6346">
        <w:rPr>
          <w:rFonts w:ascii="Play" w:hAnsi="Play"/>
        </w:rPr>
        <w:t>Write about the factors which influenced this change.</w:t>
      </w:r>
      <w:r w:rsidRPr="00DC6346">
        <w:rPr>
          <w:rFonts w:ascii="Calibri" w:hAnsi="Calibri" w:cs="Calibri"/>
        </w:rPr>
        <w:t> </w:t>
      </w:r>
    </w:p>
    <w:p w:rsidR="00183625" w:rsidRPr="00183625" w:rsidRDefault="00183625" w:rsidP="00183625">
      <w:pPr>
        <w:pStyle w:val="NormalWeb"/>
        <w:jc w:val="both"/>
        <w:rPr>
          <w:rFonts w:ascii="Calibri" w:hAnsi="Calibri" w:cs="Calibri"/>
        </w:rPr>
      </w:pPr>
      <w:r w:rsidRPr="00721DC4">
        <w:rPr>
          <w:rFonts w:ascii="Play" w:hAnsi="Play"/>
        </w:rPr>
        <w:t xml:space="preserve">Current globalization trends can be largely accounted for by developed economies integrating with less developed economies by means of </w:t>
      </w:r>
      <w:hyperlink r:id="rId4" w:tooltip="Foreign direct investment" w:history="1">
        <w:r w:rsidRPr="00721DC4">
          <w:rPr>
            <w:rStyle w:val="Hyperlink"/>
            <w:rFonts w:ascii="Play" w:hAnsi="Play"/>
            <w:color w:val="auto"/>
            <w:u w:val="none"/>
          </w:rPr>
          <w:t>foreign direct investment</w:t>
        </w:r>
      </w:hyperlink>
      <w:r w:rsidRPr="00721DC4">
        <w:rPr>
          <w:rFonts w:ascii="Play" w:hAnsi="Play"/>
        </w:rPr>
        <w:t xml:space="preserve">, the reduction of trade barriers as well as other economic reforms, and, in many cases, </w:t>
      </w:r>
      <w:hyperlink r:id="rId5" w:tooltip="Immigration" w:history="1">
        <w:r w:rsidRPr="00721DC4">
          <w:rPr>
            <w:rStyle w:val="Hyperlink"/>
            <w:rFonts w:ascii="Play" w:hAnsi="Play"/>
            <w:color w:val="auto"/>
            <w:u w:val="none"/>
          </w:rPr>
          <w:t>immigration</w:t>
        </w:r>
      </w:hyperlink>
      <w:r w:rsidRPr="00721DC4">
        <w:rPr>
          <w:rFonts w:ascii="Play" w:hAnsi="Play"/>
        </w:rPr>
        <w:t xml:space="preserve">. </w:t>
      </w:r>
    </w:p>
    <w:p w:rsidR="00183625" w:rsidRPr="00721DC4" w:rsidRDefault="00183625" w:rsidP="00183625">
      <w:pPr>
        <w:pStyle w:val="NormalWeb"/>
        <w:jc w:val="both"/>
        <w:rPr>
          <w:rFonts w:ascii="Play" w:hAnsi="Play"/>
        </w:rPr>
      </w:pPr>
      <w:hyperlink r:id="rId6" w:tooltip="International standard" w:history="1">
        <w:r w:rsidRPr="00721DC4">
          <w:rPr>
            <w:rStyle w:val="Hyperlink"/>
            <w:rFonts w:ascii="Play" w:hAnsi="Play"/>
            <w:color w:val="auto"/>
            <w:u w:val="none"/>
          </w:rPr>
          <w:t>International standards</w:t>
        </w:r>
      </w:hyperlink>
      <w:r w:rsidRPr="00721DC4">
        <w:rPr>
          <w:rFonts w:ascii="Play" w:hAnsi="Play"/>
        </w:rPr>
        <w:t xml:space="preserve"> have made trade in goods and services more efficient. An example of such standard is the </w:t>
      </w:r>
      <w:hyperlink r:id="rId7" w:tooltip="Intermodal container" w:history="1">
        <w:r w:rsidRPr="00B60C4C">
          <w:rPr>
            <w:rStyle w:val="Hyperlink"/>
            <w:rFonts w:ascii="Play" w:hAnsi="Play"/>
            <w:i/>
            <w:iCs/>
            <w:color w:val="auto"/>
            <w:u w:val="none"/>
          </w:rPr>
          <w:t>intermodal container</w:t>
        </w:r>
      </w:hyperlink>
      <w:r w:rsidRPr="00721DC4">
        <w:rPr>
          <w:rFonts w:ascii="Play" w:hAnsi="Play"/>
        </w:rPr>
        <w:t xml:space="preserve">. </w:t>
      </w:r>
      <w:hyperlink r:id="rId8" w:tooltip="Containerization" w:history="1">
        <w:r w:rsidRPr="00721DC4">
          <w:rPr>
            <w:rStyle w:val="Hyperlink"/>
            <w:rFonts w:ascii="Play" w:hAnsi="Play"/>
            <w:color w:val="auto"/>
            <w:u w:val="none"/>
          </w:rPr>
          <w:t>Containerization</w:t>
        </w:r>
      </w:hyperlink>
      <w:r w:rsidRPr="00721DC4">
        <w:rPr>
          <w:rFonts w:ascii="Play" w:hAnsi="Play"/>
        </w:rPr>
        <w:t xml:space="preserve"> dramatically reduced transport of its costs, supported the post-war boom in </w:t>
      </w:r>
      <w:hyperlink r:id="rId9" w:tooltip="International trade" w:history="1">
        <w:r w:rsidRPr="00721DC4">
          <w:rPr>
            <w:rStyle w:val="Hyperlink"/>
            <w:rFonts w:ascii="Play" w:hAnsi="Play"/>
            <w:color w:val="auto"/>
            <w:u w:val="none"/>
          </w:rPr>
          <w:t>international trade</w:t>
        </w:r>
      </w:hyperlink>
      <w:r w:rsidRPr="00721DC4">
        <w:rPr>
          <w:rFonts w:ascii="Play" w:hAnsi="Play"/>
        </w:rPr>
        <w:t xml:space="preserve">, and was a major element in globalization. </w:t>
      </w:r>
    </w:p>
    <w:p w:rsidR="00183625" w:rsidRDefault="00183625" w:rsidP="00183625">
      <w:pPr>
        <w:pStyle w:val="NormalWeb"/>
        <w:jc w:val="both"/>
        <w:rPr>
          <w:rFonts w:ascii="Play" w:hAnsi="Play"/>
        </w:rPr>
      </w:pPr>
      <w:r w:rsidRPr="00721DC4">
        <w:rPr>
          <w:rFonts w:ascii="Play" w:hAnsi="Play"/>
        </w:rPr>
        <w:t xml:space="preserve">A </w:t>
      </w:r>
      <w:hyperlink r:id="rId10" w:tooltip="Free-trade area" w:history="1">
        <w:r w:rsidRPr="00721DC4">
          <w:rPr>
            <w:rStyle w:val="Hyperlink"/>
            <w:rFonts w:ascii="Play" w:hAnsi="Play"/>
            <w:color w:val="auto"/>
            <w:u w:val="none"/>
          </w:rPr>
          <w:t>free-trade area</w:t>
        </w:r>
      </w:hyperlink>
      <w:r w:rsidRPr="00721DC4">
        <w:rPr>
          <w:rFonts w:ascii="Play" w:hAnsi="Play"/>
        </w:rPr>
        <w:t xml:space="preserve"> is the region encompassing a </w:t>
      </w:r>
      <w:hyperlink r:id="rId11" w:tooltip="Trade bloc" w:history="1">
        <w:r w:rsidRPr="00721DC4">
          <w:rPr>
            <w:rStyle w:val="Hyperlink"/>
            <w:rFonts w:ascii="Play" w:hAnsi="Play"/>
            <w:color w:val="auto"/>
            <w:u w:val="none"/>
          </w:rPr>
          <w:t>trade bloc</w:t>
        </w:r>
      </w:hyperlink>
      <w:r w:rsidRPr="00721DC4">
        <w:rPr>
          <w:rFonts w:ascii="Play" w:hAnsi="Play"/>
        </w:rPr>
        <w:t xml:space="preserve"> whose member countries have signed a </w:t>
      </w:r>
      <w:hyperlink r:id="rId12" w:tooltip="Free trade" w:history="1">
        <w:r w:rsidRPr="00721DC4">
          <w:rPr>
            <w:rStyle w:val="Hyperlink"/>
            <w:rFonts w:ascii="Play" w:hAnsi="Play"/>
            <w:color w:val="auto"/>
            <w:u w:val="none"/>
          </w:rPr>
          <w:t>free-trade</w:t>
        </w:r>
      </w:hyperlink>
      <w:r w:rsidRPr="00721DC4">
        <w:rPr>
          <w:rFonts w:ascii="Play" w:hAnsi="Play"/>
        </w:rPr>
        <w:t xml:space="preserve"> agreement (FTA). Such agreements involve cooperation between at least two countries to reduce trade barriers</w:t>
      </w:r>
      <w:r w:rsidRPr="00721DC4">
        <w:rPr>
          <w:rFonts w:ascii="Calibri" w:hAnsi="Calibri" w:cs="Calibri"/>
        </w:rPr>
        <w:t> </w:t>
      </w:r>
      <w:r w:rsidRPr="00721DC4">
        <w:rPr>
          <w:rFonts w:ascii="Play" w:hAnsi="Play" w:cs="Play"/>
        </w:rPr>
        <w:t>–</w:t>
      </w:r>
      <w:r w:rsidRPr="00721DC4">
        <w:rPr>
          <w:rFonts w:ascii="Play" w:hAnsi="Play"/>
        </w:rPr>
        <w:t xml:space="preserve"> </w:t>
      </w:r>
      <w:hyperlink r:id="rId13" w:tooltip="Import quota" w:history="1">
        <w:r w:rsidRPr="00721DC4">
          <w:rPr>
            <w:rStyle w:val="Hyperlink"/>
            <w:rFonts w:ascii="Play" w:hAnsi="Play"/>
            <w:color w:val="auto"/>
            <w:u w:val="none"/>
          </w:rPr>
          <w:t>import quotas</w:t>
        </w:r>
      </w:hyperlink>
      <w:r w:rsidRPr="00721DC4">
        <w:rPr>
          <w:rFonts w:ascii="Play" w:hAnsi="Play"/>
        </w:rPr>
        <w:t xml:space="preserve"> and </w:t>
      </w:r>
      <w:hyperlink r:id="rId14" w:tooltip="Tariff" w:history="1">
        <w:r w:rsidRPr="00721DC4">
          <w:rPr>
            <w:rStyle w:val="Hyperlink"/>
            <w:rFonts w:ascii="Play" w:hAnsi="Play"/>
            <w:color w:val="auto"/>
            <w:u w:val="none"/>
          </w:rPr>
          <w:t>tariffs</w:t>
        </w:r>
      </w:hyperlink>
      <w:r w:rsidRPr="00721DC4">
        <w:rPr>
          <w:rFonts w:ascii="Calibri" w:hAnsi="Calibri" w:cs="Calibri"/>
        </w:rPr>
        <w:t> </w:t>
      </w:r>
      <w:r w:rsidRPr="00721DC4">
        <w:rPr>
          <w:rFonts w:ascii="Play" w:hAnsi="Play"/>
        </w:rPr>
        <w:t xml:space="preserve">– and to increase trade of </w:t>
      </w:r>
      <w:hyperlink r:id="rId15" w:tooltip="Good (economics)" w:history="1">
        <w:r w:rsidRPr="00721DC4">
          <w:rPr>
            <w:rStyle w:val="Hyperlink"/>
            <w:rFonts w:ascii="Play" w:hAnsi="Play"/>
            <w:color w:val="auto"/>
            <w:u w:val="none"/>
          </w:rPr>
          <w:t>goods</w:t>
        </w:r>
      </w:hyperlink>
      <w:r w:rsidRPr="00721DC4">
        <w:rPr>
          <w:rFonts w:ascii="Play" w:hAnsi="Play"/>
        </w:rPr>
        <w:t xml:space="preserve"> and services with each other.</w:t>
      </w:r>
      <w:r>
        <w:rPr>
          <w:rFonts w:ascii="Play" w:hAnsi="Play"/>
        </w:rPr>
        <w:t xml:space="preserve">, e.g. </w:t>
      </w:r>
      <w:r w:rsidRPr="00152E75">
        <w:rPr>
          <w:rFonts w:ascii="Play" w:hAnsi="Play"/>
        </w:rPr>
        <w:t>North American Free Trade Agreement (NAFTA</w:t>
      </w:r>
      <w:r>
        <w:rPr>
          <w:rFonts w:ascii="Play" w:hAnsi="Play"/>
        </w:rPr>
        <w:t>.)</w:t>
      </w:r>
    </w:p>
    <w:p w:rsidR="00183625" w:rsidRPr="00721DC4" w:rsidRDefault="00183625" w:rsidP="00183625">
      <w:pPr>
        <w:pStyle w:val="NormalWeb"/>
        <w:jc w:val="both"/>
        <w:rPr>
          <w:rFonts w:ascii="Play" w:hAnsi="Play"/>
        </w:rPr>
      </w:pPr>
      <w:r w:rsidRPr="00721DC4">
        <w:rPr>
          <w:rFonts w:ascii="Play" w:hAnsi="Play"/>
        </w:rPr>
        <w:t xml:space="preserve">If people are also free to move between the countries, in addition to a free-trade agreement, it would also be considered an </w:t>
      </w:r>
      <w:hyperlink r:id="rId16" w:tooltip="Open border" w:history="1">
        <w:r w:rsidRPr="00721DC4">
          <w:rPr>
            <w:rStyle w:val="Hyperlink"/>
            <w:rFonts w:ascii="Play" w:hAnsi="Play"/>
            <w:color w:val="auto"/>
            <w:u w:val="none"/>
          </w:rPr>
          <w:t>open border</w:t>
        </w:r>
      </w:hyperlink>
      <w:r>
        <w:rPr>
          <w:rFonts w:ascii="Play" w:hAnsi="Play"/>
        </w:rPr>
        <w:t xml:space="preserve">, e.g.  The </w:t>
      </w:r>
      <w:r w:rsidRPr="00152E75">
        <w:rPr>
          <w:rFonts w:ascii="Play" w:hAnsi="Play"/>
        </w:rPr>
        <w:t>European</w:t>
      </w:r>
      <w:r>
        <w:rPr>
          <w:rFonts w:ascii="Play" w:hAnsi="Play"/>
        </w:rPr>
        <w:t xml:space="preserve"> </w:t>
      </w:r>
      <w:r w:rsidRPr="00152E75">
        <w:rPr>
          <w:rFonts w:ascii="Play" w:hAnsi="Play"/>
        </w:rPr>
        <w:t xml:space="preserve">Union (EU) </w:t>
      </w:r>
      <w:r w:rsidRPr="00721DC4">
        <w:rPr>
          <w:rFonts w:ascii="Play" w:hAnsi="Play"/>
        </w:rPr>
        <w:t xml:space="preserve">has developed </w:t>
      </w:r>
      <w:hyperlink r:id="rId17" w:tooltip="European Single Market" w:history="1">
        <w:r w:rsidRPr="00721DC4">
          <w:rPr>
            <w:rStyle w:val="Hyperlink"/>
            <w:rFonts w:ascii="Play" w:hAnsi="Play"/>
            <w:color w:val="auto"/>
            <w:u w:val="none"/>
          </w:rPr>
          <w:t>European Single Market</w:t>
        </w:r>
      </w:hyperlink>
      <w:r w:rsidRPr="00721DC4">
        <w:rPr>
          <w:rFonts w:ascii="Play" w:hAnsi="Play"/>
        </w:rPr>
        <w:t xml:space="preserve"> through a standardised system of laws that apply in all member states. EU policies aim to ensure the </w:t>
      </w:r>
      <w:hyperlink r:id="rId18" w:tooltip="Single market" w:history="1">
        <w:r w:rsidRPr="00721DC4">
          <w:rPr>
            <w:rStyle w:val="Hyperlink"/>
            <w:rFonts w:ascii="Play" w:hAnsi="Play"/>
            <w:color w:val="auto"/>
            <w:u w:val="none"/>
          </w:rPr>
          <w:t>free movement of people, goods, services, and capital</w:t>
        </w:r>
      </w:hyperlink>
      <w:r>
        <w:rPr>
          <w:rFonts w:ascii="Play" w:hAnsi="Play"/>
        </w:rPr>
        <w:t xml:space="preserve"> within the internal market. </w:t>
      </w:r>
    </w:p>
    <w:p w:rsidR="00183625" w:rsidRPr="00721DC4" w:rsidRDefault="00183625" w:rsidP="00183625">
      <w:pPr>
        <w:jc w:val="both"/>
        <w:rPr>
          <w:rFonts w:ascii="Play" w:hAnsi="Play"/>
          <w:sz w:val="24"/>
          <w:szCs w:val="24"/>
        </w:rPr>
      </w:pPr>
      <w:r>
        <w:rPr>
          <w:rFonts w:ascii="Play" w:hAnsi="Play"/>
          <w:sz w:val="24"/>
          <w:szCs w:val="24"/>
        </w:rPr>
        <w:t xml:space="preserve">Main </w:t>
      </w:r>
      <w:r w:rsidRPr="00721DC4">
        <w:rPr>
          <w:rFonts w:ascii="Play" w:hAnsi="Play"/>
          <w:sz w:val="24"/>
          <w:szCs w:val="24"/>
        </w:rPr>
        <w:t>Reference :</w:t>
      </w:r>
    </w:p>
    <w:p w:rsidR="00183625" w:rsidRDefault="00183625" w:rsidP="00183625">
      <w:pPr>
        <w:jc w:val="both"/>
        <w:rPr>
          <w:rFonts w:ascii="Play" w:hAnsi="Play"/>
          <w:b/>
          <w:bCs/>
          <w:sz w:val="24"/>
          <w:szCs w:val="24"/>
        </w:rPr>
      </w:pPr>
      <w:hyperlink r:id="rId19" w:anchor="Economic_globalization" w:history="1">
        <w:r w:rsidRPr="00721DC4">
          <w:rPr>
            <w:rStyle w:val="Hyperlink"/>
            <w:rFonts w:ascii="Play" w:hAnsi="Play"/>
            <w:color w:val="auto"/>
            <w:sz w:val="24"/>
            <w:szCs w:val="24"/>
            <w:u w:val="none"/>
          </w:rPr>
          <w:t>https://en.wikipedia.org/wiki/Globalization#Economic_globalization</w:t>
        </w:r>
      </w:hyperlink>
    </w:p>
    <w:p w:rsidR="00905587" w:rsidRPr="00721DC4" w:rsidRDefault="00905587" w:rsidP="00905587">
      <w:pPr>
        <w:jc w:val="both"/>
        <w:rPr>
          <w:rFonts w:ascii="Play" w:hAnsi="Play"/>
          <w:sz w:val="24"/>
          <w:szCs w:val="24"/>
        </w:rPr>
      </w:pPr>
    </w:p>
    <w:p w:rsidR="00597C15" w:rsidRPr="00A40489" w:rsidRDefault="00597C15" w:rsidP="00905587">
      <w:pPr>
        <w:jc w:val="both"/>
        <w:rPr>
          <w:rFonts w:ascii="Play" w:hAnsi="Play"/>
          <w:sz w:val="24"/>
          <w:szCs w:val="24"/>
        </w:rPr>
      </w:pPr>
    </w:p>
    <w:sectPr w:rsidR="00597C15" w:rsidRPr="00A4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QwMbAwMDczMTQxNzBR0lEKTi0uzszPAykwqQUAIXBSmSwAAAA="/>
  </w:docVars>
  <w:rsids>
    <w:rsidRoot w:val="00DC6346"/>
    <w:rsid w:val="000C17E4"/>
    <w:rsid w:val="00152E75"/>
    <w:rsid w:val="00183625"/>
    <w:rsid w:val="001F587E"/>
    <w:rsid w:val="0021211A"/>
    <w:rsid w:val="002265BC"/>
    <w:rsid w:val="00227E03"/>
    <w:rsid w:val="002E6DD5"/>
    <w:rsid w:val="00400F33"/>
    <w:rsid w:val="00597C15"/>
    <w:rsid w:val="006726DE"/>
    <w:rsid w:val="00721DC4"/>
    <w:rsid w:val="0077785C"/>
    <w:rsid w:val="007B191A"/>
    <w:rsid w:val="007E7D01"/>
    <w:rsid w:val="00895FFF"/>
    <w:rsid w:val="00905587"/>
    <w:rsid w:val="00A40489"/>
    <w:rsid w:val="00A81A57"/>
    <w:rsid w:val="00B60C4C"/>
    <w:rsid w:val="00D13447"/>
    <w:rsid w:val="00D80425"/>
    <w:rsid w:val="00DC6346"/>
    <w:rsid w:val="00E20A59"/>
    <w:rsid w:val="00E64D20"/>
    <w:rsid w:val="00EB269B"/>
    <w:rsid w:val="00F0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260F"/>
  <w15:chartTrackingRefBased/>
  <w15:docId w15:val="{DB2AA7A7-B107-460E-BC93-E8547806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97C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37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919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453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002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576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80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194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ainerization" TargetMode="External"/><Relationship Id="rId13" Type="http://schemas.openxmlformats.org/officeDocument/2006/relationships/hyperlink" Target="https://en.wikipedia.org/wiki/Import_quota" TargetMode="External"/><Relationship Id="rId18" Type="http://schemas.openxmlformats.org/officeDocument/2006/relationships/hyperlink" Target="https://en.wikipedia.org/wiki/Single_marke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ntermodal_container" TargetMode="External"/><Relationship Id="rId12" Type="http://schemas.openxmlformats.org/officeDocument/2006/relationships/hyperlink" Target="https://en.wikipedia.org/wiki/Free_trade" TargetMode="External"/><Relationship Id="rId17" Type="http://schemas.openxmlformats.org/officeDocument/2006/relationships/hyperlink" Target="https://en.wikipedia.org/wiki/European_Single_Mark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pen_bord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ational_standard" TargetMode="External"/><Relationship Id="rId11" Type="http://schemas.openxmlformats.org/officeDocument/2006/relationships/hyperlink" Target="https://en.wikipedia.org/wiki/Trade_bloc" TargetMode="External"/><Relationship Id="rId5" Type="http://schemas.openxmlformats.org/officeDocument/2006/relationships/hyperlink" Target="https://en.wikipedia.org/wiki/Immigration" TargetMode="External"/><Relationship Id="rId15" Type="http://schemas.openxmlformats.org/officeDocument/2006/relationships/hyperlink" Target="https://en.wikipedia.org/wiki/Good_(economics)" TargetMode="External"/><Relationship Id="rId10" Type="http://schemas.openxmlformats.org/officeDocument/2006/relationships/hyperlink" Target="https://en.wikipedia.org/wiki/Free-trade_area" TargetMode="External"/><Relationship Id="rId19" Type="http://schemas.openxmlformats.org/officeDocument/2006/relationships/hyperlink" Target="https://en.wikipedia.org/wiki/Globalization" TargetMode="External"/><Relationship Id="rId4" Type="http://schemas.openxmlformats.org/officeDocument/2006/relationships/hyperlink" Target="https://en.wikipedia.org/wiki/Foreign_direct_investment" TargetMode="External"/><Relationship Id="rId9" Type="http://schemas.openxmlformats.org/officeDocument/2006/relationships/hyperlink" Target="https://en.wikipedia.org/wiki/International_trade" TargetMode="External"/><Relationship Id="rId14" Type="http://schemas.openxmlformats.org/officeDocument/2006/relationships/hyperlink" Target="https://en.wikipedia.org/wiki/Tar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24</cp:revision>
  <cp:lastPrinted>2018-12-23T03:30:00Z</cp:lastPrinted>
  <dcterms:created xsi:type="dcterms:W3CDTF">2018-12-21T04:40:00Z</dcterms:created>
  <dcterms:modified xsi:type="dcterms:W3CDTF">2018-12-23T03:30:00Z</dcterms:modified>
</cp:coreProperties>
</file>