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Helvetica Neue" w:cs="Helvetica Neue" w:eastAsia="Helvetica Neue" w:hAnsi="Helvetica Neue"/>
          <w:b w:val="1"/>
          <w:bCs w:val="1"/>
          <w:sz w:val="46"/>
          <w:szCs w:val="46"/>
        </w:rPr>
      </w:pPr>
      <w:bookmarkStart w:colFirst="0" w:colLast="0" w:name="_a19ei5b5r11" w:id="0"/>
      <w:bookmarkEnd w:id="0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46"/>
          <w:szCs w:val="46"/>
          <w:rtl w:val="0"/>
        </w:rPr>
        <w:t xml:space="preserve">Documentazione DataBase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rFonts w:ascii="Helvetica Neue" w:cs="Helvetica Neue" w:eastAsia="Helvetica Neue" w:hAnsi="Helvetica Neue"/>
          <w:b w:val="1"/>
          <w:bCs w:val="1"/>
          <w:sz w:val="34"/>
          <w:szCs w:val="34"/>
        </w:rPr>
      </w:pPr>
      <w:bookmarkStart w:colFirst="0" w:colLast="0" w:name="_sfciadr5xee6" w:id="1"/>
      <w:bookmarkEnd w:id="1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34"/>
          <w:szCs w:val="34"/>
          <w:rtl w:val="0"/>
        </w:rPr>
        <w:t xml:space="preserve">Tipologia di dati gestiti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sistema deve essere in grado di acquisire, memorizzare e gestire diverse tipologie di dati provenienti dai sensori e dai dispositivi installati sulle arnie. In particolare, vengono raccolti: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peso dell’arnia (kg)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indicatore della produzione e dello stato generale della colonia;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temperatura interna (°C)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utile per individuare condizioni ambientali critiche o anomalie;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umidità interna (%)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fondamentale per il benessere delle api e la conservazione del miele;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livello dell’acqua (%)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necessario per monitorare la disponibilità idrica;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rumore (dB)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per individuare stress della colonia, presenza di predatori o eventi anomali;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dati multimediali relativi all’ingresso dell’arnia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come immagini in formato BMP o simili, utilizzati per analizzare il traffico delle api in entrata e uscita.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La conoscenza del tipo di dato, dell’unità di misura, della frequenza di acquisizione e della finalità di utilizzo consente un corretto dimensionamento del database e una gestione efficiente delle risorse di memorizzazione.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rFonts w:ascii="Helvetica Neue" w:cs="Helvetica Neue" w:eastAsia="Helvetica Neue" w:hAnsi="Helvetica Neue"/>
          <w:b w:val="1"/>
          <w:bCs w:val="1"/>
          <w:sz w:val="34"/>
          <w:szCs w:val="34"/>
        </w:rPr>
      </w:pPr>
      <w:bookmarkStart w:colFirst="0" w:colLast="0" w:name="_bbifmrifaur0" w:id="2"/>
      <w:bookmarkEnd w:id="2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34"/>
          <w:szCs w:val="34"/>
          <w:rtl w:val="0"/>
        </w:rPr>
        <w:t xml:space="preserve">Requisiti funzionali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mc3wg97rnkn" w:id="3"/>
      <w:bookmarkEnd w:id="3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Gestione e organizzazione dei dati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sistema deve consentire una gestione strutturata delle misurazioni, permettendo l’associazione dei dati alle specifiche arnie, ai sensori installati e ai relativi apiari.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Le informazioni devono essere consultabili tramite filtri temporali e strumenti statistici, così da analizzare l’andamento dei parametri monitorati nel tempo e supportare le attività decisionali dell’utente.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m12kardeski6" w:id="4"/>
      <w:bookmarkEnd w:id="4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Gestione di più apiari e arnie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database deve essere progettato in modo scalabile, consentendo la gestione di più apiari, ciascuno contenente più arnie.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Questa organizzazione gerarchica permette una visione ordinata del sistema e lo rende adatto sia a piccoli apicoltori sia a contesti più estesi e complessi.</w:t>
        <w:br w:type="textWrapping"/>
        <w:t xml:space="preserve">Ogni arnia è identificata in modo univoco e può essere associata a uno o più sensori, che producono rilevazioni periodiche o su richiesta.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84unjtxxs2ao" w:id="5"/>
      <w:bookmarkEnd w:id="5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Gestione degli utenti e dei permessi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sistema deve prevedere la presenza di diversi tipi di utente: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Admin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responsabile della gestione del software e degli utenti. L’amministratore può visualizzare tutte le informazioni presenti nel database e modificare le entità principali (apiari, arnie e sensori), con la possibilità di intervenire sulle soglie dei sensori.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Utente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che può accedere al sistema per monitorare le arnie e consultare i dati. L’utente può inserire e modificare apiari, arnie e sensori, ma con permessi limitati rispetto all’amministratore.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La gestione differenziata dei permessi garantisce sicurezza, controllo e corretto utilizzo del sistema.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yngy0incfzm0" w:id="6"/>
      <w:bookmarkEnd w:id="6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Sistema di notifiche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database deve supportare meccanismi per l’individuazione automatica di valori anomali, condizioni critiche o superamenti di soglie predefinite impostate sui sensori.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In tali situazioni, il sistema deve generare notifiche associate alle rilevazioni che le hanno attivate, al fine di informare tempestivamente l’apicoltore e consentire interventi rapidi.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jtldpeiuynwy" w:id="7"/>
      <w:bookmarkEnd w:id="7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Misurazioni su richiesta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Oltre alla raccolta automatica dei dati, il sistema deve permettere l’acquisizione di misurazioni su richiesta, ad esempio in seguito a controlli manuali, eventi particolari o verifiche straordinarie effettuate dall’utente.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rFonts w:ascii="Helvetica Neue" w:cs="Helvetica Neue" w:eastAsia="Helvetica Neue" w:hAnsi="Helvetica Neue"/>
          <w:b w:val="1"/>
          <w:bCs w:val="1"/>
          <w:sz w:val="34"/>
          <w:szCs w:val="34"/>
        </w:rPr>
      </w:pPr>
      <w:bookmarkStart w:colFirst="0" w:colLast="0" w:name="_doqgieei6r3y" w:id="8"/>
      <w:bookmarkEnd w:id="8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34"/>
          <w:szCs w:val="34"/>
          <w:rtl w:val="0"/>
        </w:rPr>
        <w:t xml:space="preserve">Requisiti non funzionali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h7yb87c819s" w:id="9"/>
      <w:bookmarkEnd w:id="9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Conservazione dei dati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sistema deve garantire la conservazione dello storico delle misurazioni per un periodo minimo di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due mesi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assicurando la disponibilità dei dati per analisi, confronti e verifiche successive.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6z2i60wc3kxt" w:id="10"/>
      <w:bookmarkEnd w:id="10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Backup e sicurezza dei dati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sistema deve prevedere procedure di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backup automatico con cadenza settimanale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nonché meccanismi di pulizia dei dati obsoleti.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Queste funzionalità garantiscono la protezione delle informazioni e la continuità del servizio anche in caso di guasti o perdite di dati. Soluzioni di backup avanzate e strategie di ottimizzazione della gestione dei dati possono essere considerate come evoluzioni future del sistema.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1ovzxmxrgw1m" w:id="11"/>
      <w:bookmarkEnd w:id="11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Logging e tracciabilità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database deve mantenere un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registro delle operazioni rilevanti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, includendo gli accessi al sistema e le principali attività effettuate dagli utenti o dai servizi.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logging contribuisce a migliorare la sicurezza, la tracciabilità delle operazioni e la conformità alle normative vigenti.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ghpss460rzf" w:id="12"/>
      <w:bookmarkEnd w:id="12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Conformità normativa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Il sistema deve essere sviluppato tenendo conto delle normative vigenti in ambito agricolo e zootecnico, incluse le disposizioni relative alla conservazione dei dati, alla tracciabilità delle informazioni e alla protezione dei dati sensibili.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kbmie0rozgcb" w:id="13"/>
      <w:bookmarkEnd w:id="13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34"/>
          <w:szCs w:val="34"/>
          <w:rtl w:val="0"/>
        </w:rPr>
        <w:t xml:space="preserve">Descrizione delle entità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lal7shjd2tx8" w:id="14"/>
      <w:bookmarkEnd w:id="14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Utente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L’entità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Utente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rappresenta una tabella distaccata rispetto al resto del modello dati.</w:t>
        <w:br w:type="textWrapping"/>
        <w:t xml:space="preserve">Attualmente è messa solo a disposizione del sistema e non viene utilizzata direttamente, poiché la registrazione e l’autenticazione avvengono tramite la web application. La sua presenza è prevista per sviluppi futuri.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135372</wp:posOffset>
            </wp:positionV>
            <wp:extent cx="3097649" cy="2742452"/>
            <wp:effectExtent b="0" l="0" r="0" t="0"/>
            <wp:wrapSquare wrapText="bothSides" distB="114300" distT="114300" distL="114300" distR="11430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7649" cy="274245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Attributi: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id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chiave primaria auto-incrementata;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username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email dell’utente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varchar(50)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password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password hashata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varchar(128)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token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token per l’autenticazione delle richieste API;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timestamp di scadenza del token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validità di 3 ore;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admin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booleano che indica se l’utente è amministratore.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7mjevno40k76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lkr473b2a09e" w:id="16"/>
      <w:bookmarkEnd w:id="16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Apiario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-133349</wp:posOffset>
            </wp:positionH>
            <wp:positionV relativeFrom="paragraph">
              <wp:posOffset>476250</wp:posOffset>
            </wp:positionV>
            <wp:extent cx="3019425" cy="302895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3028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L’entità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Apiario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rappresenta un insieme di arnie collocate in una specifica area geografica ed è gestita esclusivamente dagli Admin.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Attributi: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id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chiave primaria auto-incrementata;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luogo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varchar(59)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latitudine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varchar(50)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longitudine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varchar(50)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nome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varchar(50)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Un apiario può contenere una o più arnie.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q1mlabx5i6ty" w:id="17"/>
      <w:bookmarkEnd w:id="17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Arnia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349984</wp:posOffset>
            </wp:positionV>
            <wp:extent cx="2947548" cy="2579104"/>
            <wp:effectExtent b="0" l="0" r="0" t="0"/>
            <wp:wrapSquare wrapText="bothSides" distB="114300" distT="114300" distL="114300" distR="11430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7548" cy="257910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L’entità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Arnia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rappresenta una singola arnia fisica ed è assimilabile a un dispositivo ESP, poiché ogni arnia è associata a un solo ESP.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Attributi: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id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chiave primaria auto-incrementata;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data di inserimento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date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piena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boolean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MAC address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varchar(50)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), inviato dall’ESP alla prima comunicazione.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4probb3s1fxg" w:id="18"/>
      <w:bookmarkEnd w:id="18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Sensore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</wp:posOffset>
            </wp:positionH>
            <wp:positionV relativeFrom="paragraph">
              <wp:posOffset>428625</wp:posOffset>
            </wp:positionV>
            <wp:extent cx="2847975" cy="3457575"/>
            <wp:effectExtent b="0" l="0" r="0" t="0"/>
            <wp:wrapSquare wrapText="bothSides" distB="114300" distT="114300" distL="114300" distR="114300"/>
            <wp:docPr id="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457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L’entità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Sensore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rappresenta il dispositivo di rilevazione installato sull’arnia e contiene le informazioni necessarie alla gestione delle soglie di allarme.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 impostati dall’utente: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minimo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float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massimo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float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).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 impostati dall’ESP: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24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stato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boolean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xxzvqqteh03m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j6f0rgejyj47" w:id="20"/>
      <w:bookmarkEnd w:id="20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Tipo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-52387</wp:posOffset>
            </wp:positionH>
            <wp:positionV relativeFrom="paragraph">
              <wp:posOffset>523875</wp:posOffset>
            </wp:positionV>
            <wp:extent cx="3086100" cy="1800225"/>
            <wp:effectExtent b="0" l="0" r="0" t="0"/>
            <wp:wrapSquare wrapText="bothSides" distB="114300" distT="114300" distL="114300" distR="114300"/>
            <wp:docPr id="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800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L’entità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Tipo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definisce il tipo di sensore e l’unità di misura associata.</w:t>
        <w:br w:type="textWrapping"/>
        <w:t xml:space="preserve">È accessibile solo dall’Admin e non visibile all’utente.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Attributi: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id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chiave primaria;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descrizione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bqojp2exghg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9cr1c95xf9m4" w:id="22"/>
      <w:bookmarkEnd w:id="22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Rilevazione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L’entità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Rilevazione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memorizza i dati raccolti dai sensori ed è associata a un sensore.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23813</wp:posOffset>
            </wp:positionH>
            <wp:positionV relativeFrom="paragraph">
              <wp:posOffset>140569</wp:posOffset>
            </wp:positionV>
            <wp:extent cx="3105150" cy="2619375"/>
            <wp:effectExtent b="0" l="0" r="0" t="0"/>
            <wp:wrapSquare wrapText="bothSides" distB="114300" distT="114300" distL="114300" distR="11430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2619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Attributi:</w:t>
      </w:r>
    </w:p>
    <w:p w:rsidR="00000000" w:rsidDel="00000000" w:rsidP="00000000" w:rsidRDefault="00000000" w:rsidRPr="00000000" w14:paraId="00000062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id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chiave primaria;</w:t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dato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float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data e ora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timestamp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unico inviato dall’ESP).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bookmarkStart w:colFirst="0" w:colLast="0" w:name="_5splkxjhcv3r" w:id="23"/>
      <w:bookmarkEnd w:id="23"/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  <w:rtl w:val="0"/>
        </w:rPr>
        <w:t xml:space="preserve">Notifica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372628</wp:posOffset>
            </wp:positionV>
            <wp:extent cx="3038475" cy="2124075"/>
            <wp:effectExtent b="0" l="0" r="0" t="0"/>
            <wp:wrapSquare wrapText="bothSides" distB="114300" distT="114300" distL="114300" distR="11430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124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L’entità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Notifica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rappresenta un avviso inviato all’utente in caso di eventi anomali.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Attributi: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id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: chiave primaria;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titolo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varchar(50)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);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descrizione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 (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varchar(50)</w:t>
      </w: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).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Ogni notifica è associata a una specifica rilevazione.</w:t>
      </w:r>
    </w:p>
    <w:p w:rsidR="00000000" w:rsidDel="00000000" w:rsidP="00000000" w:rsidRDefault="00000000" w:rsidRPr="00000000" w14:paraId="0000006E">
      <w:pPr>
        <w:spacing w:after="240" w:before="240" w:lineRule="auto"/>
        <w:ind w:left="0" w:firstLine="0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Title"/>
        <w:jc w:val="center"/>
        <w:rPr>
          <w:i w:val="1"/>
          <w:iCs w:val="1"/>
          <w:u w:val="single"/>
        </w:rPr>
      </w:pPr>
      <w:bookmarkStart w:colFirst="0" w:colLast="0" w:name="_4isgu4v0bkfk" w:id="24"/>
      <w:bookmarkEnd w:id="24"/>
      <w:r w:rsidDel="00000000" w:rsidR="00000000" w:rsidRPr="00000000">
        <w:rPr>
          <w:i w:val="1"/>
          <w:iCs w:val="1"/>
          <w:u w:val="single"/>
          <w:rtl w:val="0"/>
        </w:rPr>
        <w:t xml:space="preserve">Documentazione API</w:t>
      </w:r>
    </w:p>
    <w:p w:rsidR="00000000" w:rsidDel="00000000" w:rsidP="00000000" w:rsidRDefault="00000000" w:rsidRPr="00000000" w14:paraId="0000007A">
      <w:pPr>
        <w:pStyle w:val="Heading2"/>
        <w:jc w:val="left"/>
        <w:rPr>
          <w:sz w:val="22"/>
          <w:szCs w:val="22"/>
        </w:rPr>
      </w:pPr>
      <w:bookmarkStart w:colFirst="0" w:colLast="0" w:name="_o02bktpduinv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Il seguente link permette di accedere al DataBase principale, dedicato al progetto finale e non ai test, inoltre per connettersi c’è bisogno dell’API Key del database che in questo caso garantisce l’accesso completo alle risorse, per cui si sottintende di usarla con cura.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4"/>
        <w:keepNext w:val="0"/>
        <w:keepLines w:val="0"/>
        <w:shd w:fill="ffffff" w:val="clear"/>
        <w:spacing w:after="160" w:before="160" w:line="264" w:lineRule="auto"/>
        <w:rPr>
          <w:rFonts w:ascii="Courier New" w:cs="Courier New" w:eastAsia="Courier New" w:hAnsi="Courier New"/>
        </w:rPr>
      </w:pPr>
      <w:bookmarkStart w:colFirst="0" w:colLast="0" w:name="_ld8ryn7e5p9e" w:id="26"/>
      <w:bookmarkEnd w:id="2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Link DB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hyperlink r:id="rId13">
        <w:r w:rsidDel="00000000" w:rsidR="00000000" w:rsidRPr="00000000">
          <w:rPr>
            <w:rFonts w:ascii="Courier New" w:cs="Courier New" w:eastAsia="Courier New" w:hAnsi="Courier New"/>
            <w:color w:val="008cba"/>
            <w:sz w:val="21"/>
            <w:szCs w:val="21"/>
            <w:rtl w:val="0"/>
          </w:rPr>
          <w:t xml:space="preserve">dbarniadigitale-0abe.restdb.io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Courier New" w:cs="Courier New" w:eastAsia="Courier New" w:hAnsi="Courier New"/>
          <w:color w:val="008cba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rtl w:val="0"/>
        </w:rPr>
        <w:t xml:space="preserve">API Key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08cba"/>
          <w:sz w:val="21"/>
          <w:szCs w:val="21"/>
          <w:highlight w:val="white"/>
          <w:rtl w:val="0"/>
        </w:rPr>
        <w:t xml:space="preserve">1fe80bc79adb61240bff1f82429757190c888</w:t>
      </w:r>
    </w:p>
    <w:p w:rsidR="00000000" w:rsidDel="00000000" w:rsidP="00000000" w:rsidRDefault="00000000" w:rsidRPr="00000000" w14:paraId="0000007E">
      <w:pPr>
        <w:rPr>
          <w:rFonts w:ascii="Helvetica Neue" w:cs="Helvetica Neue" w:eastAsia="Helvetica Neue" w:hAnsi="Helvetica Neue"/>
          <w:color w:val="ff0000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Helvetica Neue" w:cs="Helvetica Neue" w:eastAsia="Helvetica Neue" w:hAnsi="Helvetica Neue"/>
          <w:color w:val="ff0000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Helvetica Neue" w:cs="Helvetica Neue" w:eastAsia="Helvetica Neue" w:hAnsi="Helvetica Neue"/>
          <w:b w:val="1"/>
          <w:bCs w:val="1"/>
          <w:highlight w:val="white"/>
          <w:u w:val="single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u w:val="single"/>
          <w:rtl w:val="0"/>
        </w:rPr>
        <w:t xml:space="preserve">Collections:</w:t>
      </w:r>
    </w:p>
    <w:p w:rsidR="00000000" w:rsidDel="00000000" w:rsidP="00000000" w:rsidRDefault="00000000" w:rsidRPr="00000000" w14:paraId="00000081">
      <w:pPr>
        <w:rPr>
          <w:rFonts w:ascii="Helvetica Neue" w:cs="Helvetica Neue" w:eastAsia="Helvetica Neue" w:hAnsi="Helvetica Neue"/>
          <w:highlight w:val="white"/>
        </w:rPr>
      </w:pP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Per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collection 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si intende la tabella relativa all’entità di nome corrispondente, troviamo quindi le seguenti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collections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ind w:left="720" w:hanging="360"/>
        <w:rPr>
          <w:rFonts w:ascii="Helvetica Neue" w:cs="Helvetica Neue" w:eastAsia="Helvetica Neue" w:hAnsi="Helvetica Neue"/>
          <w:highlight w:val="white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Apiari: </w:t>
      </w:r>
      <w:r w:rsidDel="00000000" w:rsidR="00000000" w:rsidRPr="00000000">
        <w:rPr>
          <w:rFonts w:ascii="Courier New" w:cs="Courier New" w:eastAsia="Courier New" w:hAnsi="Courier New"/>
          <w:sz w:val="19"/>
          <w:szCs w:val="19"/>
          <w:rtl w:val="0"/>
        </w:rPr>
        <w:t xml:space="preserve">https://dbarniadigitale-0abe.restdb.io/rest/apiari</w:t>
      </w:r>
      <w:r w:rsidDel="00000000" w:rsidR="00000000" w:rsidRPr="00000000">
        <w:rPr>
          <w:rFonts w:ascii="Helvetica Neue" w:cs="Helvetica Neue" w:eastAsia="Helvetica Neue" w:hAnsi="Helvetica Neue"/>
          <w:color w:val="222222"/>
          <w:sz w:val="19"/>
          <w:szCs w:val="19"/>
          <w:rtl w:val="0"/>
        </w:rPr>
        <w:t xml:space="preserve"> 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ind w:left="720" w:hanging="360"/>
        <w:rPr>
          <w:rFonts w:ascii="Helvetica Neue" w:cs="Helvetica Neue" w:eastAsia="Helvetica Neue" w:hAnsi="Helvetica Neue"/>
          <w:color w:val="222222"/>
        </w:rPr>
      </w:pPr>
      <w:r w:rsidDel="00000000" w:rsidR="00000000" w:rsidRPr="00000000">
        <w:rPr>
          <w:rFonts w:ascii="Helvetica Neue" w:cs="Helvetica Neue" w:eastAsia="Helvetica Neue" w:hAnsi="Helvetica Neue"/>
          <w:color w:val="222222"/>
          <w:rtl w:val="0"/>
        </w:rPr>
        <w:t xml:space="preserve">Arnie: </w:t>
      </w:r>
      <w:r w:rsidDel="00000000" w:rsidR="00000000" w:rsidRPr="00000000">
        <w:rPr>
          <w:rFonts w:ascii="Courier New" w:cs="Courier New" w:eastAsia="Courier New" w:hAnsi="Courier New"/>
          <w:color w:val="222222"/>
          <w:sz w:val="19"/>
          <w:szCs w:val="19"/>
          <w:rtl w:val="0"/>
        </w:rPr>
        <w:t xml:space="preserve">https://dbarniadigitale-0abe.restdb.io/rest/arnie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ind w:left="720" w:hanging="360"/>
        <w:rPr>
          <w:rFonts w:ascii="Helvetica Neue" w:cs="Helvetica Neue" w:eastAsia="Helvetica Neue" w:hAnsi="Helvetica Neue"/>
          <w:color w:val="2222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color w:val="222222"/>
          <w:rtl w:val="0"/>
        </w:rPr>
        <w:t xml:space="preserve">Sensori: </w:t>
      </w:r>
      <w:r w:rsidDel="00000000" w:rsidR="00000000" w:rsidRPr="00000000">
        <w:rPr>
          <w:rFonts w:ascii="Courier New" w:cs="Courier New" w:eastAsia="Courier New" w:hAnsi="Courier New"/>
          <w:color w:val="222222"/>
          <w:sz w:val="19"/>
          <w:szCs w:val="19"/>
          <w:rtl w:val="0"/>
        </w:rPr>
        <w:t xml:space="preserve">https://dbarniadigitale-0abe.restdb.io/rest/sensori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ind w:left="720" w:hanging="360"/>
        <w:rPr>
          <w:rFonts w:ascii="Helvetica Neue" w:cs="Helvetica Neue" w:eastAsia="Helvetica Neue" w:hAnsi="Helvetica Neue"/>
          <w:color w:val="2222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color w:val="222222"/>
          <w:rtl w:val="0"/>
        </w:rPr>
        <w:t xml:space="preserve">Rilevazioni: </w:t>
      </w:r>
      <w:r w:rsidDel="00000000" w:rsidR="00000000" w:rsidRPr="00000000">
        <w:rPr>
          <w:rFonts w:ascii="Courier New" w:cs="Courier New" w:eastAsia="Courier New" w:hAnsi="Courier New"/>
          <w:color w:val="222222"/>
          <w:sz w:val="19"/>
          <w:szCs w:val="19"/>
          <w:rtl w:val="0"/>
        </w:rPr>
        <w:t xml:space="preserve">https://dbarniadigitale-0abe.restdb.io/rest/rilevazioni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ind w:left="720" w:hanging="360"/>
        <w:rPr>
          <w:rFonts w:ascii="Helvetica Neue" w:cs="Helvetica Neue" w:eastAsia="Helvetica Neue" w:hAnsi="Helvetica Neue"/>
          <w:color w:val="2222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color w:val="222222"/>
          <w:rtl w:val="0"/>
        </w:rPr>
        <w:t xml:space="preserve">Notifiche: </w:t>
      </w:r>
      <w:r w:rsidDel="00000000" w:rsidR="00000000" w:rsidRPr="00000000">
        <w:rPr>
          <w:rFonts w:ascii="Courier New" w:cs="Courier New" w:eastAsia="Courier New" w:hAnsi="Courier New"/>
          <w:color w:val="222222"/>
          <w:sz w:val="19"/>
          <w:szCs w:val="19"/>
          <w:rtl w:val="0"/>
        </w:rPr>
        <w:t xml:space="preserve">https://dbarniadigitale-0abe.restdb.io/rest/notifiche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ind w:left="720" w:hanging="360"/>
        <w:rPr>
          <w:rFonts w:ascii="Helvetica Neue" w:cs="Helvetica Neue" w:eastAsia="Helvetica Neue" w:hAnsi="Helvetica Neue"/>
          <w:color w:val="2222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color w:val="222222"/>
          <w:rtl w:val="0"/>
        </w:rPr>
        <w:t xml:space="preserve">Tipi: </w:t>
      </w:r>
      <w:r w:rsidDel="00000000" w:rsidR="00000000" w:rsidRPr="00000000">
        <w:rPr>
          <w:rFonts w:ascii="Courier New" w:cs="Courier New" w:eastAsia="Courier New" w:hAnsi="Courier New"/>
          <w:color w:val="222222"/>
          <w:sz w:val="19"/>
          <w:szCs w:val="19"/>
          <w:rtl w:val="0"/>
        </w:rPr>
        <w:t xml:space="preserve">https://dbarniadigitale-0abe.restdb.io/rest/tipi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ind w:left="720" w:hanging="360"/>
        <w:rPr>
          <w:rFonts w:ascii="Helvetica Neue" w:cs="Helvetica Neue" w:eastAsia="Helvetica Neue" w:hAnsi="Helvetica Neue"/>
          <w:color w:val="2222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color w:val="222222"/>
          <w:rtl w:val="0"/>
        </w:rPr>
        <w:t xml:space="preserve">Utenti: </w:t>
      </w:r>
      <w:r w:rsidDel="00000000" w:rsidR="00000000" w:rsidRPr="00000000">
        <w:rPr>
          <w:rFonts w:ascii="Courier New" w:cs="Courier New" w:eastAsia="Courier New" w:hAnsi="Courier New"/>
          <w:color w:val="222222"/>
          <w:sz w:val="19"/>
          <w:szCs w:val="19"/>
          <w:rtl w:val="0"/>
        </w:rPr>
        <w:t xml:space="preserve">https://dbarniadigitale-0abe.restdb.io/rest/utenti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Helvetica Neue" w:cs="Helvetica Neue" w:eastAsia="Helvetica Neue" w:hAnsi="Helvetica Neue"/>
          <w:highlight w:val="white"/>
        </w:rPr>
      </w:pP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I link a queste ultime sono necessari per collegarsi e inviare o leggere dati, abbinati ovviamente al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 link al DB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 e all’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API Key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 riportate in cima alla pagina.</w:t>
      </w:r>
    </w:p>
    <w:p w:rsidR="00000000" w:rsidDel="00000000" w:rsidP="00000000" w:rsidRDefault="00000000" w:rsidRPr="00000000" w14:paraId="0000008A">
      <w:pPr>
        <w:rPr>
          <w:rFonts w:ascii="Helvetica Neue" w:cs="Helvetica Neue" w:eastAsia="Helvetica Neue" w:hAnsi="Helvetica Neue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Helvetica Neue" w:cs="Helvetica Neue" w:eastAsia="Helvetica Neue" w:hAnsi="Helvetica Neue"/>
          <w:b w:val="1"/>
          <w:bCs w:val="1"/>
          <w:highlight w:val="white"/>
          <w:u w:val="single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u w:val="single"/>
          <w:rtl w:val="0"/>
        </w:rPr>
        <w:t xml:space="preserve">Esempi di GET e POST con output relativo: </w:t>
      </w:r>
    </w:p>
    <w:p w:rsidR="00000000" w:rsidDel="00000000" w:rsidP="00000000" w:rsidRDefault="00000000" w:rsidRPr="00000000" w14:paraId="0000008C">
      <w:pPr>
        <w:rPr>
          <w:rFonts w:ascii="Helvetica Neue" w:cs="Helvetica Neue" w:eastAsia="Helvetica Neue" w:hAnsi="Helvetica Neue"/>
          <w:highlight w:val="white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IMPORTANTE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: Per collegarsi al DataBase occorre usare programmi come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Node.js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, di seguito riportiamo le indicazioni per l’installazione.</w:t>
      </w:r>
    </w:p>
    <w:p w:rsidR="00000000" w:rsidDel="00000000" w:rsidP="00000000" w:rsidRDefault="00000000" w:rsidRPr="00000000" w14:paraId="0000008D">
      <w:pPr>
        <w:rPr>
          <w:rFonts w:ascii="Helvetica Neue" w:cs="Helvetica Neue" w:eastAsia="Helvetica Neue" w:hAnsi="Helvetica Neue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Helvetica Neue" w:cs="Helvetica Neue" w:eastAsia="Helvetica Neue" w:hAnsi="Helvetica Neue"/>
          <w:b w:val="1"/>
          <w:bCs w:val="1"/>
          <w:highlight w:val="white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Istruzioni per l’installazione di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Node.js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8F">
      <w:pPr>
        <w:rPr>
          <w:rFonts w:ascii="Helvetica Neue" w:cs="Helvetica Neue" w:eastAsia="Helvetica Neue" w:hAnsi="Helvetica Neue"/>
          <w:highlight w:val="white"/>
        </w:rPr>
      </w:pP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Installare Node js al seguente </w:t>
      </w:r>
      <w:hyperlink r:id="rId14">
        <w:r w:rsidDel="00000000" w:rsidR="00000000" w:rsidRPr="00000000">
          <w:rPr>
            <w:rFonts w:ascii="Helvetica Neue" w:cs="Helvetica Neue" w:eastAsia="Helvetica Neue" w:hAnsi="Helvetica Neue"/>
            <w:color w:val="1155cc"/>
            <w:highlight w:val="white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 e cliccare su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Standalone Binary Link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,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highlight w:val="white"/>
          <w:rtl w:val="0"/>
        </w:rPr>
        <w:t xml:space="preserve">scaricarlo e estrarlo</w:t>
      </w:r>
      <w:r w:rsidDel="00000000" w:rsidR="00000000" w:rsidRPr="00000000">
        <w:rPr>
          <w:rFonts w:ascii="Helvetica Neue" w:cs="Helvetica Neue" w:eastAsia="Helvetica Neue" w:hAnsi="Helvetica Neue"/>
          <w:highlight w:val="white"/>
          <w:rtl w:val="0"/>
        </w:rPr>
        <w:t xml:space="preserve">, dopodiché nella cartella estratta sarà contenuto il software necessario.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Helvetica Neue" w:cs="Helvetica Neue" w:eastAsia="Helvetica Neue" w:hAnsi="Helvetica Neue"/>
          <w:highlight w:val="white"/>
        </w:rPr>
      </w:pPr>
      <w:r w:rsidDel="00000000" w:rsidR="00000000" w:rsidRPr="00000000">
        <w:rPr>
          <w:rFonts w:ascii="Helvetica Neue" w:cs="Helvetica Neue" w:eastAsia="Helvetica Neue" w:hAnsi="Helvetica Neue"/>
          <w:highlight w:val="white"/>
        </w:rPr>
        <w:drawing>
          <wp:inline distB="114300" distT="114300" distL="114300" distR="114300">
            <wp:extent cx="5143500" cy="2047875"/>
            <wp:effectExtent b="0" l="0" r="0" t="0"/>
            <wp:docPr id="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5034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04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Collection Apiari: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Esempio di 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907130" cy="2949987"/>
            <wp:effectExtent b="0" l="0" r="0" t="0"/>
            <wp:docPr id="1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07130" cy="29499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Post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/>
        <w:drawing>
          <wp:inline distB="114300" distT="114300" distL="114300" distR="114300">
            <wp:extent cx="3814763" cy="4831472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4763" cy="4831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Collection Arnie:</w:t>
      </w:r>
    </w:p>
    <w:p w:rsidR="00000000" w:rsidDel="00000000" w:rsidP="00000000" w:rsidRDefault="00000000" w:rsidRPr="00000000" w14:paraId="0000009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Get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4591050" cy="5362575"/>
            <wp:effectExtent b="0" l="0" r="0" t="0"/>
            <wp:docPr id="1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5362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Post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/>
        <w:drawing>
          <wp:inline distB="114300" distT="114300" distL="114300" distR="114300">
            <wp:extent cx="3233738" cy="3736763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3738" cy="3736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Collection Sensori: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b w:val="1"/>
          <w:bCs w:val="1"/>
          <w:rtl w:val="0"/>
        </w:rPr>
        <w:t xml:space="preserve">Esempio di 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/>
        <w:drawing>
          <wp:inline distB="114300" distT="114300" distL="114300" distR="114300">
            <wp:extent cx="4438650" cy="3486150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486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Esempio di Post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/>
        <w:drawing>
          <wp:inline distB="114300" distT="114300" distL="114300" distR="114300">
            <wp:extent cx="3238500" cy="54102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Collection Rilevazioni:</w:t>
      </w:r>
    </w:p>
    <w:p w:rsidR="00000000" w:rsidDel="00000000" w:rsidP="00000000" w:rsidRDefault="00000000" w:rsidRPr="00000000" w14:paraId="000000B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Get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/>
        <w:drawing>
          <wp:inline distB="114300" distT="114300" distL="114300" distR="114300">
            <wp:extent cx="3005138" cy="218774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5138" cy="21877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Post</w:t>
      </w:r>
    </w:p>
    <w:p w:rsidR="00000000" w:rsidDel="00000000" w:rsidP="00000000" w:rsidRDefault="00000000" w:rsidRPr="00000000" w14:paraId="000000B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405063" cy="4228509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5063" cy="42285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Collection Notifiche:</w:t>
      </w:r>
    </w:p>
    <w:p w:rsidR="00000000" w:rsidDel="00000000" w:rsidP="00000000" w:rsidRDefault="00000000" w:rsidRPr="00000000" w14:paraId="000000C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Get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/>
        <w:drawing>
          <wp:inline distB="114300" distT="114300" distL="114300" distR="114300">
            <wp:extent cx="4516298" cy="3690938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6298" cy="3690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Post</w:t>
      </w:r>
    </w:p>
    <w:p w:rsidR="00000000" w:rsidDel="00000000" w:rsidP="00000000" w:rsidRDefault="00000000" w:rsidRPr="00000000" w14:paraId="000000C5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429125" cy="52578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Collection Tipi: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b w:val="1"/>
          <w:bCs w:val="1"/>
          <w:rtl w:val="0"/>
        </w:rPr>
        <w:t xml:space="preserve">Esempio di 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/>
        <w:drawing>
          <wp:inline distB="114300" distT="114300" distL="114300" distR="114300">
            <wp:extent cx="3844970" cy="3890963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4970" cy="3890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Post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/>
        <w:drawing>
          <wp:inline distB="114300" distT="114300" distL="114300" distR="114300">
            <wp:extent cx="3443288" cy="3674619"/>
            <wp:effectExtent b="0" l="0" r="0" t="0"/>
            <wp:docPr id="1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43288" cy="36746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Collection Utenti:</w:t>
      </w:r>
    </w:p>
    <w:p w:rsidR="00000000" w:rsidDel="00000000" w:rsidP="00000000" w:rsidRDefault="00000000" w:rsidRPr="00000000" w14:paraId="000000E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Get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/>
        <w:drawing>
          <wp:inline distB="114300" distT="114300" distL="114300" distR="114300">
            <wp:extent cx="4148138" cy="324212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48138" cy="32421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Esempio di Post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/>
        <w:drawing>
          <wp:inline distB="114300" distT="114300" distL="114300" distR="114300">
            <wp:extent cx="4392616" cy="4548188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2616" cy="4548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7.png"/><Relationship Id="rId22" Type="http://schemas.openxmlformats.org/officeDocument/2006/relationships/image" Target="media/image7.png"/><Relationship Id="rId21" Type="http://schemas.openxmlformats.org/officeDocument/2006/relationships/image" Target="media/image13.png"/><Relationship Id="rId24" Type="http://schemas.openxmlformats.org/officeDocument/2006/relationships/image" Target="media/image18.png"/><Relationship Id="rId23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2.png"/><Relationship Id="rId26" Type="http://schemas.openxmlformats.org/officeDocument/2006/relationships/image" Target="media/image3.png"/><Relationship Id="rId25" Type="http://schemas.openxmlformats.org/officeDocument/2006/relationships/image" Target="media/image4.png"/><Relationship Id="rId28" Type="http://schemas.openxmlformats.org/officeDocument/2006/relationships/image" Target="media/image6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20.png"/><Relationship Id="rId7" Type="http://schemas.openxmlformats.org/officeDocument/2006/relationships/image" Target="media/image2.png"/><Relationship Id="rId8" Type="http://schemas.openxmlformats.org/officeDocument/2006/relationships/image" Target="media/image8.png"/><Relationship Id="rId11" Type="http://schemas.openxmlformats.org/officeDocument/2006/relationships/image" Target="media/image15.png"/><Relationship Id="rId10" Type="http://schemas.openxmlformats.org/officeDocument/2006/relationships/image" Target="media/image14.png"/><Relationship Id="rId13" Type="http://schemas.openxmlformats.org/officeDocument/2006/relationships/hyperlink" Target="https://dbarniadigitale-0abe.restdb.io/" TargetMode="External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hyperlink" Target="https://nodejs.org/en/download" TargetMode="External"/><Relationship Id="rId17" Type="http://schemas.openxmlformats.org/officeDocument/2006/relationships/image" Target="media/image5.png"/><Relationship Id="rId16" Type="http://schemas.openxmlformats.org/officeDocument/2006/relationships/image" Target="media/image11.png"/><Relationship Id="rId19" Type="http://schemas.openxmlformats.org/officeDocument/2006/relationships/image" Target="media/image16.png"/><Relationship Id="rId18" Type="http://schemas.openxmlformats.org/officeDocument/2006/relationships/image" Target="media/image2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