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98E4" w14:textId="6B748451" w:rsidR="000B4E40" w:rsidRPr="00482DA9" w:rsidRDefault="000B4E40" w:rsidP="000B4E40">
      <w:pPr>
        <w:rPr>
          <w:b/>
          <w:bCs/>
          <w:sz w:val="32"/>
          <w:szCs w:val="32"/>
          <w:lang w:val="en-US"/>
        </w:rPr>
      </w:pPr>
      <w:r w:rsidRPr="00482DA9">
        <w:rPr>
          <w:b/>
          <w:bCs/>
          <w:sz w:val="32"/>
          <w:szCs w:val="32"/>
          <w:lang w:val="en-US"/>
        </w:rPr>
        <w:t xml:space="preserve">System </w:t>
      </w:r>
      <w:r w:rsidR="00BE4793" w:rsidRPr="00482DA9">
        <w:rPr>
          <w:b/>
          <w:bCs/>
          <w:sz w:val="32"/>
          <w:szCs w:val="32"/>
          <w:lang w:val="en-US"/>
        </w:rPr>
        <w:t xml:space="preserve">Diagrams </w:t>
      </w:r>
      <w:r w:rsidRPr="00482DA9">
        <w:rPr>
          <w:b/>
          <w:bCs/>
          <w:sz w:val="32"/>
          <w:szCs w:val="32"/>
          <w:lang w:val="en-US"/>
        </w:rPr>
        <w:t>Description</w:t>
      </w:r>
    </w:p>
    <w:p w14:paraId="5C1D0F42" w14:textId="77777777" w:rsidR="000B4E40" w:rsidRPr="000B4E40" w:rsidRDefault="000B4E40" w:rsidP="000B4E40">
      <w:pPr>
        <w:rPr>
          <w:b/>
          <w:bCs/>
          <w:lang w:val="en-US"/>
        </w:rPr>
      </w:pPr>
      <w:r w:rsidRPr="000B4E40">
        <w:rPr>
          <w:b/>
          <w:bCs/>
          <w:lang w:val="en-US"/>
        </w:rPr>
        <w:t>1. Introduction</w:t>
      </w:r>
    </w:p>
    <w:p w14:paraId="4E79DB65" w14:textId="6AC81E6B" w:rsidR="000B4E40" w:rsidRPr="00482DA9" w:rsidRDefault="00482DA9" w:rsidP="000B4E40">
      <w:pPr>
        <w:rPr>
          <w:lang w:val="en-US"/>
        </w:rPr>
      </w:pPr>
      <w:r>
        <w:rPr>
          <w:lang w:val="en-US"/>
        </w:rPr>
        <w:t>This document covers description for all projects diagrams.</w:t>
      </w:r>
    </w:p>
    <w:p w14:paraId="33E2A05D" w14:textId="77777777" w:rsidR="000B4E40" w:rsidRPr="000B4E40" w:rsidRDefault="00000000" w:rsidP="000B4E40">
      <w:r>
        <w:pict w14:anchorId="026AA8FA">
          <v:rect id="_x0000_i1025" style="width:0;height:1.5pt" o:hralign="center" o:hrstd="t" o:hr="t" fillcolor="#a0a0a0" stroked="f"/>
        </w:pict>
      </w:r>
    </w:p>
    <w:p w14:paraId="182ECE21" w14:textId="0B77F58B" w:rsidR="000B4E40" w:rsidRPr="000B4E40" w:rsidRDefault="000B4E40" w:rsidP="000B4E40">
      <w:pPr>
        <w:rPr>
          <w:b/>
          <w:bCs/>
          <w:lang w:val="en-US"/>
        </w:rPr>
      </w:pPr>
      <w:r w:rsidRPr="000B4E40">
        <w:rPr>
          <w:b/>
          <w:bCs/>
          <w:lang w:val="en-US"/>
        </w:rPr>
        <w:t xml:space="preserve">2. </w:t>
      </w:r>
      <w:r w:rsidR="00482DA9">
        <w:rPr>
          <w:b/>
          <w:bCs/>
          <w:lang w:val="en-US"/>
        </w:rPr>
        <w:t>Activity Diagram Description</w:t>
      </w:r>
    </w:p>
    <w:p w14:paraId="74553A8F" w14:textId="378250E1" w:rsidR="00482DA9" w:rsidRPr="00482DA9" w:rsidRDefault="00482DA9" w:rsidP="00482DA9">
      <w:pPr>
        <w:rPr>
          <w:b/>
          <w:bCs/>
          <w:lang w:val="en-US"/>
        </w:rPr>
      </w:pPr>
      <w:r w:rsidRPr="00482DA9">
        <w:rPr>
          <w:lang w:val="en-US"/>
        </w:rPr>
        <w:t>The System Activity Diagram models the dynamic operational workflow of the application from the user's perspective. It uses a multi-swimlane layout split between the 'Client' (representing user actions and local validation) and the 'System' (representing underlying application responses, menus, and file handling).</w:t>
      </w:r>
      <w:r w:rsidR="00B3080B">
        <w:rPr>
          <w:lang w:val="en-US"/>
        </w:rPr>
        <w:t xml:space="preserve"> This diagram also presents how to program flow changes when an error with API used in the app occurs.</w:t>
      </w:r>
      <w:r>
        <w:rPr>
          <w:lang w:val="en-US"/>
        </w:rPr>
        <w:br/>
      </w:r>
      <w:r>
        <w:rPr>
          <w:lang w:val="en-US"/>
        </w:rPr>
        <w:br/>
      </w:r>
      <w:r w:rsidRPr="00482DA9">
        <w:rPr>
          <w:b/>
          <w:bCs/>
          <w:lang w:val="en-US"/>
        </w:rPr>
        <w:t>2.1 Main Application Workflow Paths</w:t>
      </w:r>
    </w:p>
    <w:p w14:paraId="04B47A03" w14:textId="14A5678C" w:rsidR="00482DA9" w:rsidRPr="00482DA9" w:rsidRDefault="00482DA9" w:rsidP="00482DA9">
      <w:pPr>
        <w:rPr>
          <w:lang w:val="en-US"/>
        </w:rPr>
      </w:pPr>
      <w:r w:rsidRPr="00482DA9">
        <w:rPr>
          <w:lang w:val="en-US"/>
        </w:rPr>
        <w:t>The workflow begins at an initial start state when the user opens the application. The system presents an option menu, transitioning to a primary decision diamond ('User chooses option') where four discrete execution branches can be taken:</w:t>
      </w:r>
    </w:p>
    <w:p w14:paraId="1AB97486" w14:textId="77777777" w:rsidR="00482DA9" w:rsidRPr="00482DA9" w:rsidRDefault="00482DA9" w:rsidP="00482DA9">
      <w:pPr>
        <w:rPr>
          <w:lang w:val="en-US"/>
        </w:rPr>
      </w:pPr>
      <w:r w:rsidRPr="00482DA9">
        <w:rPr>
          <w:b/>
          <w:lang w:val="en-US"/>
        </w:rPr>
        <w:t xml:space="preserve">Option 1: Close the Application - </w:t>
      </w:r>
      <w:r w:rsidRPr="00482DA9">
        <w:rPr>
          <w:lang w:val="en-US"/>
        </w:rPr>
        <w:t>The user selects the exit option, which immediately terminates the process via the application's final state.</w:t>
      </w:r>
    </w:p>
    <w:p w14:paraId="57B7EB55" w14:textId="4F2D70E7" w:rsidR="00482DA9" w:rsidRPr="00482DA9" w:rsidRDefault="00482DA9" w:rsidP="00482DA9">
      <w:pPr>
        <w:rPr>
          <w:lang w:val="en-US"/>
        </w:rPr>
      </w:pPr>
      <w:r w:rsidRPr="00482DA9">
        <w:rPr>
          <w:b/>
          <w:lang w:val="en-US"/>
        </w:rPr>
        <w:t xml:space="preserve">Option 2 &amp; 3: Sessions Calculation &amp; Statistical Measures - </w:t>
      </w:r>
      <w:r w:rsidRPr="00482DA9">
        <w:rPr>
          <w:lang w:val="en-US"/>
        </w:rPr>
        <w:t>These options follow parallel operational structures. The system displays a list of available currencies, prompts the user to select one, and then requests the time period for analysis. After capturing the parameters, the system interactively prompts the user for optional configurations: data visualization and data export to a CSV file. Finally, the system computes the results, delivers the requested output, and asks if the user wants to return to the main menu.</w:t>
      </w:r>
    </w:p>
    <w:p w14:paraId="45CBEDA0" w14:textId="77777777" w:rsidR="00482DA9" w:rsidRPr="00482DA9" w:rsidRDefault="00482DA9" w:rsidP="00482DA9">
      <w:pPr>
        <w:rPr>
          <w:lang w:val="en-US"/>
        </w:rPr>
      </w:pPr>
      <w:r w:rsidRPr="00482DA9">
        <w:rPr>
          <w:b/>
          <w:lang w:val="en-US"/>
        </w:rPr>
        <w:t xml:space="preserve">Option 4: Distribution of Changes Between Currency Pairs - </w:t>
      </w:r>
      <w:r w:rsidRPr="00482DA9">
        <w:rPr>
          <w:lang w:val="en-US"/>
        </w:rPr>
        <w:t>This complex cross-analysis flow prompts the user to sequentially pick a first currency, a second currency, and then enter an initial start date. The system then prompts for the granularity of analysis ('monthly' or 'quarterly'). Once selected, the system processes the historical distributions, outputs the structural findings to the user, and presents the session continuation prompt.</w:t>
      </w:r>
    </w:p>
    <w:p w14:paraId="3B67F37C" w14:textId="77777777" w:rsidR="00482DA9" w:rsidRPr="00482DA9" w:rsidRDefault="00482DA9" w:rsidP="00482DA9">
      <w:pPr>
        <w:rPr>
          <w:b/>
          <w:bCs/>
          <w:lang w:val="en-US"/>
        </w:rPr>
      </w:pPr>
      <w:r w:rsidRPr="00482DA9">
        <w:rPr>
          <w:b/>
          <w:bCs/>
          <w:lang w:val="en-US"/>
        </w:rPr>
        <w:t>2.2 Loop and Termination Control</w:t>
      </w:r>
    </w:p>
    <w:p w14:paraId="723D32CF" w14:textId="39F55060" w:rsidR="000B4E40" w:rsidRDefault="00482DA9" w:rsidP="00482DA9">
      <w:pPr>
        <w:rPr>
          <w:lang w:val="en-US"/>
        </w:rPr>
      </w:pPr>
      <w:r w:rsidRPr="00482DA9">
        <w:rPr>
          <w:lang w:val="en-US"/>
        </w:rPr>
        <w:t xml:space="preserve">At the completion of any analysis path, the system triggers a decision boundary asking whether the user wishes to continue using the application. If the user selects 'Yes', a feedback loop routes control back up to the primary decision diamond ('User chooses </w:t>
      </w:r>
      <w:r w:rsidRPr="00482DA9">
        <w:rPr>
          <w:lang w:val="en-US"/>
        </w:rPr>
        <w:lastRenderedPageBreak/>
        <w:t>option'). If 'No' is chosen, the execution path leads directly to a final terminating state, ensuring clean session disposal.</w:t>
      </w:r>
      <w:r w:rsidR="00000000">
        <w:pict w14:anchorId="67DAFBBC">
          <v:rect id="_x0000_i1027" style="width:0;height:1.5pt" o:hralign="center" o:hrstd="t" o:hr="t" fillcolor="#a0a0a0" stroked="f"/>
        </w:pict>
      </w:r>
    </w:p>
    <w:p w14:paraId="7DBC3F1D" w14:textId="77777777" w:rsidR="00482DA9" w:rsidRPr="00482DA9" w:rsidRDefault="00482DA9" w:rsidP="00482DA9">
      <w:pPr>
        <w:rPr>
          <w:b/>
          <w:bCs/>
          <w:lang w:val="en-US"/>
        </w:rPr>
      </w:pPr>
      <w:r w:rsidRPr="00482DA9">
        <w:rPr>
          <w:b/>
          <w:bCs/>
          <w:lang w:val="en-US"/>
        </w:rPr>
        <w:t>3. System Components Diagram Description</w:t>
      </w:r>
    </w:p>
    <w:p w14:paraId="39CE493A" w14:textId="13193710" w:rsidR="00482DA9" w:rsidRPr="00482DA9" w:rsidRDefault="00482DA9" w:rsidP="00482DA9">
      <w:pPr>
        <w:rPr>
          <w:lang w:val="en-US"/>
        </w:rPr>
      </w:pPr>
      <w:r w:rsidRPr="00482DA9">
        <w:rPr>
          <w:lang w:val="en-US"/>
        </w:rPr>
        <w:t>The System Components Diagram illustrates the static structural architecture of the application, mapping its modular decomposition, layer dependencies, and boundary separation using standard component symbols and UML import/call notations.</w:t>
      </w:r>
    </w:p>
    <w:p w14:paraId="39DBFC21" w14:textId="77777777" w:rsidR="00482DA9" w:rsidRPr="00482DA9" w:rsidRDefault="00482DA9" w:rsidP="00482DA9">
      <w:pPr>
        <w:rPr>
          <w:b/>
          <w:bCs/>
          <w:lang w:val="en-US"/>
        </w:rPr>
      </w:pPr>
      <w:r w:rsidRPr="00482DA9">
        <w:rPr>
          <w:b/>
          <w:bCs/>
          <w:lang w:val="en-US"/>
        </w:rPr>
        <w:t>3.1 Component Directory &amp; Functional Responsibilities</w:t>
      </w:r>
    </w:p>
    <w:tbl>
      <w:tblPr>
        <w:tblStyle w:val="Jasnecieniowanieakcent1"/>
        <w:tblW w:w="0" w:type="auto"/>
        <w:tblLook w:val="04A0" w:firstRow="1" w:lastRow="0" w:firstColumn="1" w:lastColumn="0" w:noHBand="0" w:noVBand="1"/>
      </w:tblPr>
      <w:tblGrid>
        <w:gridCol w:w="3035"/>
        <w:gridCol w:w="2998"/>
        <w:gridCol w:w="3039"/>
      </w:tblGrid>
      <w:tr w:rsidR="00482DA9" w:rsidRPr="00482DA9" w14:paraId="5B25F18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47645175" w14:textId="77777777" w:rsidR="00482DA9" w:rsidRPr="00482DA9" w:rsidRDefault="00482DA9" w:rsidP="00482DA9">
            <w:pPr>
              <w:spacing w:after="160" w:line="278" w:lineRule="auto"/>
              <w:rPr>
                <w:lang w:val="en-US"/>
              </w:rPr>
            </w:pPr>
            <w:r w:rsidRPr="00482DA9">
              <w:rPr>
                <w:lang w:val="en-US"/>
              </w:rPr>
              <w:t>Module / Component</w:t>
            </w:r>
          </w:p>
        </w:tc>
        <w:tc>
          <w:tcPr>
            <w:tcW w:w="3120" w:type="dxa"/>
            <w:hideMark/>
          </w:tcPr>
          <w:p w14:paraId="6E95DCAD" w14:textId="77777777" w:rsidR="00482DA9" w:rsidRPr="00482DA9" w:rsidRDefault="00482DA9" w:rsidP="00482DA9">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482DA9">
              <w:rPr>
                <w:lang w:val="en-US"/>
              </w:rPr>
              <w:t>Technical Role</w:t>
            </w:r>
          </w:p>
        </w:tc>
        <w:tc>
          <w:tcPr>
            <w:tcW w:w="3120" w:type="dxa"/>
            <w:hideMark/>
          </w:tcPr>
          <w:p w14:paraId="063FDDA0" w14:textId="77777777" w:rsidR="00482DA9" w:rsidRPr="00482DA9" w:rsidRDefault="00482DA9" w:rsidP="00482DA9">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482DA9">
              <w:rPr>
                <w:lang w:val="en-US"/>
              </w:rPr>
              <w:t>Functional Responsibilities &amp; Package Dependencies</w:t>
            </w:r>
          </w:p>
        </w:tc>
      </w:tr>
      <w:tr w:rsidR="00482DA9" w:rsidRPr="00482DA9" w14:paraId="1E1163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il"/>
              <w:bottom w:val="nil"/>
            </w:tcBorders>
            <w:hideMark/>
          </w:tcPr>
          <w:p w14:paraId="59AECC69" w14:textId="77777777" w:rsidR="00482DA9" w:rsidRPr="00482DA9" w:rsidRDefault="00482DA9" w:rsidP="00482DA9">
            <w:pPr>
              <w:spacing w:after="160" w:line="278" w:lineRule="auto"/>
              <w:rPr>
                <w:lang w:val="en-US"/>
              </w:rPr>
            </w:pPr>
            <w:r w:rsidRPr="00482DA9">
              <w:rPr>
                <w:lang w:val="en-US"/>
              </w:rPr>
              <w:t>main.py</w:t>
            </w:r>
          </w:p>
        </w:tc>
        <w:tc>
          <w:tcPr>
            <w:tcW w:w="3120" w:type="dxa"/>
            <w:tcBorders>
              <w:top w:val="nil"/>
              <w:bottom w:val="nil"/>
            </w:tcBorders>
            <w:hideMark/>
          </w:tcPr>
          <w:p w14:paraId="21E4BD3A" w14:textId="77777777" w:rsidR="00482DA9" w:rsidRPr="00482DA9" w:rsidRDefault="00482DA9" w:rsidP="00482DA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482DA9">
              <w:rPr>
                <w:lang w:val="en-US"/>
              </w:rPr>
              <w:t>Entry Point</w:t>
            </w:r>
          </w:p>
        </w:tc>
        <w:tc>
          <w:tcPr>
            <w:tcW w:w="3120" w:type="dxa"/>
            <w:tcBorders>
              <w:top w:val="nil"/>
              <w:bottom w:val="nil"/>
            </w:tcBorders>
            <w:hideMark/>
          </w:tcPr>
          <w:p w14:paraId="5F3C0ED1" w14:textId="77777777" w:rsidR="00482DA9" w:rsidRPr="00482DA9" w:rsidRDefault="00482DA9" w:rsidP="00482DA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482DA9">
              <w:rPr>
                <w:lang w:val="en-US"/>
              </w:rPr>
              <w:t>The root bootstrapper of the application. Responsible for initializing core routines and importing the menus subsystem to handover control.</w:t>
            </w:r>
          </w:p>
        </w:tc>
      </w:tr>
      <w:tr w:rsidR="00482DA9" w:rsidRPr="00482DA9" w14:paraId="31D9C106" w14:textId="77777777">
        <w:tc>
          <w:tcPr>
            <w:cnfStyle w:val="001000000000" w:firstRow="0" w:lastRow="0" w:firstColumn="1" w:lastColumn="0" w:oddVBand="0" w:evenVBand="0" w:oddHBand="0" w:evenHBand="0" w:firstRowFirstColumn="0" w:firstRowLastColumn="0" w:lastRowFirstColumn="0" w:lastRowLastColumn="0"/>
            <w:tcW w:w="3120" w:type="dxa"/>
            <w:tcBorders>
              <w:top w:val="nil"/>
              <w:left w:val="nil"/>
              <w:bottom w:val="nil"/>
              <w:right w:val="nil"/>
            </w:tcBorders>
            <w:hideMark/>
          </w:tcPr>
          <w:p w14:paraId="1C1C93F1" w14:textId="77777777" w:rsidR="00482DA9" w:rsidRPr="00482DA9" w:rsidRDefault="00482DA9" w:rsidP="00482DA9">
            <w:pPr>
              <w:spacing w:after="160" w:line="278" w:lineRule="auto"/>
              <w:rPr>
                <w:lang w:val="en-US"/>
              </w:rPr>
            </w:pPr>
            <w:r w:rsidRPr="00482DA9">
              <w:rPr>
                <w:lang w:val="en-US"/>
              </w:rPr>
              <w:t>menus.py</w:t>
            </w:r>
          </w:p>
        </w:tc>
        <w:tc>
          <w:tcPr>
            <w:tcW w:w="3120" w:type="dxa"/>
            <w:tcBorders>
              <w:top w:val="nil"/>
              <w:left w:val="nil"/>
              <w:bottom w:val="nil"/>
              <w:right w:val="nil"/>
            </w:tcBorders>
            <w:hideMark/>
          </w:tcPr>
          <w:p w14:paraId="0F6432C9" w14:textId="77777777" w:rsidR="00482DA9" w:rsidRPr="00482DA9" w:rsidRDefault="00482DA9" w:rsidP="00482DA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482DA9">
              <w:rPr>
                <w:lang w:val="en-US"/>
              </w:rPr>
              <w:t>Application Flows &amp; UI Menus</w:t>
            </w:r>
          </w:p>
        </w:tc>
        <w:tc>
          <w:tcPr>
            <w:tcW w:w="3120" w:type="dxa"/>
            <w:tcBorders>
              <w:top w:val="nil"/>
              <w:left w:val="nil"/>
              <w:bottom w:val="nil"/>
              <w:right w:val="nil"/>
            </w:tcBorders>
            <w:hideMark/>
          </w:tcPr>
          <w:p w14:paraId="11FCFF45" w14:textId="77777777" w:rsidR="00482DA9" w:rsidRPr="00482DA9" w:rsidRDefault="00482DA9" w:rsidP="00482DA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482DA9">
              <w:rPr>
                <w:lang w:val="en-US"/>
              </w:rPr>
              <w:t>The central orchestrator of the system. Acts as the controller layer that handles interactive menus, manages state machine logic, and dispatches explicit calls to lower-level domain modules.</w:t>
            </w:r>
          </w:p>
        </w:tc>
      </w:tr>
      <w:tr w:rsidR="00482DA9" w:rsidRPr="00482DA9" w14:paraId="2218A6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il"/>
              <w:bottom w:val="nil"/>
            </w:tcBorders>
            <w:hideMark/>
          </w:tcPr>
          <w:p w14:paraId="09CEDD8C" w14:textId="77777777" w:rsidR="00482DA9" w:rsidRPr="00482DA9" w:rsidRDefault="00482DA9" w:rsidP="00482DA9">
            <w:pPr>
              <w:spacing w:after="160" w:line="278" w:lineRule="auto"/>
              <w:rPr>
                <w:lang w:val="en-US"/>
              </w:rPr>
            </w:pPr>
            <w:r w:rsidRPr="00482DA9">
              <w:rPr>
                <w:lang w:val="en-US"/>
              </w:rPr>
              <w:t>api.py</w:t>
            </w:r>
          </w:p>
        </w:tc>
        <w:tc>
          <w:tcPr>
            <w:tcW w:w="3120" w:type="dxa"/>
            <w:tcBorders>
              <w:top w:val="nil"/>
              <w:bottom w:val="nil"/>
            </w:tcBorders>
            <w:hideMark/>
          </w:tcPr>
          <w:p w14:paraId="6015F995" w14:textId="77777777" w:rsidR="00482DA9" w:rsidRPr="00482DA9" w:rsidRDefault="00482DA9" w:rsidP="00482DA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482DA9">
              <w:rPr>
                <w:lang w:val="en-US"/>
              </w:rPr>
              <w:t>NBP API Client</w:t>
            </w:r>
          </w:p>
        </w:tc>
        <w:tc>
          <w:tcPr>
            <w:tcW w:w="3120" w:type="dxa"/>
            <w:tcBorders>
              <w:top w:val="nil"/>
              <w:bottom w:val="nil"/>
            </w:tcBorders>
            <w:hideMark/>
          </w:tcPr>
          <w:p w14:paraId="4614AC09" w14:textId="77777777" w:rsidR="00482DA9" w:rsidRPr="00482DA9" w:rsidRDefault="00482DA9" w:rsidP="00482DA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482DA9">
              <w:rPr>
                <w:lang w:val="en-US"/>
              </w:rPr>
              <w:t>The data ingestion layer. Implements the Python 'requests' library to execute REST API HTTP GET requests against the National Bank of Poland endpoints, handling raw response payloads.</w:t>
            </w:r>
          </w:p>
        </w:tc>
      </w:tr>
      <w:tr w:rsidR="00482DA9" w:rsidRPr="00482DA9" w14:paraId="5B0A9447" w14:textId="77777777">
        <w:tc>
          <w:tcPr>
            <w:cnfStyle w:val="001000000000" w:firstRow="0" w:lastRow="0" w:firstColumn="1" w:lastColumn="0" w:oddVBand="0" w:evenVBand="0" w:oddHBand="0" w:evenHBand="0" w:firstRowFirstColumn="0" w:firstRowLastColumn="0" w:lastRowFirstColumn="0" w:lastRowLastColumn="0"/>
            <w:tcW w:w="3120" w:type="dxa"/>
            <w:tcBorders>
              <w:top w:val="nil"/>
              <w:left w:val="nil"/>
              <w:bottom w:val="nil"/>
              <w:right w:val="nil"/>
            </w:tcBorders>
            <w:hideMark/>
          </w:tcPr>
          <w:p w14:paraId="26A9A65D" w14:textId="77777777" w:rsidR="00482DA9" w:rsidRPr="00482DA9" w:rsidRDefault="00482DA9" w:rsidP="00482DA9">
            <w:pPr>
              <w:spacing w:after="160" w:line="278" w:lineRule="auto"/>
              <w:rPr>
                <w:lang w:val="en-US"/>
              </w:rPr>
            </w:pPr>
            <w:r w:rsidRPr="00482DA9">
              <w:rPr>
                <w:lang w:val="en-US"/>
              </w:rPr>
              <w:t>analysis.py</w:t>
            </w:r>
          </w:p>
        </w:tc>
        <w:tc>
          <w:tcPr>
            <w:tcW w:w="3120" w:type="dxa"/>
            <w:tcBorders>
              <w:top w:val="nil"/>
              <w:left w:val="nil"/>
              <w:bottom w:val="nil"/>
              <w:right w:val="nil"/>
            </w:tcBorders>
            <w:hideMark/>
          </w:tcPr>
          <w:p w14:paraId="556012FA" w14:textId="77777777" w:rsidR="00482DA9" w:rsidRPr="00482DA9" w:rsidRDefault="00482DA9" w:rsidP="00482DA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482DA9">
              <w:rPr>
                <w:lang w:val="en-US"/>
              </w:rPr>
              <w:t>Math &amp; Stats Engine</w:t>
            </w:r>
          </w:p>
        </w:tc>
        <w:tc>
          <w:tcPr>
            <w:tcW w:w="3120" w:type="dxa"/>
            <w:tcBorders>
              <w:top w:val="nil"/>
              <w:left w:val="nil"/>
              <w:bottom w:val="nil"/>
              <w:right w:val="nil"/>
            </w:tcBorders>
            <w:hideMark/>
          </w:tcPr>
          <w:p w14:paraId="61C4EED0" w14:textId="77777777" w:rsidR="00482DA9" w:rsidRPr="00482DA9" w:rsidRDefault="00482DA9" w:rsidP="00482DA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482DA9">
              <w:rPr>
                <w:lang w:val="en-US"/>
              </w:rPr>
              <w:t xml:space="preserve">The algorithmic core. Executes computational and statistical functions </w:t>
            </w:r>
            <w:r w:rsidRPr="00482DA9">
              <w:rPr>
                <w:lang w:val="en-US"/>
              </w:rPr>
              <w:lastRenderedPageBreak/>
              <w:t>(including calculation of trading sessions, media, mode, standard deviation, and coefficient of variance).</w:t>
            </w:r>
          </w:p>
        </w:tc>
      </w:tr>
      <w:tr w:rsidR="00482DA9" w:rsidRPr="00482DA9" w14:paraId="0C80CD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il"/>
              <w:bottom w:val="nil"/>
            </w:tcBorders>
            <w:hideMark/>
          </w:tcPr>
          <w:p w14:paraId="3FE74527" w14:textId="77777777" w:rsidR="00482DA9" w:rsidRPr="00482DA9" w:rsidRDefault="00482DA9" w:rsidP="00482DA9">
            <w:pPr>
              <w:spacing w:after="160" w:line="278" w:lineRule="auto"/>
              <w:rPr>
                <w:lang w:val="en-US"/>
              </w:rPr>
            </w:pPr>
            <w:r w:rsidRPr="00482DA9">
              <w:rPr>
                <w:lang w:val="en-US"/>
              </w:rPr>
              <w:lastRenderedPageBreak/>
              <w:t>visualization.py</w:t>
            </w:r>
          </w:p>
        </w:tc>
        <w:tc>
          <w:tcPr>
            <w:tcW w:w="3120" w:type="dxa"/>
            <w:tcBorders>
              <w:top w:val="nil"/>
              <w:bottom w:val="nil"/>
            </w:tcBorders>
            <w:hideMark/>
          </w:tcPr>
          <w:p w14:paraId="2654CF72" w14:textId="77777777" w:rsidR="00482DA9" w:rsidRPr="00482DA9" w:rsidRDefault="00482DA9" w:rsidP="00482DA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482DA9">
              <w:rPr>
                <w:lang w:val="en-US"/>
              </w:rPr>
              <w:t>Matplotlib Charts</w:t>
            </w:r>
          </w:p>
        </w:tc>
        <w:tc>
          <w:tcPr>
            <w:tcW w:w="3120" w:type="dxa"/>
            <w:tcBorders>
              <w:top w:val="nil"/>
              <w:bottom w:val="nil"/>
            </w:tcBorders>
            <w:hideMark/>
          </w:tcPr>
          <w:p w14:paraId="1EA71FEF" w14:textId="77777777" w:rsidR="00482DA9" w:rsidRPr="00482DA9" w:rsidRDefault="00482DA9" w:rsidP="00482DA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482DA9">
              <w:rPr>
                <w:lang w:val="en-US"/>
              </w:rPr>
              <w:t>The presentation generator. Translates raw data frames into visual line, bar, or distribution charts using Matplotlib, exporting or rendering graphics seamlessly.</w:t>
            </w:r>
          </w:p>
        </w:tc>
      </w:tr>
      <w:tr w:rsidR="00482DA9" w:rsidRPr="00482DA9" w14:paraId="000A4D16" w14:textId="77777777">
        <w:tc>
          <w:tcPr>
            <w:cnfStyle w:val="001000000000" w:firstRow="0" w:lastRow="0" w:firstColumn="1" w:lastColumn="0" w:oddVBand="0" w:evenVBand="0" w:oddHBand="0" w:evenHBand="0" w:firstRowFirstColumn="0" w:firstRowLastColumn="0" w:lastRowFirstColumn="0" w:lastRowLastColumn="0"/>
            <w:tcW w:w="3120" w:type="dxa"/>
            <w:tcBorders>
              <w:top w:val="nil"/>
              <w:left w:val="nil"/>
              <w:bottom w:val="nil"/>
              <w:right w:val="nil"/>
            </w:tcBorders>
            <w:hideMark/>
          </w:tcPr>
          <w:p w14:paraId="44509C4C" w14:textId="77777777" w:rsidR="00482DA9" w:rsidRPr="00482DA9" w:rsidRDefault="00482DA9" w:rsidP="00482DA9">
            <w:pPr>
              <w:spacing w:after="160" w:line="278" w:lineRule="auto"/>
              <w:rPr>
                <w:lang w:val="en-US"/>
              </w:rPr>
            </w:pPr>
            <w:r w:rsidRPr="00482DA9">
              <w:rPr>
                <w:lang w:val="en-US"/>
              </w:rPr>
              <w:t>export.py</w:t>
            </w:r>
          </w:p>
        </w:tc>
        <w:tc>
          <w:tcPr>
            <w:tcW w:w="3120" w:type="dxa"/>
            <w:tcBorders>
              <w:top w:val="nil"/>
              <w:left w:val="nil"/>
              <w:bottom w:val="nil"/>
              <w:right w:val="nil"/>
            </w:tcBorders>
            <w:hideMark/>
          </w:tcPr>
          <w:p w14:paraId="6388F895" w14:textId="77777777" w:rsidR="00482DA9" w:rsidRPr="00482DA9" w:rsidRDefault="00482DA9" w:rsidP="00482DA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482DA9">
              <w:rPr>
                <w:lang w:val="en-US"/>
              </w:rPr>
              <w:t>CSV Data Writer</w:t>
            </w:r>
          </w:p>
        </w:tc>
        <w:tc>
          <w:tcPr>
            <w:tcW w:w="3120" w:type="dxa"/>
            <w:tcBorders>
              <w:top w:val="nil"/>
              <w:left w:val="nil"/>
              <w:bottom w:val="nil"/>
              <w:right w:val="nil"/>
            </w:tcBorders>
            <w:hideMark/>
          </w:tcPr>
          <w:p w14:paraId="18B55854" w14:textId="77777777" w:rsidR="00482DA9" w:rsidRPr="00482DA9" w:rsidRDefault="00482DA9" w:rsidP="00482DA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482DA9">
              <w:rPr>
                <w:lang w:val="en-US"/>
              </w:rPr>
              <w:t>The persistent storage layer. Leverages built-in Python 'csv' and 'os' libraries to format, structure, map, and write analytics arrays into durable flat-file CSV tables.</w:t>
            </w:r>
          </w:p>
        </w:tc>
      </w:tr>
      <w:tr w:rsidR="00482DA9" w:rsidRPr="00482DA9" w14:paraId="2F090C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il"/>
              <w:bottom w:val="single" w:sz="8" w:space="0" w:color="156082" w:themeColor="accent1"/>
            </w:tcBorders>
            <w:hideMark/>
          </w:tcPr>
          <w:p w14:paraId="263BEBCF" w14:textId="77777777" w:rsidR="00482DA9" w:rsidRPr="00482DA9" w:rsidRDefault="00482DA9" w:rsidP="00482DA9">
            <w:pPr>
              <w:spacing w:after="160" w:line="278" w:lineRule="auto"/>
              <w:rPr>
                <w:lang w:val="en-US"/>
              </w:rPr>
            </w:pPr>
            <w:r w:rsidRPr="00482DA9">
              <w:rPr>
                <w:lang w:val="en-US"/>
              </w:rPr>
              <w:t>utils.py</w:t>
            </w:r>
          </w:p>
        </w:tc>
        <w:tc>
          <w:tcPr>
            <w:tcW w:w="3120" w:type="dxa"/>
            <w:tcBorders>
              <w:top w:val="nil"/>
              <w:bottom w:val="single" w:sz="8" w:space="0" w:color="156082" w:themeColor="accent1"/>
            </w:tcBorders>
            <w:hideMark/>
          </w:tcPr>
          <w:p w14:paraId="63D21B1F" w14:textId="77777777" w:rsidR="00482DA9" w:rsidRPr="00482DA9" w:rsidRDefault="00482DA9" w:rsidP="00482DA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482DA9">
              <w:rPr>
                <w:lang w:val="en-US"/>
              </w:rPr>
              <w:t>Date Validator</w:t>
            </w:r>
          </w:p>
        </w:tc>
        <w:tc>
          <w:tcPr>
            <w:tcW w:w="3120" w:type="dxa"/>
            <w:tcBorders>
              <w:top w:val="nil"/>
              <w:bottom w:val="single" w:sz="8" w:space="0" w:color="156082" w:themeColor="accent1"/>
            </w:tcBorders>
            <w:hideMark/>
          </w:tcPr>
          <w:p w14:paraId="0E676136" w14:textId="77777777" w:rsidR="00482DA9" w:rsidRPr="00482DA9" w:rsidRDefault="00482DA9" w:rsidP="00482DA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482DA9">
              <w:rPr>
                <w:lang w:val="en-US"/>
              </w:rPr>
              <w:t>The system guard utility. Contains specialized helper utilities, localized input constraints, and robust string-to-datetime validation patterns.</w:t>
            </w:r>
          </w:p>
        </w:tc>
      </w:tr>
    </w:tbl>
    <w:p w14:paraId="09238B69" w14:textId="77777777" w:rsidR="00482DA9" w:rsidRPr="00482DA9" w:rsidRDefault="00482DA9" w:rsidP="00482DA9">
      <w:pPr>
        <w:rPr>
          <w:lang w:val="en-US"/>
        </w:rPr>
      </w:pPr>
    </w:p>
    <w:p w14:paraId="33A7F5D1" w14:textId="77777777" w:rsidR="00482DA9" w:rsidRPr="00482DA9" w:rsidRDefault="00482DA9" w:rsidP="00482DA9">
      <w:pPr>
        <w:rPr>
          <w:b/>
          <w:bCs/>
          <w:lang w:val="en-US"/>
        </w:rPr>
      </w:pPr>
      <w:r w:rsidRPr="00482DA9">
        <w:rPr>
          <w:b/>
          <w:bCs/>
          <w:lang w:val="en-US"/>
        </w:rPr>
        <w:t>3.2 Coupling and Structural Dependency Chain</w:t>
      </w:r>
    </w:p>
    <w:p w14:paraId="4D8E0F05" w14:textId="77777777" w:rsidR="00482DA9" w:rsidRPr="00482DA9" w:rsidRDefault="00482DA9" w:rsidP="00482DA9">
      <w:pPr>
        <w:rPr>
          <w:lang w:val="en-US"/>
        </w:rPr>
      </w:pPr>
      <w:r w:rsidRPr="00482DA9">
        <w:rPr>
          <w:lang w:val="en-US"/>
        </w:rPr>
        <w:t>The module coupling follows a strict hierarchical tree structure to maintain low coupling and high cohesion. The root 'main.py' module maintains a single downward dependency on 'menus.py' via an explicit import statement. The 'menus.py' module serves as the primary router, calling out into the five dedicated execution engines ('api.py', 'analysis.py', 'visualization.py', 'export.py', and 'utils.py') based on runtime user selections. Crucially, lower-level engines are isolated from each other, preventing cyclic dependencies and simplifying unit testing.</w:t>
      </w:r>
    </w:p>
    <w:p w14:paraId="41EE1E65" w14:textId="77777777" w:rsidR="00482DA9" w:rsidRPr="00482DA9" w:rsidRDefault="00482DA9" w:rsidP="00482DA9">
      <w:pPr>
        <w:rPr>
          <w:lang w:val="en-US"/>
        </w:rPr>
      </w:pPr>
    </w:p>
    <w:p w14:paraId="30D32B82" w14:textId="77777777" w:rsidR="000B4E40" w:rsidRDefault="00000000" w:rsidP="000B4E40">
      <w:r>
        <w:pict w14:anchorId="56F83D9A">
          <v:rect id="_x0000_i1044" style="width:0;height:1.5pt" o:hralign="center" o:bullet="t" o:hrstd="t" o:hr="t" fillcolor="#a0a0a0" stroked="f"/>
        </w:pict>
      </w:r>
    </w:p>
    <w:p w14:paraId="08807611" w14:textId="77777777" w:rsidR="00482DA9" w:rsidRPr="00482DA9" w:rsidRDefault="00482DA9" w:rsidP="00482DA9">
      <w:pPr>
        <w:rPr>
          <w:b/>
          <w:bCs/>
          <w:lang w:val="en-US"/>
        </w:rPr>
      </w:pPr>
      <w:r w:rsidRPr="00482DA9">
        <w:rPr>
          <w:b/>
          <w:bCs/>
          <w:lang w:val="en-US"/>
        </w:rPr>
        <w:lastRenderedPageBreak/>
        <w:t>4. System Sequence Diagram Description</w:t>
      </w:r>
    </w:p>
    <w:p w14:paraId="433E1376" w14:textId="77777777" w:rsidR="00482DA9" w:rsidRPr="00482DA9" w:rsidRDefault="00482DA9" w:rsidP="00482DA9">
      <w:pPr>
        <w:rPr>
          <w:lang w:val="en-US"/>
        </w:rPr>
      </w:pPr>
      <w:r w:rsidRPr="00482DA9">
        <w:rPr>
          <w:lang w:val="en-US"/>
        </w:rPr>
        <w:t>The System Sequence Diagram describes the chronological timeline of system events, tracing messages and data interchanges among three vertical lifelines: the Client (User UI), the System (Application core), and the NBP API (External Web Service).</w:t>
      </w:r>
    </w:p>
    <w:p w14:paraId="3F7D72EE" w14:textId="77777777" w:rsidR="00482DA9" w:rsidRPr="00482DA9" w:rsidRDefault="00482DA9" w:rsidP="00482DA9">
      <w:pPr>
        <w:rPr>
          <w:b/>
          <w:bCs/>
          <w:lang w:val="en-US"/>
        </w:rPr>
      </w:pPr>
      <w:r w:rsidRPr="00482DA9">
        <w:rPr>
          <w:b/>
          <w:bCs/>
          <w:lang w:val="en-US"/>
        </w:rPr>
        <w:t>4.1 Step-by-Step Scenario Analysis</w:t>
      </w:r>
    </w:p>
    <w:p w14:paraId="4AAEDEDD" w14:textId="77777777" w:rsidR="00482DA9" w:rsidRPr="00482DA9" w:rsidRDefault="00482DA9" w:rsidP="00482DA9">
      <w:pPr>
        <w:rPr>
          <w:lang w:val="en-US"/>
        </w:rPr>
      </w:pPr>
      <w:r w:rsidRPr="00482DA9">
        <w:rPr>
          <w:lang w:val="en-US"/>
        </w:rPr>
        <w:t>The timeline is partitioned into distinct alternative combined fragments ('alt' frames) corresponding to the primary menu modes:</w:t>
      </w:r>
    </w:p>
    <w:p w14:paraId="31A8AC49" w14:textId="130E291C" w:rsidR="00482DA9" w:rsidRPr="00482DA9" w:rsidRDefault="00482DA9" w:rsidP="00482DA9">
      <w:pPr>
        <w:rPr>
          <w:lang w:val="en-US"/>
        </w:rPr>
      </w:pPr>
      <w:r w:rsidRPr="00482DA9">
        <w:rPr>
          <w:b/>
          <w:lang w:val="en-US"/>
        </w:rPr>
        <w:t xml:space="preserve">Scenario A: Currency Sessions Calculation. </w:t>
      </w:r>
      <w:r w:rsidRPr="00482DA9">
        <w:rPr>
          <w:lang w:val="en-US"/>
        </w:rPr>
        <w:t xml:space="preserve">Initiated by StartApp() and DisplayMainMenu(). Upon SelectOption(), the System sends a </w:t>
      </w:r>
      <w:r w:rsidR="00445C14">
        <w:rPr>
          <w:lang w:val="en-US"/>
        </w:rPr>
        <w:t>AskFor</w:t>
      </w:r>
      <w:r w:rsidRPr="00482DA9">
        <w:rPr>
          <w:lang w:val="en-US"/>
        </w:rPr>
        <w:t>Currencies() message to the NBP API, which returns Send</w:t>
      </w:r>
      <w:r w:rsidR="00445C14">
        <w:rPr>
          <w:lang w:val="en-US"/>
        </w:rPr>
        <w:t>Back</w:t>
      </w:r>
      <w:r w:rsidRPr="00482DA9">
        <w:rPr>
          <w:lang w:val="en-US"/>
        </w:rPr>
        <w:t xml:space="preserve">Currencies(). The System displays </w:t>
      </w:r>
      <w:r w:rsidR="00445C14">
        <w:rPr>
          <w:lang w:val="en-US"/>
        </w:rPr>
        <w:t>currencies</w:t>
      </w:r>
      <w:r w:rsidRPr="00482DA9">
        <w:rPr>
          <w:lang w:val="en-US"/>
        </w:rPr>
        <w:t xml:space="preserve"> to the Client. The user selects a currency and time period. The System prompts for authorization to plot graphs and export files. Once confirmed, the System fetches explicit market rates via </w:t>
      </w:r>
      <w:r w:rsidR="00F15E0F">
        <w:rPr>
          <w:lang w:val="en-US"/>
        </w:rPr>
        <w:t>AskForRates</w:t>
      </w:r>
      <w:r w:rsidRPr="00482DA9">
        <w:rPr>
          <w:lang w:val="en-US"/>
        </w:rPr>
        <w:t xml:space="preserve">() / </w:t>
      </w:r>
      <w:r w:rsidR="00F15E0F">
        <w:rPr>
          <w:lang w:val="en-US"/>
        </w:rPr>
        <w:t>SendBackRates</w:t>
      </w:r>
      <w:r w:rsidRPr="00482DA9">
        <w:rPr>
          <w:lang w:val="en-US"/>
        </w:rPr>
        <w:t>() from NBP, triggers internal self-calls</w:t>
      </w:r>
      <w:r w:rsidR="00F15E0F">
        <w:rPr>
          <w:lang w:val="en-US"/>
        </w:rPr>
        <w:t xml:space="preserve">: </w:t>
      </w:r>
      <w:r w:rsidRPr="00482DA9">
        <w:rPr>
          <w:lang w:val="en-US"/>
        </w:rPr>
        <w:t xml:space="preserve">Calculate(), </w:t>
      </w:r>
      <w:r w:rsidR="00F15E0F">
        <w:rPr>
          <w:lang w:val="en-US"/>
        </w:rPr>
        <w:t>DisplayDataIfChosen</w:t>
      </w:r>
      <w:r w:rsidRPr="00482DA9">
        <w:rPr>
          <w:lang w:val="en-US"/>
        </w:rPr>
        <w:t xml:space="preserve">(), </w:t>
      </w:r>
      <w:r w:rsidR="00F15E0F">
        <w:rPr>
          <w:lang w:val="en-US"/>
        </w:rPr>
        <w:t>ExportD</w:t>
      </w:r>
      <w:r w:rsidR="00F15E0F">
        <w:rPr>
          <w:lang w:val="en-US"/>
        </w:rPr>
        <w:t>ataIfChosen</w:t>
      </w:r>
      <w:r w:rsidR="00F15E0F" w:rsidRPr="00482DA9">
        <w:rPr>
          <w:lang w:val="en-US"/>
        </w:rPr>
        <w:t xml:space="preserve"> </w:t>
      </w:r>
      <w:r w:rsidRPr="00482DA9">
        <w:rPr>
          <w:lang w:val="en-US"/>
        </w:rPr>
        <w:t>()</w:t>
      </w:r>
      <w:r w:rsidR="00F15E0F">
        <w:rPr>
          <w:lang w:val="en-US"/>
        </w:rPr>
        <w:t xml:space="preserve"> </w:t>
      </w:r>
      <w:r w:rsidRPr="00482DA9">
        <w:rPr>
          <w:lang w:val="en-US"/>
        </w:rPr>
        <w:t xml:space="preserve">and </w:t>
      </w:r>
      <w:r w:rsidR="00F15E0F">
        <w:rPr>
          <w:lang w:val="en-US"/>
        </w:rPr>
        <w:t>in result displays data or exports it if the user chose to do so.</w:t>
      </w:r>
    </w:p>
    <w:p w14:paraId="2EE64ADB" w14:textId="19207260" w:rsidR="00482DA9" w:rsidRPr="00482DA9" w:rsidRDefault="00482DA9" w:rsidP="00482DA9">
      <w:pPr>
        <w:rPr>
          <w:lang w:val="en-US"/>
        </w:rPr>
      </w:pPr>
      <w:r w:rsidRPr="00482DA9">
        <w:rPr>
          <w:b/>
          <w:lang w:val="en-US"/>
        </w:rPr>
        <w:t xml:space="preserve">Scenario B: Statistical Measures Computation. </w:t>
      </w:r>
      <w:r w:rsidRPr="00482DA9">
        <w:rPr>
          <w:lang w:val="en-US"/>
        </w:rPr>
        <w:t>Follows an identical lifecycle sequence to Scenario A</w:t>
      </w:r>
      <w:r w:rsidR="00F15E0F">
        <w:rPr>
          <w:lang w:val="en-US"/>
        </w:rPr>
        <w:t xml:space="preserve">. The differences lies in the internal implementation of the Calculate() operation. In this case, Calculate() invoes a set of statistical computation routines specific to this </w:t>
      </w:r>
      <w:r w:rsidR="008B2774">
        <w:rPr>
          <w:lang w:val="en-US"/>
        </w:rPr>
        <w:t>scenario</w:t>
      </w:r>
      <w:r w:rsidR="00F15E0F">
        <w:rPr>
          <w:lang w:val="en-US"/>
        </w:rPr>
        <w:t>.</w:t>
      </w:r>
    </w:p>
    <w:p w14:paraId="7BEB6D58" w14:textId="75F485C1" w:rsidR="00F02360" w:rsidRPr="00F02360" w:rsidRDefault="00482DA9" w:rsidP="00F02360">
      <w:pPr>
        <w:rPr>
          <w:lang w:val="en-US"/>
        </w:rPr>
      </w:pPr>
      <w:r w:rsidRPr="00482DA9">
        <w:rPr>
          <w:b/>
          <w:lang w:val="en-US"/>
        </w:rPr>
        <w:t xml:space="preserve">Scenario C: Distribution of Currency Pairs. </w:t>
      </w:r>
      <w:r w:rsidR="00F02360" w:rsidRPr="00F02360">
        <w:rPr>
          <w:lang w:val="en-US"/>
        </w:rPr>
        <w:t>This scenario involves a more complex sequence with nested iterations. The System prompts the user to select two distinct currencies by invoking DisplayCurrencies() twice. After the first invocation, the selected currency is captured through ChooseFirstCurrency(), and after the second invocation, the second currency is captured through ChooseSecondCurrency(). The System then requests and captures the starting date using AskForInitialDate()</w:t>
      </w:r>
      <w:r w:rsidR="00F02360" w:rsidRPr="00F02360">
        <w:rPr>
          <w:lang w:val="en-US"/>
        </w:rPr>
        <w:t xml:space="preserve"> </w:t>
      </w:r>
      <w:r w:rsidR="00F02360">
        <w:rPr>
          <w:lang w:val="en-US"/>
        </w:rPr>
        <w:t>and InputInitialDate()</w:t>
      </w:r>
      <w:r w:rsidR="00F02360" w:rsidRPr="00F02360">
        <w:rPr>
          <w:lang w:val="en-US"/>
        </w:rPr>
        <w:t>.</w:t>
      </w:r>
    </w:p>
    <w:p w14:paraId="11CECCC5" w14:textId="77777777" w:rsidR="00F02360" w:rsidRPr="00F02360" w:rsidRDefault="00F02360" w:rsidP="00F02360">
      <w:pPr>
        <w:rPr>
          <w:lang w:val="en-US"/>
        </w:rPr>
      </w:pPr>
      <w:r w:rsidRPr="00F02360">
        <w:rPr>
          <w:lang w:val="en-US"/>
        </w:rPr>
        <w:t>Next, the System queries the NBP API to retrieve multiple historical datasets simultaneously and executes the Calculate() operation, which internally performs the distribution calculations required for this scenario. Finally, the System displays the resulting distribution table and related output data to the user through the Client UI.</w:t>
      </w:r>
    </w:p>
    <w:p w14:paraId="53D28155" w14:textId="45926886" w:rsidR="00482DA9" w:rsidRPr="00482DA9" w:rsidRDefault="00482DA9" w:rsidP="00482DA9">
      <w:pPr>
        <w:rPr>
          <w:lang w:val="en-US"/>
        </w:rPr>
      </w:pPr>
    </w:p>
    <w:p w14:paraId="1F41ACBA" w14:textId="77777777" w:rsidR="00482DA9" w:rsidRPr="00482DA9" w:rsidRDefault="00482DA9" w:rsidP="000B4E40">
      <w:pPr>
        <w:rPr>
          <w:lang w:val="en-US"/>
        </w:rPr>
      </w:pPr>
    </w:p>
    <w:p w14:paraId="515EB6BF" w14:textId="77777777" w:rsidR="000B4E40" w:rsidRPr="000B4E40" w:rsidRDefault="00000000" w:rsidP="000B4E40">
      <w:r>
        <w:pict w14:anchorId="0C6022C7">
          <v:rect id="_x0000_i1045" style="width:0;height:1.5pt" o:hralign="center" o:hrstd="t" o:hr="t" fillcolor="#a0a0a0" stroked="f"/>
        </w:pict>
      </w:r>
    </w:p>
    <w:p w14:paraId="7BFC70E5" w14:textId="77777777" w:rsidR="00C7583F" w:rsidRPr="000B4E40" w:rsidRDefault="00C7583F">
      <w:pPr>
        <w:rPr>
          <w:lang w:val="en-US"/>
        </w:rPr>
      </w:pPr>
    </w:p>
    <w:sectPr w:rsidR="00C7583F" w:rsidRPr="000B4E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BA2132"/>
    <w:multiLevelType w:val="multilevel"/>
    <w:tmpl w:val="679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1F59"/>
    <w:multiLevelType w:val="multilevel"/>
    <w:tmpl w:val="AF0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132"/>
    <w:multiLevelType w:val="multilevel"/>
    <w:tmpl w:val="1E92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543A7"/>
    <w:multiLevelType w:val="multilevel"/>
    <w:tmpl w:val="4F0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45A65"/>
    <w:multiLevelType w:val="multilevel"/>
    <w:tmpl w:val="547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9123E"/>
    <w:multiLevelType w:val="multilevel"/>
    <w:tmpl w:val="0B0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95BA1"/>
    <w:multiLevelType w:val="multilevel"/>
    <w:tmpl w:val="F9C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9484B"/>
    <w:multiLevelType w:val="multilevel"/>
    <w:tmpl w:val="64FA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20A1D"/>
    <w:multiLevelType w:val="multilevel"/>
    <w:tmpl w:val="63F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47B4C"/>
    <w:multiLevelType w:val="multilevel"/>
    <w:tmpl w:val="C1C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71460"/>
    <w:multiLevelType w:val="multilevel"/>
    <w:tmpl w:val="B00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977D0"/>
    <w:multiLevelType w:val="multilevel"/>
    <w:tmpl w:val="95403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51F5C"/>
    <w:multiLevelType w:val="multilevel"/>
    <w:tmpl w:val="9DC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B1986"/>
    <w:multiLevelType w:val="multilevel"/>
    <w:tmpl w:val="9BF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93423"/>
    <w:multiLevelType w:val="multilevel"/>
    <w:tmpl w:val="A7B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E58ED"/>
    <w:multiLevelType w:val="multilevel"/>
    <w:tmpl w:val="8F4E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D27CE"/>
    <w:multiLevelType w:val="multilevel"/>
    <w:tmpl w:val="8B0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B1B59"/>
    <w:multiLevelType w:val="multilevel"/>
    <w:tmpl w:val="BA8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665E6"/>
    <w:multiLevelType w:val="multilevel"/>
    <w:tmpl w:val="E1D8C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C24F3"/>
    <w:multiLevelType w:val="multilevel"/>
    <w:tmpl w:val="678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A2377"/>
    <w:multiLevelType w:val="multilevel"/>
    <w:tmpl w:val="6D7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30D7E"/>
    <w:multiLevelType w:val="multilevel"/>
    <w:tmpl w:val="7CE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14A9"/>
    <w:multiLevelType w:val="multilevel"/>
    <w:tmpl w:val="BCE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27141"/>
    <w:multiLevelType w:val="multilevel"/>
    <w:tmpl w:val="123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2703B"/>
    <w:multiLevelType w:val="multilevel"/>
    <w:tmpl w:val="B99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F78BE"/>
    <w:multiLevelType w:val="multilevel"/>
    <w:tmpl w:val="BFF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26CD6"/>
    <w:multiLevelType w:val="multilevel"/>
    <w:tmpl w:val="231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E5266"/>
    <w:multiLevelType w:val="multilevel"/>
    <w:tmpl w:val="9B4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F2D4D"/>
    <w:multiLevelType w:val="multilevel"/>
    <w:tmpl w:val="5B7A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B33FD"/>
    <w:multiLevelType w:val="multilevel"/>
    <w:tmpl w:val="593C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A491C"/>
    <w:multiLevelType w:val="multilevel"/>
    <w:tmpl w:val="DED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E0446"/>
    <w:multiLevelType w:val="multilevel"/>
    <w:tmpl w:val="4A3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D3176"/>
    <w:multiLevelType w:val="multilevel"/>
    <w:tmpl w:val="774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369718">
    <w:abstractNumId w:val="23"/>
  </w:num>
  <w:num w:numId="2" w16cid:durableId="969282397">
    <w:abstractNumId w:val="10"/>
  </w:num>
  <w:num w:numId="3" w16cid:durableId="576939238">
    <w:abstractNumId w:val="31"/>
  </w:num>
  <w:num w:numId="4" w16cid:durableId="743260390">
    <w:abstractNumId w:val="4"/>
  </w:num>
  <w:num w:numId="5" w16cid:durableId="641471108">
    <w:abstractNumId w:val="0"/>
  </w:num>
  <w:num w:numId="6" w16cid:durableId="1464695656">
    <w:abstractNumId w:val="29"/>
  </w:num>
  <w:num w:numId="7" w16cid:durableId="1974480685">
    <w:abstractNumId w:val="12"/>
  </w:num>
  <w:num w:numId="8" w16cid:durableId="1403797709">
    <w:abstractNumId w:val="8"/>
  </w:num>
  <w:num w:numId="9" w16cid:durableId="1922135885">
    <w:abstractNumId w:val="13"/>
  </w:num>
  <w:num w:numId="10" w16cid:durableId="2018997691">
    <w:abstractNumId w:val="5"/>
  </w:num>
  <w:num w:numId="11" w16cid:durableId="979504970">
    <w:abstractNumId w:val="20"/>
  </w:num>
  <w:num w:numId="12" w16cid:durableId="1447699316">
    <w:abstractNumId w:val="14"/>
  </w:num>
  <w:num w:numId="13" w16cid:durableId="800194833">
    <w:abstractNumId w:val="21"/>
  </w:num>
  <w:num w:numId="14" w16cid:durableId="1676882135">
    <w:abstractNumId w:val="9"/>
  </w:num>
  <w:num w:numId="15" w16cid:durableId="2143578202">
    <w:abstractNumId w:val="28"/>
  </w:num>
  <w:num w:numId="16" w16cid:durableId="1083840214">
    <w:abstractNumId w:val="7"/>
  </w:num>
  <w:num w:numId="17" w16cid:durableId="1092167623">
    <w:abstractNumId w:val="17"/>
  </w:num>
  <w:num w:numId="18" w16cid:durableId="1466436303">
    <w:abstractNumId w:val="19"/>
  </w:num>
  <w:num w:numId="19" w16cid:durableId="215816523">
    <w:abstractNumId w:val="18"/>
  </w:num>
  <w:num w:numId="20" w16cid:durableId="1835417509">
    <w:abstractNumId w:val="30"/>
  </w:num>
  <w:num w:numId="21" w16cid:durableId="1985547563">
    <w:abstractNumId w:val="24"/>
  </w:num>
  <w:num w:numId="22" w16cid:durableId="1693068154">
    <w:abstractNumId w:val="22"/>
  </w:num>
  <w:num w:numId="23" w16cid:durableId="537745464">
    <w:abstractNumId w:val="3"/>
  </w:num>
  <w:num w:numId="24" w16cid:durableId="919288251">
    <w:abstractNumId w:val="6"/>
  </w:num>
  <w:num w:numId="25" w16cid:durableId="1466267984">
    <w:abstractNumId w:val="26"/>
  </w:num>
  <w:num w:numId="26" w16cid:durableId="524097460">
    <w:abstractNumId w:val="2"/>
  </w:num>
  <w:num w:numId="27" w16cid:durableId="2083217395">
    <w:abstractNumId w:val="1"/>
  </w:num>
  <w:num w:numId="28" w16cid:durableId="1837453209">
    <w:abstractNumId w:val="16"/>
  </w:num>
  <w:num w:numId="29" w16cid:durableId="1087769695">
    <w:abstractNumId w:val="25"/>
  </w:num>
  <w:num w:numId="30" w16cid:durableId="152795443">
    <w:abstractNumId w:val="11"/>
  </w:num>
  <w:num w:numId="31" w16cid:durableId="1715619657">
    <w:abstractNumId w:val="27"/>
  </w:num>
  <w:num w:numId="32" w16cid:durableId="2045905194">
    <w:abstractNumId w:val="32"/>
  </w:num>
  <w:num w:numId="33" w16cid:durableId="19418641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E40"/>
    <w:rsid w:val="000168DF"/>
    <w:rsid w:val="000B4E40"/>
    <w:rsid w:val="00392564"/>
    <w:rsid w:val="00445C14"/>
    <w:rsid w:val="00482DA9"/>
    <w:rsid w:val="005B0E7F"/>
    <w:rsid w:val="00837CB4"/>
    <w:rsid w:val="008B2774"/>
    <w:rsid w:val="00984018"/>
    <w:rsid w:val="00993AAF"/>
    <w:rsid w:val="00B3080B"/>
    <w:rsid w:val="00BE4793"/>
    <w:rsid w:val="00C7583F"/>
    <w:rsid w:val="00DB18DA"/>
    <w:rsid w:val="00F02360"/>
    <w:rsid w:val="00F15E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5394"/>
  <w15:chartTrackingRefBased/>
  <w15:docId w15:val="{C891F8B3-5BEB-45A7-926E-4E3AC45F8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B4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B4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B4E4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B4E4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B4E4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B4E4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B4E4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B4E4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B4E4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B4E4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B4E4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B4E4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B4E4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B4E4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B4E4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B4E4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B4E4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B4E40"/>
    <w:rPr>
      <w:rFonts w:eastAsiaTheme="majorEastAsia" w:cstheme="majorBidi"/>
      <w:color w:val="272727" w:themeColor="text1" w:themeTint="D8"/>
    </w:rPr>
  </w:style>
  <w:style w:type="paragraph" w:styleId="Tytu">
    <w:name w:val="Title"/>
    <w:basedOn w:val="Normalny"/>
    <w:next w:val="Normalny"/>
    <w:link w:val="TytuZnak"/>
    <w:uiPriority w:val="10"/>
    <w:qFormat/>
    <w:rsid w:val="000B4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B4E4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B4E4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B4E4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B4E40"/>
    <w:pPr>
      <w:spacing w:before="160"/>
      <w:jc w:val="center"/>
    </w:pPr>
    <w:rPr>
      <w:i/>
      <w:iCs/>
      <w:color w:val="404040" w:themeColor="text1" w:themeTint="BF"/>
    </w:rPr>
  </w:style>
  <w:style w:type="character" w:customStyle="1" w:styleId="CytatZnak">
    <w:name w:val="Cytat Znak"/>
    <w:basedOn w:val="Domylnaczcionkaakapitu"/>
    <w:link w:val="Cytat"/>
    <w:uiPriority w:val="29"/>
    <w:rsid w:val="000B4E40"/>
    <w:rPr>
      <w:i/>
      <w:iCs/>
      <w:color w:val="404040" w:themeColor="text1" w:themeTint="BF"/>
    </w:rPr>
  </w:style>
  <w:style w:type="paragraph" w:styleId="Akapitzlist">
    <w:name w:val="List Paragraph"/>
    <w:basedOn w:val="Normalny"/>
    <w:uiPriority w:val="34"/>
    <w:qFormat/>
    <w:rsid w:val="000B4E40"/>
    <w:pPr>
      <w:ind w:left="720"/>
      <w:contextualSpacing/>
    </w:pPr>
  </w:style>
  <w:style w:type="character" w:styleId="Wyrnienieintensywne">
    <w:name w:val="Intense Emphasis"/>
    <w:basedOn w:val="Domylnaczcionkaakapitu"/>
    <w:uiPriority w:val="21"/>
    <w:qFormat/>
    <w:rsid w:val="000B4E40"/>
    <w:rPr>
      <w:i/>
      <w:iCs/>
      <w:color w:val="0F4761" w:themeColor="accent1" w:themeShade="BF"/>
    </w:rPr>
  </w:style>
  <w:style w:type="paragraph" w:styleId="Cytatintensywny">
    <w:name w:val="Intense Quote"/>
    <w:basedOn w:val="Normalny"/>
    <w:next w:val="Normalny"/>
    <w:link w:val="CytatintensywnyZnak"/>
    <w:uiPriority w:val="30"/>
    <w:qFormat/>
    <w:rsid w:val="000B4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B4E40"/>
    <w:rPr>
      <w:i/>
      <w:iCs/>
      <w:color w:val="0F4761" w:themeColor="accent1" w:themeShade="BF"/>
    </w:rPr>
  </w:style>
  <w:style w:type="character" w:styleId="Odwoanieintensywne">
    <w:name w:val="Intense Reference"/>
    <w:basedOn w:val="Domylnaczcionkaakapitu"/>
    <w:uiPriority w:val="32"/>
    <w:qFormat/>
    <w:rsid w:val="000B4E40"/>
    <w:rPr>
      <w:b/>
      <w:bCs/>
      <w:smallCaps/>
      <w:color w:val="0F4761" w:themeColor="accent1" w:themeShade="BF"/>
      <w:spacing w:val="5"/>
    </w:rPr>
  </w:style>
  <w:style w:type="table" w:styleId="Jasnecieniowanieakcent1">
    <w:name w:val="Light Shading Accent 1"/>
    <w:basedOn w:val="Standardowy"/>
    <w:uiPriority w:val="60"/>
    <w:semiHidden/>
    <w:unhideWhenUsed/>
    <w:rsid w:val="00482DA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999</Words>
  <Characters>5995</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Tomczyk</dc:creator>
  <cp:keywords/>
  <dc:description/>
  <cp:lastModifiedBy>Krzysztof Tomczyk</cp:lastModifiedBy>
  <cp:revision>9</cp:revision>
  <dcterms:created xsi:type="dcterms:W3CDTF">2026-06-18T09:12:00Z</dcterms:created>
  <dcterms:modified xsi:type="dcterms:W3CDTF">2026-06-18T09:45:00Z</dcterms:modified>
</cp:coreProperties>
</file>