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02" w:firstLineChars="50"/>
        <w:jc w:val="left"/>
        <w:rPr>
          <w:rFonts w:ascii="Times New Roman" w:hAnsi="Times New Roman" w:eastAsia="楷体" w:cs="Times New Roman"/>
          <w:b/>
          <w:sz w:val="80"/>
          <w:szCs w:val="80"/>
        </w:rPr>
      </w:pPr>
    </w:p>
    <w:p>
      <w:pPr>
        <w:ind w:firstLine="602" w:firstLineChars="50"/>
        <w:jc w:val="center"/>
        <w:rPr>
          <w:rFonts w:ascii="Times New Roman" w:hAnsi="Times New Roman" w:eastAsia="楷体" w:cs="Times New Roman"/>
          <w:b/>
          <w:sz w:val="120"/>
          <w:szCs w:val="120"/>
        </w:rPr>
      </w:pPr>
      <w:r>
        <w:rPr>
          <w:rFonts w:hint="eastAsia" w:ascii="Times New Roman" w:hAnsi="楷体" w:eastAsia="楷体" w:cs="Times New Roman"/>
          <w:b/>
          <w:sz w:val="120"/>
          <w:szCs w:val="120"/>
        </w:rPr>
        <w:t>东南大学</w:t>
      </w:r>
    </w:p>
    <w:p>
      <w:pPr>
        <w:jc w:val="left"/>
        <w:rPr>
          <w:rFonts w:ascii="Times New Roman" w:hAnsi="Times New Roman" w:eastAsia="楷体" w:cs="Times New Roman"/>
          <w:b/>
          <w:color w:val="FF0000"/>
          <w:sz w:val="60"/>
          <w:szCs w:val="60"/>
        </w:rPr>
      </w:pPr>
    </w:p>
    <w:p>
      <w:pPr>
        <w:jc w:val="left"/>
        <w:rPr>
          <w:rFonts w:ascii="Times New Roman" w:hAnsi="Times New Roman" w:eastAsia="楷体" w:cs="Times New Roman"/>
          <w:b/>
          <w:sz w:val="60"/>
          <w:szCs w:val="60"/>
        </w:rPr>
      </w:pPr>
    </w:p>
    <w:p>
      <w:pPr>
        <w:jc w:val="center"/>
        <w:rPr>
          <w:rFonts w:ascii="Times New Roman" w:hAnsi="Times New Roman" w:eastAsia="楷体" w:cs="Times New Roman"/>
          <w:b/>
          <w:sz w:val="70"/>
          <w:szCs w:val="70"/>
        </w:rPr>
      </w:pPr>
      <w:r>
        <w:rPr>
          <w:rFonts w:ascii="Times New Roman" w:hAnsi="楷体" w:eastAsia="楷体" w:cs="Times New Roman"/>
          <w:b/>
          <w:sz w:val="70"/>
          <w:szCs w:val="70"/>
        </w:rPr>
        <w:t>《</w:t>
      </w:r>
      <w:r>
        <w:rPr>
          <w:rFonts w:hint="eastAsia" w:ascii="Times New Roman" w:hAnsi="楷体" w:eastAsia="楷体" w:cs="Times New Roman"/>
          <w:b/>
          <w:sz w:val="70"/>
          <w:szCs w:val="70"/>
        </w:rPr>
        <w:t>协作通信与网络</w:t>
      </w:r>
      <w:r>
        <w:rPr>
          <w:rFonts w:ascii="Times New Roman" w:hAnsi="楷体" w:eastAsia="楷体" w:cs="Times New Roman"/>
          <w:b/>
          <w:sz w:val="70"/>
          <w:szCs w:val="70"/>
        </w:rPr>
        <w:t>》</w:t>
      </w:r>
    </w:p>
    <w:p>
      <w:pPr>
        <w:ind w:firstLine="2670" w:firstLineChars="950"/>
        <w:jc w:val="left"/>
        <w:rPr>
          <w:rFonts w:ascii="Times New Roman" w:hAnsi="Times New Roman" w:eastAsia="楷体" w:cs="Times New Roman"/>
          <w:b/>
          <w:color w:val="FF0000"/>
          <w:sz w:val="28"/>
          <w:szCs w:val="28"/>
        </w:rPr>
      </w:pPr>
    </w:p>
    <w:p>
      <w:pPr>
        <w:ind w:firstLine="2811" w:firstLineChars="400"/>
        <w:rPr>
          <w:rFonts w:ascii="Times New Roman" w:hAnsi="Times New Roman" w:eastAsia="楷体" w:cs="Times New Roman"/>
          <w:b/>
          <w:sz w:val="70"/>
          <w:szCs w:val="70"/>
        </w:rPr>
      </w:pPr>
      <w:r>
        <w:rPr>
          <w:rFonts w:ascii="Times New Roman" w:hAnsi="楷体" w:eastAsia="楷体" w:cs="Times New Roman"/>
          <w:b/>
          <w:sz w:val="70"/>
          <w:szCs w:val="70"/>
        </w:rPr>
        <w:t>实验</w:t>
      </w:r>
      <w:r>
        <w:rPr>
          <w:rFonts w:hint="eastAsia" w:ascii="Times New Roman" w:hAnsi="楷体" w:eastAsia="楷体" w:cs="Times New Roman"/>
          <w:b/>
          <w:sz w:val="70"/>
          <w:szCs w:val="70"/>
        </w:rPr>
        <w:t>报告</w:t>
      </w:r>
    </w:p>
    <w:p>
      <w:pPr>
        <w:ind w:firstLine="2670" w:firstLineChars="950"/>
        <w:jc w:val="left"/>
        <w:rPr>
          <w:rFonts w:ascii="Times New Roman" w:hAnsi="Times New Roman" w:eastAsia="楷体" w:cs="Times New Roman"/>
          <w:b/>
          <w:color w:val="FF0000"/>
          <w:sz w:val="28"/>
          <w:szCs w:val="28"/>
        </w:rPr>
      </w:pPr>
    </w:p>
    <w:p>
      <w:pPr>
        <w:ind w:firstLine="2670" w:firstLineChars="950"/>
        <w:jc w:val="left"/>
        <w:rPr>
          <w:rFonts w:ascii="Times New Roman" w:hAnsi="Times New Roman" w:eastAsia="楷体" w:cs="Times New Roman"/>
          <w:b/>
          <w:color w:val="FF0000"/>
          <w:sz w:val="28"/>
          <w:szCs w:val="28"/>
        </w:rPr>
      </w:pPr>
    </w:p>
    <w:p>
      <w:pPr>
        <w:jc w:val="left"/>
        <w:rPr>
          <w:rFonts w:ascii="Times New Roman" w:hAnsi="Times New Roman" w:eastAsia="楷体" w:cs="Times New Roman"/>
          <w:b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eastAsia="楷体" w:cs="Times New Roman"/>
          <w:b/>
          <w:color w:val="FF0000"/>
          <w:sz w:val="28"/>
          <w:szCs w:val="28"/>
        </w:rPr>
        <w:t xml:space="preserve">           </w:t>
      </w:r>
      <w:r>
        <w:rPr>
          <w:rFonts w:hint="eastAsia" w:ascii="Times New Roman" w:hAnsi="Times New Roman" w:eastAsia="楷体" w:cs="Times New Roman"/>
          <w:b/>
          <w:sz w:val="28"/>
          <w:szCs w:val="28"/>
        </w:rPr>
        <w:t>论文题目：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</w:rPr>
        <w:t xml:space="preserve"> 一般路径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  <w:lang w:val="en-US" w:eastAsia="zh-CN"/>
        </w:rPr>
        <w:t>传播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</w:rPr>
        <w:t>模型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  <w:lang w:val="en-US" w:eastAsia="zh-CN"/>
        </w:rPr>
        <w:t>路径损耗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</w:rPr>
        <w:t xml:space="preserve">与距离的关系 </w:t>
      </w:r>
    </w:p>
    <w:p>
      <w:pPr>
        <w:ind w:firstLine="1968" w:firstLineChars="700"/>
        <w:jc w:val="left"/>
        <w:rPr>
          <w:rFonts w:ascii="Times New Roman" w:hAnsi="Times New Roman" w:eastAsia="楷体" w:cs="Times New Roman"/>
          <w:b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姓 名 ：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</w:rPr>
        <w:t xml:space="preserve"> 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  <w:lang w:val="en-US" w:eastAsia="zh-CN"/>
        </w:rPr>
        <w:t>张鹏辉</w:t>
      </w:r>
      <w:r>
        <w:rPr>
          <w:rFonts w:ascii="Times New Roman" w:hAnsi="Times New Roman" w:eastAsia="楷体" w:cs="Times New Roman"/>
          <w:b/>
          <w:sz w:val="28"/>
          <w:szCs w:val="28"/>
          <w:u w:val="thick"/>
        </w:rPr>
        <w:t xml:space="preserve">                       </w:t>
      </w:r>
    </w:p>
    <w:p>
      <w:pPr>
        <w:jc w:val="left"/>
        <w:rPr>
          <w:rFonts w:ascii="Times New Roman" w:hAnsi="Times New Roman" w:eastAsia="楷体" w:cs="Times New Roman"/>
          <w:b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eastAsia="楷体" w:cs="Times New Roman"/>
          <w:b/>
          <w:color w:val="FF0000"/>
          <w:sz w:val="28"/>
          <w:szCs w:val="28"/>
        </w:rPr>
        <w:t xml:space="preserve">            </w:t>
      </w:r>
      <w:r>
        <w:rPr>
          <w:rFonts w:ascii="Times New Roman" w:hAnsi="Times New Roman" w:eastAsia="楷体" w:cs="Times New Roman"/>
          <w:b/>
          <w:sz w:val="28"/>
          <w:szCs w:val="28"/>
        </w:rPr>
        <w:t xml:space="preserve"> </w:t>
      </w:r>
      <w:r>
        <w:rPr>
          <w:rFonts w:hint="eastAsia" w:ascii="Times New Roman" w:hAnsi="Times New Roman" w:eastAsia="楷体" w:cs="Times New Roman"/>
          <w:b/>
          <w:sz w:val="28"/>
          <w:szCs w:val="28"/>
        </w:rPr>
        <w:t>学 号 ：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</w:rPr>
        <w:t xml:space="preserve"> 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  <w:lang w:val="en-US" w:eastAsia="zh-CN"/>
        </w:rPr>
        <w:t>04016632</w:t>
      </w:r>
      <w:r>
        <w:rPr>
          <w:rFonts w:ascii="Times New Roman" w:hAnsi="Times New Roman" w:eastAsia="楷体" w:cs="Times New Roman"/>
          <w:b/>
          <w:sz w:val="28"/>
          <w:szCs w:val="28"/>
          <w:u w:val="thick"/>
        </w:rPr>
        <w:t xml:space="preserve">                     </w:t>
      </w:r>
    </w:p>
    <w:p>
      <w:pPr>
        <w:ind w:firstLine="1687" w:firstLineChars="600"/>
        <w:jc w:val="left"/>
        <w:rPr>
          <w:rFonts w:ascii="Times New Roman" w:hAnsi="Times New Roman" w:eastAsia="楷体" w:cs="Times New Roman"/>
          <w:b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专业班级：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</w:rPr>
        <w:t xml:space="preserve"> 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  <w:lang w:val="en-US" w:eastAsia="zh-CN"/>
        </w:rPr>
        <w:t xml:space="preserve">040166   </w:t>
      </w:r>
      <w:r>
        <w:rPr>
          <w:rFonts w:ascii="Times New Roman" w:hAnsi="Times New Roman" w:eastAsia="楷体" w:cs="Times New Roman"/>
          <w:b/>
          <w:sz w:val="28"/>
          <w:szCs w:val="28"/>
          <w:u w:val="thick"/>
        </w:rPr>
        <w:t xml:space="preserve">                    </w:t>
      </w:r>
    </w:p>
    <w:p>
      <w:pPr>
        <w:ind w:firstLine="1687" w:firstLineChars="600"/>
        <w:jc w:val="left"/>
        <w:rPr>
          <w:rFonts w:ascii="Times New Roman" w:hAnsi="Times New Roman" w:eastAsia="楷体" w:cs="Times New Roman"/>
          <w:b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学院名称：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</w:rPr>
        <w:t xml:space="preserve"> 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  <w:lang w:val="en-US" w:eastAsia="zh-CN"/>
        </w:rPr>
        <w:t>信息科学与工程学院</w:t>
      </w:r>
      <w:r>
        <w:rPr>
          <w:rFonts w:ascii="Times New Roman" w:hAnsi="Times New Roman" w:eastAsia="楷体" w:cs="Times New Roman"/>
          <w:b/>
          <w:sz w:val="28"/>
          <w:szCs w:val="28"/>
          <w:u w:val="thick"/>
        </w:rPr>
        <w:t xml:space="preserve">           </w:t>
      </w:r>
    </w:p>
    <w:p>
      <w:pPr>
        <w:jc w:val="center"/>
        <w:rPr>
          <w:rFonts w:ascii="Times New Roman" w:hAnsi="Times New Roman" w:eastAsia="楷体" w:cs="Times New Roman"/>
          <w:b/>
          <w:color w:val="FF0000"/>
          <w:sz w:val="24"/>
          <w:szCs w:val="24"/>
        </w:rPr>
      </w:pPr>
    </w:p>
    <w:p>
      <w:pPr>
        <w:ind w:firstLine="1928" w:firstLineChars="800"/>
        <w:rPr>
          <w:rFonts w:ascii="Times New Roman" w:hAnsi="Times New Roman" w:eastAsia="楷体" w:cs="Times New Roman"/>
          <w:b/>
          <w:color w:val="FF0000"/>
          <w:sz w:val="24"/>
          <w:szCs w:val="24"/>
        </w:rPr>
      </w:pPr>
      <w:r>
        <w:rPr>
          <w:rFonts w:hint="eastAsia" w:ascii="Times New Roman" w:hAnsi="Times New Roman" w:eastAsia="楷体" w:cs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hAnsi="Times New Roman" w:eastAsia="楷体" w:cs="Times New Roman"/>
          <w:b/>
          <w:color w:val="FF0000"/>
          <w:sz w:val="24"/>
          <w:szCs w:val="24"/>
        </w:rPr>
        <w:t xml:space="preserve">                 </w:t>
      </w:r>
    </w:p>
    <w:p>
      <w:pPr>
        <w:ind w:firstLine="1928" w:firstLineChars="800"/>
        <w:rPr>
          <w:rFonts w:ascii="Times New Roman" w:hAnsi="Times New Roman" w:eastAsia="楷体" w:cs="Times New Roman"/>
          <w:b/>
          <w:color w:val="FF0000"/>
          <w:sz w:val="24"/>
          <w:szCs w:val="24"/>
        </w:rPr>
      </w:pPr>
    </w:p>
    <w:p>
      <w:pPr>
        <w:jc w:val="center"/>
        <w:rPr>
          <w:rFonts w:ascii="Times New Roman" w:hAnsi="Times New Roman" w:eastAsia="楷体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eastAsia="楷体" w:cs="Times New Roman"/>
          <w:b/>
          <w:color w:val="000000" w:themeColor="text1"/>
          <w:sz w:val="32"/>
          <w:szCs w:val="32"/>
        </w:rPr>
        <w:t xml:space="preserve">       </w:t>
      </w:r>
      <w:r>
        <w:rPr>
          <w:rFonts w:hint="eastAsia" w:ascii="Times New Roman" w:hAnsi="Times New Roman" w:eastAsia="楷体" w:cs="Times New Roman"/>
          <w:b/>
          <w:color w:val="000000" w:themeColor="text1"/>
          <w:sz w:val="32"/>
          <w:szCs w:val="32"/>
        </w:rPr>
        <w:t>2018年10月</w:t>
      </w: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pStyle w:val="3"/>
        <w:numPr>
          <w:ilvl w:val="0"/>
          <w:numId w:val="0"/>
        </w:numPr>
        <w:spacing w:line="480" w:lineRule="auto"/>
        <w:ind w:left="759" w:hanging="759"/>
      </w:pPr>
      <w:bookmarkStart w:id="0" w:name="_MON_1067361298"/>
      <w:bookmarkEnd w:id="0"/>
      <w:bookmarkStart w:id="1" w:name="_MON_1069343902"/>
      <w:bookmarkEnd w:id="1"/>
      <w:bookmarkStart w:id="2" w:name="_MON_1067360971"/>
      <w:bookmarkEnd w:id="2"/>
      <w:r>
        <w:rPr>
          <w:rFonts w:hint="eastAsia"/>
        </w:rPr>
        <w:t>一、实验目的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实验工具：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Matlab R2017b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实验目的：了解一般路径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</w:rPr>
        <w:t>传播</w:t>
      </w:r>
      <w:bookmarkStart w:id="3" w:name="_GoBack"/>
      <w:bookmarkEnd w:id="3"/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模型中路径损耗与距离的关系，熟练操作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matlab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软件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</w:p>
    <w:p>
      <w:pPr>
        <w:pStyle w:val="3"/>
        <w:numPr>
          <w:ilvl w:val="0"/>
          <w:numId w:val="0"/>
        </w:numPr>
        <w:ind w:left="759" w:hanging="759"/>
      </w:pPr>
      <w:r>
        <w:rPr>
          <w:rFonts w:hint="eastAsia"/>
        </w:rPr>
        <w:t>二、实验要求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1、根据公式(1.2</w:t>
      </w: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>)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、（1.3）及（1.5）给出的数学表达式编写程序，得到需要的关系曲线。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2、列出上机的调试程序。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3、进行实验结果的分析和讨论。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4、简述实验心得体会及其他。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</w:p>
    <w:p>
      <w:pPr>
        <w:pStyle w:val="3"/>
        <w:numPr>
          <w:ilvl w:val="0"/>
          <w:numId w:val="0"/>
        </w:numPr>
        <w:ind w:left="759" w:hanging="759"/>
      </w:pPr>
      <w:r>
        <w:rPr>
          <w:rFonts w:hint="eastAsia"/>
        </w:rPr>
        <w:t>三、实验内容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1.实验原理</w:t>
      </w:r>
    </w:p>
    <w:p>
      <w:pPr>
        <w:spacing w:line="480" w:lineRule="auto"/>
        <w:ind w:firstLine="480" w:firstLineChars="200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自由空间传播模型用于预测视距(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Line-of-sight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>，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>)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环境（发射机和接收机之间没有障碍物）中接收信号的强度。卫星通信系统中经常采用这个模型。令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>d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表示发射机和接收机之间的距离（单位：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>m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）。当使用各向异性的天线时，发射天线的增益为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>G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:vertAlign w:val="subscript"/>
        </w:rPr>
        <w:t>t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，接收天线的增益为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r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，则距离为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>d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的接收信号功率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>P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(d)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，可以由著名的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riis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公式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vertAlign w:val="superscript"/>
        </w:rPr>
        <w:t>[</w:t>
      </w:r>
      <w:r>
        <w:rPr>
          <w:rFonts w:cs="Times New Roman" w:asciiTheme="minorEastAsia" w:hAnsiTheme="minorEastAsia"/>
          <w:color w:val="000000" w:themeColor="text1"/>
          <w:sz w:val="24"/>
          <w:szCs w:val="24"/>
          <w:vertAlign w:val="superscript"/>
        </w:rPr>
        <w:t>1]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表示为</w:t>
      </w:r>
    </w:p>
    <w:p>
      <w:pPr>
        <w:spacing w:line="480" w:lineRule="auto"/>
        <w:ind w:firstLine="420" w:firstLineChars="200"/>
        <w:jc w:val="center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t xml:space="preserve">                          </w:t>
      </w:r>
      <w:r>
        <w:rPr>
          <w:position w:val="-36"/>
        </w:rPr>
        <w:object>
          <v:shape id="_x0000_i1025" o:spt="75" type="#_x0000_t75" style="height:39pt;width:93.7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t xml:space="preserve">                          </w:t>
      </w:r>
      <w:r>
        <w:rPr>
          <w:rFonts w:hint="eastAsia"/>
          <w:sz w:val="24"/>
          <w:szCs w:val="24"/>
        </w:rPr>
        <w:t>（1.1）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其中，</w:t>
      </w:r>
      <w:r>
        <w:rPr>
          <w:rFonts w:hint="eastAsia"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为发射功率（单位：</w:t>
      </w:r>
      <w:r>
        <w:rPr>
          <w:rFonts w:hint="eastAsia" w:ascii="Times New Roman" w:hAnsi="Times New Roman" w:cs="Times New Roman"/>
          <w:sz w:val="24"/>
          <w:szCs w:val="24"/>
        </w:rPr>
        <w:t>W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）,</w:t>
      </w:r>
      <w:r>
        <w:rPr>
          <w:sz w:val="24"/>
          <w:szCs w:val="24"/>
        </w:rPr>
        <w:t xml:space="preserve"> </w:t>
      </w:r>
      <w:r>
        <w:rPr>
          <w:position w:val="-6"/>
          <w:sz w:val="24"/>
          <w:szCs w:val="24"/>
        </w:rPr>
        <w:object>
          <v:shape id="_x0000_i1026" o:spt="75" type="#_x0000_t75" style="height:14.25pt;width:11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hint="eastAsia"/>
          <w:sz w:val="24"/>
          <w:szCs w:val="24"/>
        </w:rPr>
        <w:t>为发射波长（单位：</w:t>
      </w:r>
      <w:r>
        <w:rPr>
          <w:rFonts w:hint="eastAsia" w:ascii="Times New Roman" w:hAnsi="Times New Roman" w:cs="Times New Roman"/>
          <w:sz w:val="24"/>
          <w:szCs w:val="24"/>
        </w:rPr>
        <w:t>m</w:t>
      </w:r>
      <w:r>
        <w:rPr>
          <w:rFonts w:hint="eastAsia"/>
          <w:sz w:val="24"/>
          <w:szCs w:val="24"/>
        </w:rPr>
        <w:t>），</w:t>
      </w:r>
      <w:r>
        <w:rPr>
          <w:rFonts w:hint="eastAsia" w:ascii="Times New Roman" w:hAnsi="Times New Roman" w:cs="Times New Roman"/>
          <w:sz w:val="24"/>
          <w:szCs w:val="24"/>
        </w:rPr>
        <w:t>L</w:t>
      </w:r>
      <w:r>
        <w:rPr>
          <w:rFonts w:hint="eastAsia"/>
          <w:sz w:val="24"/>
          <w:szCs w:val="24"/>
        </w:rPr>
        <w:t>为传播环境无关的系统损耗系数。系统损耗系数表示实际硬件系统中的总体衰减或损耗，包括传输线、滤波器和天线。总的来说，</w:t>
      </w:r>
      <w:r>
        <w:rPr>
          <w:rFonts w:ascii="Times New Roman" w:hAnsi="Times New Roman" w:cs="Times New Roman"/>
          <w:sz w:val="24"/>
          <w:szCs w:val="24"/>
        </w:rPr>
        <w:t>L&gt;1</w:t>
      </w:r>
      <w:r>
        <w:rPr>
          <w:rFonts w:hint="eastAsia"/>
          <w:sz w:val="24"/>
          <w:szCs w:val="24"/>
        </w:rPr>
        <w:t>，但是如果假设系统硬件没有损耗，则</w:t>
      </w:r>
      <w:r>
        <w:rPr>
          <w:rFonts w:hint="eastAsia" w:ascii="Times New Roman" w:hAnsi="Times New Roman" w:cs="Times New Roman"/>
          <w:sz w:val="24"/>
          <w:szCs w:val="24"/>
        </w:rPr>
        <w:t>L=1</w:t>
      </w:r>
      <w:r>
        <w:rPr>
          <w:rFonts w:hint="eastAsia"/>
          <w:sz w:val="24"/>
          <w:szCs w:val="24"/>
        </w:rPr>
        <w:t>。从式（1.1）可以明细看到接收功率随距离d呈指数规律衰减。对于没有任何系统损耗的自由空间路径损耗</w:t>
      </w:r>
      <w:r>
        <w:rPr>
          <w:rFonts w:ascii="Times New Roman" w:hAnsi="Times New Roman" w:cs="Times New Roman"/>
          <w:sz w:val="24"/>
          <w:szCs w:val="24"/>
        </w:rPr>
        <w:t>PL</w:t>
      </w:r>
      <w:r>
        <w:rPr>
          <w:rFonts w:ascii="Times New Roman" w:hAnsi="Times New Roman" w:cs="Times New Roman"/>
          <w:sz w:val="24"/>
          <w:szCs w:val="24"/>
          <w:vertAlign w:val="subscript"/>
        </w:rPr>
        <w:t>F</w:t>
      </w:r>
      <w:r>
        <w:rPr>
          <w:rFonts w:ascii="Times New Roman" w:hAnsi="Times New Roman" w:cs="Times New Roman"/>
          <w:sz w:val="24"/>
          <w:szCs w:val="24"/>
        </w:rPr>
        <w:t>(d)</w:t>
      </w:r>
      <w:r>
        <w:rPr>
          <w:rFonts w:hint="eastAsia"/>
          <w:sz w:val="24"/>
          <w:szCs w:val="24"/>
        </w:rPr>
        <w:t>，可以在式（1.1）中取</w:t>
      </w:r>
      <w:r>
        <w:rPr>
          <w:rFonts w:hint="eastAsia" w:ascii="Times New Roman" w:hAnsi="Times New Roman" w:cs="Times New Roman"/>
          <w:sz w:val="24"/>
          <w:szCs w:val="24"/>
        </w:rPr>
        <w:t>L=1直接得到，即</w:t>
      </w: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t xml:space="preserve">             </w:t>
      </w:r>
      <w:r>
        <w:rPr>
          <w:position w:val="-36"/>
        </w:rPr>
        <w:object>
          <v:shape id="_x0000_i1027" o:spt="75" type="#_x0000_t75" style="height:42pt;width:249.7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t xml:space="preserve">              </w:t>
      </w:r>
      <w:r>
        <w:rPr>
          <w:rFonts w:hint="eastAsia"/>
          <w:sz w:val="24"/>
          <w:szCs w:val="24"/>
        </w:rPr>
        <w:t>（1.2）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没有天线增益（即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>G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:vertAlign w:val="subscript"/>
        </w:rPr>
        <w:t>t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=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r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=1）时，式（1.2）简化为</w:t>
      </w: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t xml:space="preserve">               </w:t>
      </w:r>
      <w:r>
        <w:rPr>
          <w:position w:val="-32"/>
        </w:rPr>
        <w:object>
          <v:shape id="_x0000_i1028" o:spt="75" type="#_x0000_t75" style="height:38.25pt;width:222.7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t xml:space="preserve">                 </w:t>
      </w:r>
      <w:r>
        <w:rPr>
          <w:rFonts w:hint="eastAsia"/>
          <w:sz w:val="24"/>
          <w:szCs w:val="24"/>
        </w:rPr>
        <w:t>（1.3）</w:t>
      </w:r>
    </w:p>
    <w:p>
      <w:pPr>
        <w:spacing w:line="480" w:lineRule="auto"/>
        <w:ind w:firstLine="480" w:firstLineChars="200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与前面提到的自由空间路径损耗一样，在所有其他的实际环境中，平均接收信号功率随距离d呈对数方式减小。通过引入随着环境而改变的路径损耗指数n，可以修正自由空间路径损耗模型，从而构造出一个更为普遍的路径衰落模型。这就是所熟知的对数距离路径损耗模型：</w:t>
      </w: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t xml:space="preserve">                  </w:t>
      </w:r>
      <w:r>
        <w:rPr>
          <w:position w:val="-32"/>
        </w:rPr>
        <w:object>
          <v:shape id="_x0000_i1029" o:spt="75" type="#_x0000_t75" style="height:38.25pt;width:201.7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t xml:space="preserve">                 </w:t>
      </w:r>
      <w:r>
        <w:rPr>
          <w:rFonts w:hint="eastAsia"/>
          <w:sz w:val="24"/>
          <w:szCs w:val="24"/>
        </w:rPr>
        <w:t>（1.4）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其中，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是一个参考距离。在参考距离或者接近参考距离的位置，路径损耗具有式（1.2）中自由空间损耗的特点。如表1.1所示，路径损耗指数主要由传播环境决定，其变化范围为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2~6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，其中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>n=2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对应用自由空间的情况。此外，当障碍物很多时，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>n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会增大。对于不同的传播环境必须确定合适的参考距离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。例如，在大覆盖范围的蜂窝系统（即半径大于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>10km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的蜂窝系统）中，通常会设置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为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>1km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。然而，对于小区半径为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>1km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的宏峰窝系统或者具有极小半径的微蜂窝系统，可以分别设置参考距离为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>100m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或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>1m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[2]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。</w:t>
      </w: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表1.1</w:t>
      </w: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路径损耗指数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vertAlign w:val="superscript"/>
        </w:rPr>
        <w:t>[</w:t>
      </w:r>
      <w:r>
        <w:rPr>
          <w:rFonts w:cs="Times New Roman" w:asciiTheme="minorEastAsia" w:hAnsiTheme="minorEastAsia"/>
          <w:color w:val="000000" w:themeColor="text1"/>
          <w:sz w:val="24"/>
          <w:szCs w:val="24"/>
          <w:vertAlign w:val="superscript"/>
        </w:rPr>
        <w:t>3]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</w:rPr>
              <w:t>环境</w:t>
            </w:r>
          </w:p>
        </w:tc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</w:rPr>
              <w:t>路径损耗指数（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24"/>
                <w:szCs w:val="24"/>
              </w:rPr>
              <w:t>n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</w:rPr>
              <w:t>自由空间</w:t>
            </w:r>
          </w:p>
        </w:tc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</w:rPr>
              <w:t>市区蜂窝</w:t>
            </w:r>
          </w:p>
        </w:tc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2.7~3.5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</w:rPr>
              <w:t>市区蜂窝阴影</w:t>
            </w:r>
          </w:p>
        </w:tc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3~5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</w:rPr>
              <w:t>建筑物内视距传输</w:t>
            </w:r>
          </w:p>
        </w:tc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1.6~1.8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</w:rPr>
              <w:t>建筑物内障碍物阻挡</w:t>
            </w:r>
          </w:p>
        </w:tc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4~6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</w:rPr>
              <w:t>工厂内障碍物阻挡</w:t>
            </w:r>
          </w:p>
        </w:tc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2~3</w:t>
            </w:r>
          </w:p>
        </w:tc>
      </w:tr>
    </w:tbl>
    <w:p>
      <w:pPr>
        <w:spacing w:line="480" w:lineRule="auto"/>
        <w:ind w:firstLine="480" w:firstLineChars="200"/>
        <w:rPr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由于周围环境会随着接收机的实际位置不同而改变，即使发射机到接收机之间的距离相同，每条路径也将具有不同的路径损耗。然而，上述提到的所有路径损耗模型并没有将这种特殊情况考虑在内。因此涉及更加真实的环境时，对数正态阴影模型将更为实用。令</w:t>
      </w:r>
      <w:r>
        <w:rPr>
          <w:position w:val="-12"/>
          <w:sz w:val="24"/>
          <w:szCs w:val="24"/>
        </w:rPr>
        <w:object>
          <v:shape id="_x0000_i1030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表示均值为0，标准差为</w:t>
      </w:r>
      <w:r>
        <w:rPr>
          <w:position w:val="-6"/>
          <w:sz w:val="24"/>
          <w:szCs w:val="24"/>
        </w:rPr>
        <w:object>
          <v:shape id="_x0000_i1031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hint="eastAsia"/>
          <w:sz w:val="24"/>
          <w:szCs w:val="24"/>
        </w:rPr>
        <w:t>的高斯随机变量。对数正态阴影衰落模型为</w:t>
      </w:r>
    </w:p>
    <w:p>
      <w:pPr>
        <w:spacing w:line="480" w:lineRule="auto"/>
        <w:ind w:firstLine="420" w:firstLineChars="200"/>
        <w:jc w:val="center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t xml:space="preserve">      </w:t>
      </w:r>
      <w:r>
        <w:rPr>
          <w:position w:val="-32"/>
        </w:rPr>
        <w:object>
          <v:shape id="_x0000_i1032" o:spt="75" type="#_x0000_t75" style="height:38.25pt;width:288.7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t xml:space="preserve">        </w:t>
      </w:r>
      <w:r>
        <w:rPr>
          <w:rFonts w:hint="eastAsia"/>
          <w:sz w:val="24"/>
          <w:szCs w:val="24"/>
        </w:rPr>
        <w:t>（1.5）</w:t>
      </w:r>
    </w:p>
    <w:p>
      <w:pPr>
        <w:spacing w:line="480" w:lineRule="auto"/>
        <w:rPr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换句话说，该模型允许在相同距离d处的接收机具有不同的路径损耗，并且随着随机阴影变化量</w:t>
      </w:r>
      <w:r>
        <w:rPr>
          <w:position w:val="-12"/>
          <w:sz w:val="24"/>
          <w:szCs w:val="24"/>
        </w:rPr>
        <w:object>
          <v:shape id="_x0000_i1033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sz w:val="24"/>
          <w:szCs w:val="24"/>
        </w:rPr>
        <w:t>而</w:t>
      </w:r>
      <w:r>
        <w:rPr>
          <w:rFonts w:hint="eastAsia"/>
          <w:sz w:val="24"/>
          <w:szCs w:val="24"/>
        </w:rPr>
        <w:t>变化。</w:t>
      </w:r>
    </w:p>
    <w:p>
      <w:pPr>
        <w:spacing w:line="480" w:lineRule="auto"/>
        <w:rPr>
          <w:szCs w:val="21"/>
        </w:rPr>
      </w:pPr>
      <w:r>
        <w:rPr>
          <w:rFonts w:hint="eastAsia"/>
          <w:szCs w:val="21"/>
        </w:rPr>
        <w:t>文献：</w:t>
      </w:r>
    </w:p>
    <w:p>
      <w:pPr>
        <w:spacing w:line="480" w:lineRule="auto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>[1] Friis, H.T. A note on a simple transmission formula. Proc.IRE,1946,34(5):254-256.</w:t>
      </w:r>
    </w:p>
    <w:p>
      <w:pPr>
        <w:spacing w:line="480" w:lineRule="auto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>[2] Lee, W.C.Y. Mobile Communications Engineering. McGraw Hill, New York,1985.</w:t>
      </w:r>
    </w:p>
    <w:p>
      <w:pPr>
        <w:spacing w:line="480" w:lineRule="auto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>[3] Rappaport, T.S. Wireless Communications: Principles and Practice 2/E. Prentice Hall,2001.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2.实验程序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Matlab调试程序：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程序1.1“plot</w:t>
      </w: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>_PL_general.m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”,绘制不同的路径损耗模型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%Guilu Wu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%National Mobile Communications Research Laboratory * Southeast University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%2018.10.11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%plot_PL_general.m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clf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fc=1.5e9;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d0=100;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sigma=3;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distance=[1:2:31].^2;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Gt=[1 1 0.5];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Gr=[1 0.5 0.5];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Exp=[2 3 6];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k=1:3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y_Free(k,:)=PL_free(fc,distance,Gt(k),Gr(k));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y_logdist(k,:)=PL_logdist_or_norm(fc,distance,d0,Exp(k));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y_lognorm(k,:)=PL_logdist_or_norm(fc,distance,d0,Exp(1),sigma);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%subplot(131)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figure(1)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semilogx(distance,y_Free(1,:),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,distance,y_Free(2,:),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'k-^'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,distance,y_Free(3,:),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,axis([1 1000 40 110])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'Free PL-loss Model,f_c='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,num2str(fc/1e6),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'MHz'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'Distance[m]'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'Path loss[dB]'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'G_t=1,G_r=1'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'G_t=1,G_r=0.5'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'G_t=0.5,G_r=0.5'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%subplot(132)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figure(2)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semilogx(distance,y_logdist(1,:),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,distance,y_logdist(2,:),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'k-^'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,distance,y_logdist(3,:),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,axis([1 1000 40 110])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'Log-distance Path-loss Model,f_c='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,num2str(fc/1e6),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'MHz'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'Distance[m]'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'Path loss[dB]'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'n=2'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'n=3'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'n=6'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%subplot(133)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figure(3)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semilogx(distance,y_lognorm(1,:),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,distance,y_lognorm(2,:),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'k-^'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,distance,y_lognorm(3,:),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,axis([1 1000 40 110])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'Log-normal Path-loss Model,f_c='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,num2str(fc/1e6),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'MHz,'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'\sigma='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,num2str(sigma),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'Distance[m]'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'Path loss[dB]'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'path 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'path 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'path 3'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程序1.2</w:t>
      </w: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“P</w:t>
      </w: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>L_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free”，自由空间的路径损耗模型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PL=PL_free(fc,dist,Gt,Gr)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自由空间路径损耗模型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输入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fc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：载波频率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[Hz]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dist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：基站和移动台之间的距离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[m]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Gt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：发射机天线增益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Gr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：接收机天线增益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输出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PL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：路径损耗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[dB]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lamda=3e8/fc;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tmp=lamda./(4*pi*dist);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nargin&gt;2,tmp=tmp*sqrt(Gt);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nargin&gt;3,tmp=tmp*sqrt(Gr);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PL=-20*log10(tmp);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%Ê½(1.2)/(1.3)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程序1.3</w:t>
      </w: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“P</w:t>
      </w: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>L_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log</w:t>
      </w: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>dist_or_norm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”，对数距离/正态阴影路径损耗模型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PL=PL_logdist_or_norm(fc,d,d0,n,sigma)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对数距离或对数阴影路径损耗模型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输入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 fc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：载波频率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[Hz]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  d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：基站和移动台之间的距离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[m]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 d0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：参考距离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[m]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  n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：路径损耗指数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sigma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：方差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[dB]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输出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PL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：路径损耗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[dB]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lamda=3e8/fc;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PL=-20*log10(lamda/(4*pi*d0))+10*n*log10(d/d0);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%Ê½(1.4)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nargin&gt;4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PL=PL+sigma*randn(size(d));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%Ê½(1.5)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</w:p>
    <w:p>
      <w:pPr>
        <w:pStyle w:val="3"/>
        <w:numPr>
          <w:ilvl w:val="0"/>
          <w:numId w:val="0"/>
        </w:numPr>
        <w:ind w:left="759" w:hanging="759"/>
      </w:pPr>
      <w:r>
        <w:rPr>
          <w:rFonts w:hint="eastAsia"/>
        </w:rPr>
        <w:t>四、实验结果</w:t>
      </w: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drawing>
          <wp:inline distT="0" distB="0" distL="0" distR="0">
            <wp:extent cx="5274310" cy="39554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图1.1自由空间路径损耗模型</w:t>
      </w: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drawing>
          <wp:inline distT="0" distB="0" distL="0" distR="0">
            <wp:extent cx="5274310" cy="39554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图1.2</w:t>
      </w: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对数距离路径损耗模型</w:t>
      </w: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drawing>
          <wp:inline distT="0" distB="0" distL="0" distR="0">
            <wp:extent cx="5274310" cy="39554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图1.3</w:t>
      </w: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对数正态阴影路径损耗模型</w:t>
      </w:r>
    </w:p>
    <w:p>
      <w:pPr>
        <w:pStyle w:val="3"/>
        <w:numPr>
          <w:ilvl w:val="0"/>
          <w:numId w:val="0"/>
        </w:numPr>
        <w:ind w:left="759" w:hanging="759"/>
      </w:pPr>
      <w:r>
        <w:rPr>
          <w:rFonts w:hint="eastAsia"/>
        </w:rPr>
        <w:t>五、实验总结</w:t>
      </w:r>
    </w:p>
    <w:p>
      <w:pPr>
        <w:spacing w:line="480" w:lineRule="auto"/>
        <w:ind w:firstLine="480" w:firstLineChars="200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图1.1显示了在不同天线增益的情况下，自由空间的路径损耗随距离而变化的曲线图，其中载波频率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=1.5GHz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。很明显，天线增益减小时，路径损耗增加。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 xml:space="preserve">   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图1.2所示为式（1.4）在载波频率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=1.5GHz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的对数距离路径损耗。从图中可以清楚地看到，路径损耗随着路径损耗指数n的增大而增大。</w:t>
      </w:r>
    </w:p>
    <w:p>
      <w:pPr>
        <w:spacing w:line="480" w:lineRule="auto"/>
        <w:ind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图1.3所示为服从对数正态阴影模型的路径损耗，其中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=1.5GHz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>，</w:t>
      </w:r>
      <w:r>
        <w:rPr>
          <w:position w:val="-6"/>
        </w:rPr>
        <w:object>
          <v:shape id="_x0000_i1034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5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>=3dB</w:t>
      </w:r>
      <w:r>
        <w:rPr>
          <w:rFonts w:hint="eastAsia"/>
        </w:rPr>
        <w:t>，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>n=2。从图中可以清楚地看到，在确定性地对数路径损耗模型上叠加了阴影产生地随机效应。</w:t>
      </w:r>
    </w:p>
    <w:p>
      <w:pPr>
        <w:spacing w:line="480" w:lineRule="auto"/>
        <w:ind w:firstLine="480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此次实验，加深了对于一般路径损耗模型与距离变化关系的理解，能够独立运用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matlab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语言实现其对于路径损耗与距离的仿真，实验难度不大，但是对于自身意义不小。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9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t>3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55F36"/>
    <w:multiLevelType w:val="multilevel"/>
    <w:tmpl w:val="03155F36"/>
    <w:lvl w:ilvl="0" w:tentative="0">
      <w:start w:val="1"/>
      <w:numFmt w:val="decimal"/>
      <w:pStyle w:val="2"/>
      <w:lvlText w:val="第%1章 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en-US"/>
      </w:rPr>
    </w:lvl>
    <w:lvl w:ilvl="1" w:tentative="0">
      <w:start w:val="1"/>
      <w:numFmt w:val="decimal"/>
      <w:pStyle w:val="3"/>
      <w:lvlText w:val="%1.%2"/>
      <w:lvlJc w:val="left"/>
      <w:pPr>
        <w:ind w:left="709" w:hanging="567"/>
      </w:p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863E2"/>
    <w:rsid w:val="000012BB"/>
    <w:rsid w:val="00021754"/>
    <w:rsid w:val="00025276"/>
    <w:rsid w:val="00030BCD"/>
    <w:rsid w:val="00084CC8"/>
    <w:rsid w:val="00091923"/>
    <w:rsid w:val="000C2CE1"/>
    <w:rsid w:val="000C469D"/>
    <w:rsid w:val="000C728A"/>
    <w:rsid w:val="000E11CC"/>
    <w:rsid w:val="000E1B1E"/>
    <w:rsid w:val="000F3D25"/>
    <w:rsid w:val="00106046"/>
    <w:rsid w:val="001102FF"/>
    <w:rsid w:val="001232FF"/>
    <w:rsid w:val="0012692A"/>
    <w:rsid w:val="0015405D"/>
    <w:rsid w:val="00155482"/>
    <w:rsid w:val="0016264C"/>
    <w:rsid w:val="00193CCE"/>
    <w:rsid w:val="0019700A"/>
    <w:rsid w:val="001B344B"/>
    <w:rsid w:val="001C005D"/>
    <w:rsid w:val="001C2191"/>
    <w:rsid w:val="001D0763"/>
    <w:rsid w:val="001F2FA9"/>
    <w:rsid w:val="002714A9"/>
    <w:rsid w:val="00285AD6"/>
    <w:rsid w:val="002E2D4E"/>
    <w:rsid w:val="002F29D8"/>
    <w:rsid w:val="003303BE"/>
    <w:rsid w:val="00334E7D"/>
    <w:rsid w:val="003844DB"/>
    <w:rsid w:val="003A7391"/>
    <w:rsid w:val="003D1913"/>
    <w:rsid w:val="003D6C62"/>
    <w:rsid w:val="004208D4"/>
    <w:rsid w:val="00432F02"/>
    <w:rsid w:val="00462A74"/>
    <w:rsid w:val="004800D8"/>
    <w:rsid w:val="00494659"/>
    <w:rsid w:val="0049679B"/>
    <w:rsid w:val="004B7379"/>
    <w:rsid w:val="004C136D"/>
    <w:rsid w:val="004D3F9A"/>
    <w:rsid w:val="004E591C"/>
    <w:rsid w:val="004E7BD6"/>
    <w:rsid w:val="004F308F"/>
    <w:rsid w:val="00515EF4"/>
    <w:rsid w:val="00525CF9"/>
    <w:rsid w:val="00533F97"/>
    <w:rsid w:val="0054353F"/>
    <w:rsid w:val="00545B71"/>
    <w:rsid w:val="00557F17"/>
    <w:rsid w:val="00576DFE"/>
    <w:rsid w:val="00590DCE"/>
    <w:rsid w:val="005A68D8"/>
    <w:rsid w:val="0060498F"/>
    <w:rsid w:val="00607B49"/>
    <w:rsid w:val="00660719"/>
    <w:rsid w:val="00672F41"/>
    <w:rsid w:val="00673B0F"/>
    <w:rsid w:val="006836C3"/>
    <w:rsid w:val="006B4A4C"/>
    <w:rsid w:val="006C4637"/>
    <w:rsid w:val="006D6CBE"/>
    <w:rsid w:val="006E57AA"/>
    <w:rsid w:val="00702DD0"/>
    <w:rsid w:val="007053C7"/>
    <w:rsid w:val="00706189"/>
    <w:rsid w:val="00712930"/>
    <w:rsid w:val="007509AF"/>
    <w:rsid w:val="00757D8B"/>
    <w:rsid w:val="007B4291"/>
    <w:rsid w:val="007E3D0B"/>
    <w:rsid w:val="00807C0E"/>
    <w:rsid w:val="008107A9"/>
    <w:rsid w:val="00837EF4"/>
    <w:rsid w:val="00845BC8"/>
    <w:rsid w:val="00872E85"/>
    <w:rsid w:val="00877387"/>
    <w:rsid w:val="00887992"/>
    <w:rsid w:val="008E280D"/>
    <w:rsid w:val="009736CA"/>
    <w:rsid w:val="00976614"/>
    <w:rsid w:val="009B0728"/>
    <w:rsid w:val="009C3D71"/>
    <w:rsid w:val="009E5AA2"/>
    <w:rsid w:val="00A02902"/>
    <w:rsid w:val="00A20C56"/>
    <w:rsid w:val="00A457E0"/>
    <w:rsid w:val="00A55CB7"/>
    <w:rsid w:val="00AB2770"/>
    <w:rsid w:val="00AC22C2"/>
    <w:rsid w:val="00AC5005"/>
    <w:rsid w:val="00AE0D3D"/>
    <w:rsid w:val="00AF1D38"/>
    <w:rsid w:val="00B044F3"/>
    <w:rsid w:val="00B12EC8"/>
    <w:rsid w:val="00B35FC2"/>
    <w:rsid w:val="00B83134"/>
    <w:rsid w:val="00BA397D"/>
    <w:rsid w:val="00BD3D8A"/>
    <w:rsid w:val="00C00BE9"/>
    <w:rsid w:val="00C63ACB"/>
    <w:rsid w:val="00C74F44"/>
    <w:rsid w:val="00C863E2"/>
    <w:rsid w:val="00CC7ABB"/>
    <w:rsid w:val="00D67F90"/>
    <w:rsid w:val="00DB50F5"/>
    <w:rsid w:val="00E10DDB"/>
    <w:rsid w:val="00E57D3B"/>
    <w:rsid w:val="00EA3499"/>
    <w:rsid w:val="00F01A25"/>
    <w:rsid w:val="00F22606"/>
    <w:rsid w:val="00F34C5B"/>
    <w:rsid w:val="00F41566"/>
    <w:rsid w:val="00F65671"/>
    <w:rsid w:val="00FA11C1"/>
    <w:rsid w:val="00FB3975"/>
    <w:rsid w:val="00FF19B7"/>
    <w:rsid w:val="00FF3B46"/>
    <w:rsid w:val="07651B55"/>
    <w:rsid w:val="1CA6416A"/>
    <w:rsid w:val="63D3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numPr>
        <w:ilvl w:val="0"/>
        <w:numId w:val="1"/>
      </w:numPr>
      <w:autoSpaceDE w:val="0"/>
      <w:autoSpaceDN w:val="0"/>
      <w:adjustRightInd w:val="0"/>
      <w:spacing w:line="288" w:lineRule="auto"/>
      <w:jc w:val="center"/>
      <w:outlineLvl w:val="0"/>
    </w:pPr>
    <w:rPr>
      <w:rFonts w:ascii="Times New Roman" w:hAnsi="Times New Roman" w:eastAsia="黑体" w:cs="Times New Roman"/>
      <w:b/>
      <w:bCs/>
      <w:kern w:val="0"/>
      <w:sz w:val="32"/>
      <w:szCs w:val="32"/>
    </w:rPr>
  </w:style>
  <w:style w:type="paragraph" w:styleId="3">
    <w:name w:val="heading 2"/>
    <w:basedOn w:val="2"/>
    <w:next w:val="1"/>
    <w:link w:val="21"/>
    <w:qFormat/>
    <w:uiPriority w:val="0"/>
    <w:pPr>
      <w:numPr>
        <w:ilvl w:val="1"/>
      </w:numPr>
      <w:ind w:left="759" w:hanging="759" w:hangingChars="270"/>
      <w:jc w:val="left"/>
      <w:outlineLvl w:val="1"/>
    </w:pPr>
    <w:rPr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numPr>
        <w:ilvl w:val="2"/>
        <w:numId w:val="1"/>
      </w:numPr>
      <w:spacing w:line="288" w:lineRule="auto"/>
      <w:ind w:firstLine="0"/>
      <w:outlineLvl w:val="2"/>
    </w:pPr>
    <w:rPr>
      <w:rFonts w:ascii="Times New Roman" w:hAnsi="Times New Roman" w:eastAsia="黑体" w:cs="Times New Roman"/>
      <w:b/>
      <w:kern w:val="24"/>
      <w:sz w:val="24"/>
      <w:szCs w:val="24"/>
    </w:rPr>
  </w:style>
  <w:style w:type="character" w:default="1" w:styleId="15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uiPriority w:val="0"/>
    <w:pPr>
      <w:ind w:firstLine="420"/>
    </w:pPr>
    <w:rPr>
      <w:rFonts w:ascii="Times New Roman" w:hAnsi="Times New Roman" w:eastAsia="宋体" w:cs="Times New Roman"/>
      <w:szCs w:val="20"/>
    </w:rPr>
  </w:style>
  <w:style w:type="paragraph" w:styleId="6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7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8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2">
    <w:name w:val="toc 2"/>
    <w:basedOn w:val="1"/>
    <w:next w:val="1"/>
    <w:semiHidden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3">
    <w:name w:val="Normal (Web)"/>
    <w:basedOn w:val="14"/>
    <w:next w:val="14"/>
    <w:qFormat/>
    <w:uiPriority w:val="0"/>
    <w:pPr>
      <w:spacing w:before="100" w:after="100"/>
    </w:pPr>
    <w:rPr>
      <w:color w:val="auto"/>
    </w:rPr>
  </w:style>
  <w:style w:type="paragraph" w:customStyle="1" w:styleId="14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character" w:styleId="16">
    <w:name w:val="Hyperlink"/>
    <w:basedOn w:val="15"/>
    <w:unhideWhenUsed/>
    <w:qFormat/>
    <w:uiPriority w:val="99"/>
    <w:rPr>
      <w:color w:val="0000FF" w:themeColor="hyperlink"/>
      <w:u w:val="single"/>
    </w:rPr>
  </w:style>
  <w:style w:type="table" w:styleId="18">
    <w:name w:val="Table Grid"/>
    <w:basedOn w:val="17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批注框文本 字符"/>
    <w:basedOn w:val="15"/>
    <w:link w:val="8"/>
    <w:semiHidden/>
    <w:qFormat/>
    <w:uiPriority w:val="99"/>
    <w:rPr>
      <w:sz w:val="18"/>
      <w:szCs w:val="18"/>
    </w:rPr>
  </w:style>
  <w:style w:type="character" w:customStyle="1" w:styleId="20">
    <w:name w:val="标题 1 字符"/>
    <w:basedOn w:val="15"/>
    <w:link w:val="2"/>
    <w:qFormat/>
    <w:uiPriority w:val="0"/>
    <w:rPr>
      <w:rFonts w:ascii="Times New Roman" w:hAnsi="Times New Roman" w:eastAsia="黑体" w:cs="Times New Roman"/>
      <w:b/>
      <w:bCs/>
      <w:kern w:val="0"/>
      <w:sz w:val="32"/>
      <w:szCs w:val="32"/>
    </w:rPr>
  </w:style>
  <w:style w:type="character" w:customStyle="1" w:styleId="21">
    <w:name w:val="标题 2 字符"/>
    <w:basedOn w:val="15"/>
    <w:link w:val="3"/>
    <w:qFormat/>
    <w:uiPriority w:val="0"/>
    <w:rPr>
      <w:rFonts w:ascii="Times New Roman" w:hAnsi="Times New Roman" w:eastAsia="黑体" w:cs="Times New Roman"/>
      <w:b/>
      <w:bCs/>
      <w:kern w:val="0"/>
      <w:sz w:val="28"/>
      <w:szCs w:val="32"/>
    </w:rPr>
  </w:style>
  <w:style w:type="character" w:customStyle="1" w:styleId="22">
    <w:name w:val="标题 3 字符"/>
    <w:basedOn w:val="15"/>
    <w:link w:val="4"/>
    <w:qFormat/>
    <w:uiPriority w:val="0"/>
    <w:rPr>
      <w:rFonts w:ascii="Times New Roman" w:hAnsi="Times New Roman" w:eastAsia="黑体" w:cs="Times New Roman"/>
      <w:b/>
      <w:kern w:val="24"/>
      <w:sz w:val="24"/>
      <w:szCs w:val="24"/>
    </w:rPr>
  </w:style>
  <w:style w:type="paragraph" w:customStyle="1" w:styleId="23">
    <w:name w:val="TOC 标题1"/>
    <w:basedOn w:val="2"/>
    <w:next w:val="1"/>
    <w:unhideWhenUsed/>
    <w:qFormat/>
    <w:uiPriority w:val="39"/>
    <w:pPr>
      <w:keepLines/>
      <w:widowControl/>
      <w:numPr>
        <w:numId w:val="0"/>
      </w:numPr>
      <w:autoSpaceDE/>
      <w:autoSpaceDN/>
      <w:adjustRightInd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sz w:val="28"/>
      <w:szCs w:val="28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styleId="25">
    <w:name w:val="Placeholder Text"/>
    <w:basedOn w:val="15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0" Type="http://schemas.openxmlformats.org/officeDocument/2006/relationships/fontTable" Target="fontTable.xml"/><Relationship Id="rId3" Type="http://schemas.openxmlformats.org/officeDocument/2006/relationships/footer" Target="footer1.xml"/><Relationship Id="rId29" Type="http://schemas.openxmlformats.org/officeDocument/2006/relationships/customXml" Target="../customXml/item2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2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1.emf"/><Relationship Id="rId23" Type="http://schemas.openxmlformats.org/officeDocument/2006/relationships/image" Target="media/image10.emf"/><Relationship Id="rId22" Type="http://schemas.openxmlformats.org/officeDocument/2006/relationships/image" Target="media/image9.emf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" Type="http://schemas.openxmlformats.org/officeDocument/2006/relationships/image" Target="media/image6.wmf"/><Relationship Id="rId15" Type="http://schemas.openxmlformats.org/officeDocument/2006/relationships/oleObject" Target="embeddings/oleObject6.bin"/><Relationship Id="rId14" Type="http://schemas.openxmlformats.org/officeDocument/2006/relationships/image" Target="media/image5.wmf"/><Relationship Id="rId13" Type="http://schemas.openxmlformats.org/officeDocument/2006/relationships/oleObject" Target="embeddings/oleObject5.bin"/><Relationship Id="rId12" Type="http://schemas.openxmlformats.org/officeDocument/2006/relationships/image" Target="media/image4.wmf"/><Relationship Id="rId11" Type="http://schemas.openxmlformats.org/officeDocument/2006/relationships/oleObject" Target="embeddings/oleObject4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C8F2D9-F4F3-47FB-8486-E034DA1F39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9</Pages>
  <Words>704</Words>
  <Characters>4017</Characters>
  <Lines>33</Lines>
  <Paragraphs>9</Paragraphs>
  <TotalTime>891</TotalTime>
  <ScaleCrop>false</ScaleCrop>
  <LinksUpToDate>false</LinksUpToDate>
  <CharactersWithSpaces>4712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2018-04-18T00:37:00Z</dcterms:created>
  <dc:creator>Administrator</dc:creator>
  <cp:lastModifiedBy>撸老四</cp:lastModifiedBy>
  <cp:lastPrinted>2018-05-24T15:47:00Z</cp:lastPrinted>
  <dcterms:modified xsi:type="dcterms:W3CDTF">2018-11-01T06:41:40Z</dcterms:modified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