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2FF" w:rsidRDefault="001232FF">
      <w:pPr>
        <w:ind w:firstLineChars="50" w:firstLine="402"/>
        <w:jc w:val="left"/>
        <w:rPr>
          <w:rFonts w:ascii="Times New Roman" w:eastAsia="楷体" w:hAnsi="Times New Roman" w:cs="Times New Roman"/>
          <w:b/>
          <w:sz w:val="80"/>
          <w:szCs w:val="80"/>
        </w:rPr>
      </w:pPr>
    </w:p>
    <w:p w:rsidR="001232FF" w:rsidRDefault="004E591C" w:rsidP="004E591C">
      <w:pPr>
        <w:ind w:firstLineChars="50" w:firstLine="602"/>
        <w:jc w:val="center"/>
        <w:rPr>
          <w:rFonts w:ascii="Times New Roman" w:eastAsia="楷体" w:hAnsi="Times New Roman" w:cs="Times New Roman"/>
          <w:b/>
          <w:sz w:val="120"/>
          <w:szCs w:val="120"/>
        </w:rPr>
      </w:pPr>
      <w:r>
        <w:rPr>
          <w:rFonts w:ascii="Times New Roman" w:eastAsia="楷体" w:hAnsi="楷体" w:cs="Times New Roman" w:hint="eastAsia"/>
          <w:b/>
          <w:sz w:val="120"/>
          <w:szCs w:val="120"/>
        </w:rPr>
        <w:t>东南大学</w:t>
      </w:r>
    </w:p>
    <w:p w:rsidR="001232FF" w:rsidRDefault="001232FF">
      <w:pPr>
        <w:jc w:val="left"/>
        <w:rPr>
          <w:rFonts w:ascii="Times New Roman" w:eastAsia="楷体" w:hAnsi="Times New Roman" w:cs="Times New Roman"/>
          <w:b/>
          <w:color w:val="FF0000"/>
          <w:sz w:val="60"/>
          <w:szCs w:val="60"/>
        </w:rPr>
      </w:pPr>
    </w:p>
    <w:p w:rsidR="001232FF" w:rsidRDefault="001232FF">
      <w:pPr>
        <w:jc w:val="left"/>
        <w:rPr>
          <w:rFonts w:ascii="Times New Roman" w:eastAsia="楷体" w:hAnsi="Times New Roman" w:cs="Times New Roman"/>
          <w:b/>
          <w:sz w:val="60"/>
          <w:szCs w:val="60"/>
        </w:rPr>
      </w:pPr>
    </w:p>
    <w:p w:rsidR="001232FF" w:rsidRDefault="00106046" w:rsidP="008E280D">
      <w:pPr>
        <w:jc w:val="center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《</w:t>
      </w:r>
      <w:r w:rsidR="004E591C">
        <w:rPr>
          <w:rFonts w:ascii="Times New Roman" w:eastAsia="楷体" w:hAnsi="楷体" w:cs="Times New Roman" w:hint="eastAsia"/>
          <w:b/>
          <w:sz w:val="70"/>
          <w:szCs w:val="70"/>
        </w:rPr>
        <w:t>协作通信与网络</w:t>
      </w:r>
      <w:r>
        <w:rPr>
          <w:rFonts w:ascii="Times New Roman" w:eastAsia="楷体" w:hAnsi="楷体" w:cs="Times New Roman"/>
          <w:b/>
          <w:sz w:val="70"/>
          <w:szCs w:val="70"/>
        </w:rPr>
        <w:t>》</w:t>
      </w:r>
    </w:p>
    <w:p w:rsidR="001232FF" w:rsidRPr="00887992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06046" w:rsidP="007E3D0B">
      <w:pPr>
        <w:ind w:firstLineChars="400" w:firstLine="2811"/>
        <w:rPr>
          <w:rFonts w:ascii="Times New Roman" w:eastAsia="楷体" w:hAnsi="Times New Roman" w:cs="Times New Roman"/>
          <w:b/>
          <w:sz w:val="70"/>
          <w:szCs w:val="70"/>
        </w:rPr>
      </w:pPr>
      <w:r>
        <w:rPr>
          <w:rFonts w:ascii="Times New Roman" w:eastAsia="楷体" w:hAnsi="楷体" w:cs="Times New Roman"/>
          <w:b/>
          <w:sz w:val="70"/>
          <w:szCs w:val="70"/>
        </w:rPr>
        <w:t>实验</w:t>
      </w:r>
      <w:r w:rsidR="008E280D">
        <w:rPr>
          <w:rFonts w:ascii="Times New Roman" w:eastAsia="楷体" w:hAnsi="楷体" w:cs="Times New Roman" w:hint="eastAsia"/>
          <w:b/>
          <w:sz w:val="70"/>
          <w:szCs w:val="70"/>
        </w:rPr>
        <w:t>报告</w:t>
      </w: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Default="001232FF">
      <w:pPr>
        <w:ind w:firstLineChars="950" w:firstLine="2670"/>
        <w:jc w:val="left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</w:p>
    <w:p w:rsidR="001232FF" w:rsidRPr="00B97F7F" w:rsidRDefault="001B344B" w:rsidP="00B97F7F">
      <w:pPr>
        <w:ind w:left="1687" w:hangingChars="600" w:hanging="1687"/>
        <w:jc w:val="left"/>
        <w:rPr>
          <w:rFonts w:ascii="Times New Roman" w:eastAsia="楷体" w:hAnsi="Times New Roman" w:cs="Times New Roman"/>
          <w:b/>
          <w:sz w:val="28"/>
          <w:szCs w:val="28"/>
          <w:u w:val="thick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论文题目：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路径损耗模型</w:t>
      </w:r>
      <w:r w:rsidR="00904B87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904B87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  </w:t>
      </w:r>
      <w:r w:rsidR="0002175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021754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97F7F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B97F7F">
        <w:rPr>
          <w:rFonts w:ascii="Times New Roman" w:eastAsia="楷体" w:hAnsi="Times New Roman" w:cs="Times New Roman"/>
          <w:b/>
          <w:sz w:val="28"/>
          <w:szCs w:val="28"/>
        </w:rPr>
        <w:t xml:space="preserve">       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B97F7F">
        <w:rPr>
          <w:rFonts w:ascii="Times New Roman" w:eastAsia="楷体" w:hAnsi="Times New Roman" w:cs="Times New Roman"/>
          <w:b/>
          <w:sz w:val="28"/>
          <w:szCs w:val="28"/>
          <w:u w:val="thick"/>
        </w:rPr>
        <w:t>04016216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蒋睿哲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</w:t>
      </w:r>
    </w:p>
    <w:p w:rsidR="00B97F7F" w:rsidRPr="001B344B" w:rsidRDefault="00B97F7F" w:rsidP="00B97F7F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>0401621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>5</w:t>
      </w:r>
      <w:proofErr w:type="gramStart"/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陆驿</w:t>
      </w:r>
      <w:proofErr w:type="gramEnd"/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宇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          </w:t>
      </w:r>
    </w:p>
    <w:p w:rsidR="001232FF" w:rsidRPr="001B344B" w:rsidRDefault="00B97F7F" w:rsidP="00B97F7F">
      <w:pPr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         </w:t>
      </w:r>
      <w:r w:rsidRPr="00A93EFF">
        <w:rPr>
          <w:rFonts w:ascii="Times New Roman" w:eastAsia="楷体" w:hAnsi="Times New Roman" w:cs="Times New Roman"/>
          <w:b/>
          <w:sz w:val="28"/>
          <w:szCs w:val="28"/>
        </w:rPr>
        <w:t xml:space="preserve"> </w:t>
      </w:r>
      <w:r w:rsidRPr="00A93EFF">
        <w:rPr>
          <w:rFonts w:ascii="Times New Roman" w:eastAsia="楷体" w:hAnsi="Times New Roman" w:cs="Times New Roman" w:hint="eastAsia"/>
          <w:b/>
          <w:sz w:val="28"/>
          <w:szCs w:val="28"/>
        </w:rPr>
        <w:t>姓</w:t>
      </w:r>
      <w:r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A93EFF">
        <w:rPr>
          <w:rFonts w:ascii="Times New Roman" w:eastAsia="楷体" w:hAnsi="Times New Roman" w:cs="Times New Roman" w:hint="eastAsia"/>
          <w:b/>
          <w:sz w:val="28"/>
          <w:szCs w:val="28"/>
        </w:rPr>
        <w:t>名</w:t>
      </w:r>
      <w:r>
        <w:rPr>
          <w:rFonts w:ascii="Times New Roman" w:eastAsia="楷体" w:hAnsi="Times New Roman" w:cs="Times New Roman"/>
          <w:b/>
          <w:color w:val="FF0000"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号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 xml:space="preserve"> </w:t>
      </w: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：</w:t>
      </w:r>
      <w:r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61516309</w:t>
      </w:r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孙雅伦</w:t>
      </w:r>
      <w:proofErr w:type="gramEnd"/>
      <w:r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</w:t>
      </w:r>
      <w:r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   </w:t>
      </w:r>
    </w:p>
    <w:p w:rsidR="001232FF" w:rsidRPr="001B344B" w:rsidRDefault="001B344B" w:rsidP="001B344B">
      <w:pPr>
        <w:ind w:firstLineChars="600" w:firstLine="1687"/>
        <w:jc w:val="left"/>
        <w:rPr>
          <w:rFonts w:ascii="Times New Roman" w:eastAsia="楷体" w:hAnsi="Times New Roman" w:cs="Times New Roman"/>
          <w:b/>
          <w:sz w:val="28"/>
          <w:szCs w:val="28"/>
        </w:rPr>
      </w:pPr>
      <w:r w:rsidRPr="001B344B">
        <w:rPr>
          <w:rFonts w:ascii="Times New Roman" w:eastAsia="楷体" w:hAnsi="Times New Roman" w:cs="Times New Roman" w:hint="eastAsia"/>
          <w:b/>
          <w:sz w:val="28"/>
          <w:szCs w:val="28"/>
        </w:rPr>
        <w:t>学院名称：</w:t>
      </w:r>
      <w:r w:rsidR="00BA397D" w:rsidRPr="00BA397D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 xml:space="preserve"> </w:t>
      </w:r>
      <w:r w:rsidR="00F62EA4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信息科学与工程学院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</w:t>
      </w:r>
      <w:r w:rsidR="00B97F7F">
        <w:rPr>
          <w:rFonts w:ascii="Times New Roman" w:eastAsia="楷体" w:hAnsi="Times New Roman" w:cs="Times New Roman" w:hint="eastAsia"/>
          <w:b/>
          <w:sz w:val="28"/>
          <w:szCs w:val="28"/>
          <w:u w:val="thick"/>
        </w:rPr>
        <w:t>、吴健雄学院</w:t>
      </w:r>
      <w:r w:rsidR="00BA397D" w:rsidRPr="00BA397D">
        <w:rPr>
          <w:rFonts w:ascii="Times New Roman" w:eastAsia="楷体" w:hAnsi="Times New Roman" w:cs="Times New Roman"/>
          <w:b/>
          <w:sz w:val="28"/>
          <w:szCs w:val="28"/>
          <w:u w:val="thick"/>
        </w:rPr>
        <w:t xml:space="preserve">          </w:t>
      </w:r>
    </w:p>
    <w:p w:rsidR="001232FF" w:rsidRDefault="001232FF" w:rsidP="00887992">
      <w:pPr>
        <w:jc w:val="center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color w:val="FF0000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b/>
          <w:color w:val="FF0000"/>
          <w:sz w:val="24"/>
          <w:szCs w:val="24"/>
        </w:rPr>
        <w:t xml:space="preserve">                 </w:t>
      </w:r>
    </w:p>
    <w:p w:rsidR="001B344B" w:rsidRDefault="001B344B">
      <w:pPr>
        <w:ind w:firstLineChars="800" w:firstLine="1928"/>
        <w:rPr>
          <w:rFonts w:ascii="Times New Roman" w:eastAsia="楷体" w:hAnsi="Times New Roman" w:cs="Times New Roman"/>
          <w:b/>
          <w:color w:val="FF0000"/>
          <w:sz w:val="24"/>
          <w:szCs w:val="24"/>
        </w:rPr>
      </w:pPr>
    </w:p>
    <w:p w:rsidR="001232FF" w:rsidRDefault="006836C3">
      <w:pPr>
        <w:jc w:val="center"/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 xml:space="preserve">       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2018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年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10</w:t>
      </w:r>
      <w:r w:rsidR="001B344B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月</w:t>
      </w:r>
      <w:r w:rsidR="00B97F7F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2</w:t>
      </w:r>
      <w:r w:rsidR="00B97F7F">
        <w:rPr>
          <w:rFonts w:ascii="Times New Roman" w:eastAsia="楷体" w:hAnsi="Times New Roman" w:cs="Times New Roman"/>
          <w:b/>
          <w:color w:val="000000" w:themeColor="text1"/>
          <w:sz w:val="32"/>
          <w:szCs w:val="32"/>
        </w:rPr>
        <w:t>8</w:t>
      </w:r>
      <w:r w:rsidR="00B97F7F">
        <w:rPr>
          <w:rFonts w:ascii="Times New Roman" w:eastAsia="楷体" w:hAnsi="Times New Roman" w:cs="Times New Roman" w:hint="eastAsia"/>
          <w:b/>
          <w:color w:val="000000" w:themeColor="text1"/>
          <w:sz w:val="32"/>
          <w:szCs w:val="32"/>
        </w:rPr>
        <w:t>日</w:t>
      </w:r>
    </w:p>
    <w:p w:rsidR="001232FF" w:rsidRPr="004E591C" w:rsidRDefault="001232FF" w:rsidP="00021754">
      <w:pPr>
        <w:rPr>
          <w:rFonts w:ascii="Times New Roman" w:hAnsi="Times New Roman" w:cs="Times New Roman"/>
          <w:b/>
          <w:sz w:val="32"/>
          <w:szCs w:val="32"/>
        </w:rPr>
      </w:pPr>
    </w:p>
    <w:p w:rsidR="001C2191" w:rsidRPr="00672F41" w:rsidRDefault="001C2191" w:rsidP="00021754">
      <w:pPr>
        <w:pStyle w:val="2"/>
        <w:numPr>
          <w:ilvl w:val="0"/>
          <w:numId w:val="0"/>
        </w:numPr>
        <w:spacing w:line="480" w:lineRule="auto"/>
        <w:ind w:left="759" w:hanging="759"/>
      </w:pPr>
      <w:bookmarkStart w:id="0" w:name="_MON_1067360971"/>
      <w:bookmarkStart w:id="1" w:name="_MON_1067361298"/>
      <w:bookmarkStart w:id="2" w:name="_MON_1069343902"/>
      <w:bookmarkEnd w:id="0"/>
      <w:bookmarkEnd w:id="1"/>
      <w:bookmarkEnd w:id="2"/>
      <w:r>
        <w:rPr>
          <w:rFonts w:hint="eastAsia"/>
        </w:rPr>
        <w:lastRenderedPageBreak/>
        <w:t>一、实验目的</w:t>
      </w:r>
    </w:p>
    <w:p w:rsidR="00B97F7F" w:rsidRDefault="00B97F7F" w:rsidP="00B97F7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实验工具：</w:t>
      </w:r>
      <w:proofErr w:type="spellStart"/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R2017b</w:t>
      </w:r>
    </w:p>
    <w:p w:rsidR="00904B87" w:rsidRDefault="00B97F7F" w:rsidP="00021754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实验目的：了解三种路径损耗模型中路径损耗与距离的关系，熟练操作</w:t>
      </w:r>
      <w:proofErr w:type="spellStart"/>
      <w:r w:rsidRPr="00021754">
        <w:rPr>
          <w:rFonts w:ascii="Times New Roman" w:hAnsi="Times New Roman" w:cs="Times New Roman"/>
          <w:color w:val="000000" w:themeColor="text1"/>
          <w:sz w:val="24"/>
          <w:szCs w:val="24"/>
        </w:rPr>
        <w:t>matlab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软件</w:t>
      </w:r>
    </w:p>
    <w:p w:rsidR="00021754" w:rsidRDefault="00021754" w:rsidP="00021754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二、实验要求</w:t>
      </w:r>
    </w:p>
    <w:p w:rsidR="00B97F7F" w:rsidRDefault="00B97F7F" w:rsidP="00B97F7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1、根据公式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（1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.1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）、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)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、（1.3）及（1.5）给出的数学表达式编写程序，得到需要的关系曲线。</w:t>
      </w:r>
    </w:p>
    <w:p w:rsidR="00B97F7F" w:rsidRDefault="00B97F7F" w:rsidP="00B97F7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2、列出上机的调试程序。</w:t>
      </w:r>
    </w:p>
    <w:p w:rsidR="00B97F7F" w:rsidRDefault="00B97F7F" w:rsidP="00B97F7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3、进行实验结果的分析和讨论。</w:t>
      </w:r>
    </w:p>
    <w:p w:rsidR="00B97F7F" w:rsidRDefault="00B97F7F" w:rsidP="00B97F7F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4、简述实验心得体会及其他。</w:t>
      </w:r>
    </w:p>
    <w:p w:rsidR="00021754" w:rsidRDefault="00021754" w:rsidP="000E11CC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三、实验内容</w:t>
      </w:r>
    </w:p>
    <w:p w:rsidR="002C34BA" w:rsidRPr="002C34BA" w:rsidRDefault="00B97F7F" w:rsidP="002C34BA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2C34BA">
        <w:rPr>
          <w:rFonts w:ascii="Courier New" w:hAnsi="Courier New" w:cs="Courier New" w:hint="eastAsia"/>
          <w:b/>
          <w:kern w:val="0"/>
          <w:sz w:val="30"/>
          <w:szCs w:val="30"/>
        </w:rPr>
        <w:t>①自由空间传播</w:t>
      </w:r>
      <w:r w:rsidR="002C34BA">
        <w:rPr>
          <w:rFonts w:ascii="Courier New" w:hAnsi="Courier New" w:cs="Courier New"/>
          <w:kern w:val="0"/>
          <w:sz w:val="24"/>
          <w:szCs w:val="24"/>
        </w:rPr>
        <w:br/>
      </w:r>
      <w:r w:rsidR="002C34B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</w:t>
      </w:r>
      <w:r w:rsidR="002C34BA">
        <w:rPr>
          <w:rFonts w:asciiTheme="minorEastAsia" w:hAnsiTheme="minorEastAsia" w:cs="Times New Roman"/>
          <w:color w:val="000000" w:themeColor="text1"/>
          <w:sz w:val="24"/>
          <w:szCs w:val="24"/>
        </w:rPr>
        <w:t>.</w:t>
      </w:r>
      <w:r w:rsidR="002C34B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实验原理</w:t>
      </w:r>
      <w:r w:rsidR="002C34BA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 w:rsidR="002C34BA" w:rsidRPr="002C34B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当无线电在自由空间传播时， 在发射机和接收机之间存在一个视距(LOS)路径，此时信号的反射可以忽略。在这种情况下，接收信号的强度可以表达为</w:t>
      </w:r>
      <w:r w:rsidR="002C34BA"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 w:rsidR="002C34BA" w:rsidRPr="002C34BA">
        <w:rPr>
          <w:rFonts w:asciiTheme="minorEastAsia" w:hAnsiTheme="minorEastAsia" w:cs="Times New Roman"/>
          <w:color w:val="000000" w:themeColor="text1"/>
          <w:sz w:val="24"/>
          <w:szCs w:val="24"/>
        </w:rPr>
        <w:object w:dxaOrig="2448" w:dyaOrig="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4pt;height:39.6pt" o:ole="">
            <v:imagedata r:id="rId9" o:title=""/>
          </v:shape>
          <o:OLEObject Type="Embed" ProgID="Unknown" ShapeID="_x0000_i1025" DrawAspect="Content" ObjectID="_1602252578" r:id="rId10"/>
        </w:object>
      </w:r>
    </w:p>
    <w:p w:rsidR="002C34BA" w:rsidRP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2C34BA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其中：d是发射机和接收机之间的地理距离，Gt和Gr分别是发射机天线和接收机天线的增益，λc是电磁信号的波长。在这里，接收信号功率随着传输距离d平方衰减。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2.实验程序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调试程序：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程序1.1“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plot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_PL_general.m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”,绘制不同的路径损耗模型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Y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iyu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u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%Southeast University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%2018.10.28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plot_PL_general.m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fc=1.5e9;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sigma=3;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1:2:31].^2;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Gt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1 0.5];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0.5 0.5];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 3 6];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k=1:3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y_Free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PL_free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fc,distance,Gt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(k),Gr(k));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y_logdist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PL_logdist_or_norm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(fc,distance,d0,Exp(k));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y_lognorm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PL_logdist_or_norm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(fc,distance,d0,Exp(1),sigma);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131)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_Free(1,:),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,distance,y_Free(3,:),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([1 1000 40 110])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'Free PL-loss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Model,f_c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G_t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1,G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_r=1'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'G_t=1,G_r=0.5'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'G_t=0.5,G_r=0.5'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132)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_logdist(1,:),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,distance,y_logdist(3,:),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([1 1000 40 110])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'Log-distance Path-loss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Model,f_c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'n=6'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133)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3)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_lognorm(1,:),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,distance,y_lognorm(3,:),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grid </w:t>
      </w:r>
      <w:proofErr w:type="spellStart"/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,axis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([1 1000 40 110])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'Log-normal Path-loss Model,f_c='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,num2str(fc/1e6),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'MHz,'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'\sigma='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,num2str(sigma),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'path 1'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L_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free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”，自由空间的路径损耗模型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PL_free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fc,dist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,Gt,Gr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自由空间路径损耗模型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fc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dist</w:t>
      </w:r>
      <w:proofErr w:type="spellEnd"/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Gt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：发射机天线增益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Gr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：接收机天线增益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PL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=3e8/fc;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./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(4*pi*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2,tmp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*sqrt(Gt);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3,tmp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*sqrt(Gr);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tmp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Ê½(1.2)/(1.3)</w:t>
      </w:r>
    </w:p>
    <w:p w:rsidR="002C34BA" w:rsidRPr="00837EF4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L_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log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dist_or_norm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”，对数距离/正态阴影路径损耗模型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PL_logdist_or_norm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fc,d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,d0,n,sigma)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对数距离或对数阴影路径损耗模型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输入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fc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：载波频率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[Hz]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d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：基站和移动台之间的距离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d0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：参考距离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[m]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    n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：路径损耗指数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sigma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：方差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输出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   PL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>：路径损耗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[dB]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=3e8/fc;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PL=-20*log10(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lamda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/(4*pi*d0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10*n*log10(d/d0);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%Ê½(1.4)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nargin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&gt;4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PL+sigma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(size(d)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>Ê½(1.5)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 w:rsidRPr="002C34BA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lastRenderedPageBreak/>
        <w:t>②</w:t>
      </w:r>
      <w:proofErr w:type="gramStart"/>
      <w:r w:rsidRPr="002C34BA"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两径模型</w:t>
      </w:r>
      <w:proofErr w:type="gramEnd"/>
      <w:r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1.实验原理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016A96"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24FE2C5" wp14:editId="2DBB9548">
            <wp:extent cx="3328988" cy="1524000"/>
            <wp:effectExtent l="19050" t="0" r="4762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988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两径模型</w:t>
      </w:r>
      <w:proofErr w:type="gram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中，窄带信号的接收功率公式为：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Theme="majorEastAsia" w:hAnsi="Times New Roman" w:cs="Times New Roman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Times New Roman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]</m:t>
            </m:r>
          </m:e>
          <m: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|</m:t>
            </m:r>
            <m:f>
              <m:f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</m:e>
                </m:rad>
              </m:num>
              <m:den>
                <m: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l</m:t>
                </m:r>
              </m:den>
            </m:f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R</m:t>
                </m:r>
                <m:rad>
                  <m:radPr>
                    <m:degHide m:val="1"/>
                    <m:ctrl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m:t>r</m:t>
                        </m:r>
                      </m:sub>
                    </m:sSub>
                  </m:e>
                </m:rad>
                <m:sSup>
                  <m:sSupPr>
                    <m:ctrl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Times New Roman"/>
                        <w:color w:val="000000" w:themeColor="text1"/>
                        <w:sz w:val="24"/>
                        <w:szCs w:val="24"/>
                      </w:rPr>
                      <m:t>∆φ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x+</m:t>
                </m:r>
                <m:sSup>
                  <m:sSupPr>
                    <m:ctrl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'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|</m:t>
            </m:r>
          </m:e>
          <m: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                 (1.1)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 w:cs="Times New Roman"/>
            <w:color w:val="000000" w:themeColor="text1"/>
            <w:sz w:val="24"/>
            <w:szCs w:val="24"/>
          </w:rPr>
          <m:t>∆φ</m:t>
        </m:r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=2</w:t>
      </w:r>
      <m:oMath>
        <m:r>
          <m:rPr>
            <m:sty m:val="p"/>
          </m:rPr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m:t>π</m:t>
        </m:r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ajorEastAsia" w:hAnsi="Times New Roman" w:cs="Times New Roman"/>
            <w:color w:val="000000" w:themeColor="text1"/>
            <w:sz w:val="24"/>
            <w:szCs w:val="24"/>
          </w:rPr>
          <m:t>x+</m:t>
        </m:r>
        <m:sSup>
          <m:sSup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ajorEastAsia" w:hAnsi="Times New Roman" w:cs="Times New Roman"/>
            <w:color w:val="000000" w:themeColor="text1"/>
            <w:sz w:val="24"/>
            <w:szCs w:val="24"/>
          </w:rPr>
          <m:t>-</m:t>
        </m:r>
        <m:r>
          <w:rPr>
            <w:rFonts w:ascii="Cambria Math" w:eastAsiaTheme="majorEastAsia" w:hAnsi="Times New Roman" w:cs="Times New Roman"/>
            <w:color w:val="000000" w:themeColor="text1"/>
            <w:sz w:val="24"/>
            <w:szCs w:val="24"/>
          </w:rPr>
          <m:t>l</m:t>
        </m:r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)/</w:t>
      </w:r>
      <m:oMath>
        <m:r>
          <m:rPr>
            <m:sty m:val="p"/>
          </m:rPr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m:t xml:space="preserve"> λ</m:t>
        </m:r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是直射信号和反射信号的相位差，d表示收发天线的水平距离，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表示发射天线高度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</m:oMath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表示接收天线高度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，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关系如下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</w:t>
      </w:r>
      <m:oMath>
        <m:r>
          <m:rPr>
            <m:sty m:val="p"/>
          </m:rPr>
          <w:rPr>
            <w:rFonts w:ascii="Cambria Math" w:eastAsiaTheme="majorEastAsia" w:hAnsi="Times New Roman" w:cs="Times New Roman"/>
            <w:color w:val="000000" w:themeColor="text1"/>
            <w:sz w:val="24"/>
            <w:szCs w:val="24"/>
          </w:rPr>
          <m:t>x+</m:t>
        </m:r>
        <m:sSup>
          <m:sSup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Theme="majorEastAsia" w:hAnsi="Times New Roman" w:cs="Times New Roman" w:hint="eastAsia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Times New Roman" w:cs="Times New Roman" w:hint="eastAsia"/>
                    <w:color w:val="000000" w:themeColor="text1"/>
                    <w:sz w:val="24"/>
                    <w:szCs w:val="24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Times New Roman" w:cs="Times New Roman" w:hint="eastAsia"/>
                    <w:color w:val="000000" w:themeColor="text1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</w:t>
      </w:r>
      <w:r w:rsidRPr="00012D1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l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Times New Roman" w:cs="Times New Roman" w:hint="eastAsia"/>
                    <w:color w:val="000000" w:themeColor="text1"/>
                    <w:sz w:val="24"/>
                    <w:szCs w:val="24"/>
                  </w:rPr>
                  <m:t>（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Times New Roman" w:cs="Times New Roman" w:hint="eastAsia"/>
                    <w:color w:val="000000" w:themeColor="text1"/>
                    <w:sz w:val="24"/>
                    <w:szCs w:val="24"/>
                  </w:rPr>
                  <m:t>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Times New Roman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（1.2）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临界距离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m:t>λ</m:t>
            </m:r>
          </m:den>
        </m:f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,当距离d远远大于传输天线和接收天线的高度时，接收信号功率近似为：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r</m:t>
            </m:r>
          </m:sub>
        </m:sSub>
        <m:r>
          <m:rPr>
            <m:sty m:val="p"/>
          </m:rPr>
          <w:rPr>
            <w:rFonts w:ascii="Cambria Math" w:eastAsiaTheme="majorEastAsia" w:hAnsi="Times New Roman" w:cs="Times New Roman" w:hint="eastAsia"/>
            <w:color w:val="000000" w:themeColor="text1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Times New Roman" w:cs="Times New Roman" w:hint="eastAsia"/>
                <w:color w:val="000000" w:themeColor="text1"/>
                <w:sz w:val="24"/>
                <w:szCs w:val="24"/>
              </w:rPr>
              <m:t>（</m:t>
            </m:r>
            <m:f>
              <m:fPr>
                <m:ctrlPr>
                  <w:rPr>
                    <w:rFonts w:ascii="Cambria Math" w:eastAsiaTheme="majorEastAsia" w:hAnsi="Cambria Math" w:cs="Times New Roman"/>
                    <w:color w:val="000000" w:themeColor="text1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r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Times New Roman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ajorEastAsia" w:hAnsi="Times New Roman" w:cs="Times New Roman" w:hint="eastAsia"/>
                <w:color w:val="000000" w:themeColor="text1"/>
                <w:sz w:val="24"/>
                <w:szCs w:val="24"/>
              </w:rPr>
              <m:t>）</m:t>
            </m:r>
          </m:e>
          <m:sup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>
          <m:sSubPr>
            <m:ctrl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ajorEastAsia" w:hAnsi="Times New Roman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                     （1.3）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2.实验程序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调试程序：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程序1.1“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plot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_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twoway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.m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”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Yalun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 xml:space="preserve"> Sun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%SEU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%2018-10-22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twoway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clear </w:t>
      </w:r>
      <w:r>
        <w:rPr>
          <w:rFonts w:ascii="宋体" w:eastAsia="宋体" w:cs="宋体"/>
          <w:color w:val="A020F0"/>
          <w:kern w:val="0"/>
          <w:sz w:val="22"/>
        </w:rPr>
        <w:t>all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clc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clf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d=1:1:100000;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db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=10*log10(d);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Pr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twoway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(d,1);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lastRenderedPageBreak/>
        <w:t>db_Pr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=10*log10(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Pr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)-10*log10(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Pr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1));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plot(</w:t>
      </w:r>
      <w:proofErr w:type="spellStart"/>
      <w:proofErr w:type="gramStart"/>
      <w:r>
        <w:rPr>
          <w:rFonts w:ascii="宋体" w:eastAsia="宋体" w:cs="宋体"/>
          <w:color w:val="000000"/>
          <w:kern w:val="0"/>
          <w:sz w:val="22"/>
        </w:rPr>
        <w:t>db,db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_Pr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title(</w:t>
      </w:r>
      <w:r>
        <w:rPr>
          <w:rFonts w:ascii="宋体" w:eastAsia="宋体" w:cs="宋体" w:hint="eastAsia"/>
          <w:color w:val="A020F0"/>
          <w:kern w:val="0"/>
          <w:sz w:val="22"/>
        </w:rPr>
        <w:t>'</w:t>
      </w:r>
      <w:proofErr w:type="gramStart"/>
      <w:r>
        <w:rPr>
          <w:rFonts w:ascii="宋体" w:eastAsia="宋体" w:cs="宋体" w:hint="eastAsia"/>
          <w:color w:val="A020F0"/>
          <w:kern w:val="0"/>
          <w:sz w:val="22"/>
        </w:rPr>
        <w:t>两径模型</w:t>
      </w:r>
      <w:proofErr w:type="gramEnd"/>
      <w:r>
        <w:rPr>
          <w:rFonts w:ascii="宋体" w:eastAsia="宋体" w:cs="宋体" w:hint="eastAsia"/>
          <w:color w:val="A020F0"/>
          <w:kern w:val="0"/>
          <w:sz w:val="22"/>
        </w:rPr>
        <w:t>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xlabel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/>
          <w:color w:val="A020F0"/>
          <w:kern w:val="0"/>
          <w:sz w:val="22"/>
        </w:rPr>
        <w:t>'10log10(d)'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ylabel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r>
        <w:rPr>
          <w:rFonts w:ascii="宋体" w:eastAsia="宋体" w:cs="宋体" w:hint="eastAsia"/>
          <w:color w:val="A020F0"/>
          <w:kern w:val="0"/>
          <w:sz w:val="22"/>
        </w:rPr>
        <w:t>'接收功率</w:t>
      </w:r>
      <w:proofErr w:type="spellStart"/>
      <w:r>
        <w:rPr>
          <w:rFonts w:ascii="宋体" w:eastAsia="宋体" w:cs="宋体" w:hint="eastAsia"/>
          <w:color w:val="A020F0"/>
          <w:kern w:val="0"/>
          <w:sz w:val="22"/>
        </w:rPr>
        <w:t>Pr</w:t>
      </w:r>
      <w:proofErr w:type="spellEnd"/>
      <w:r>
        <w:rPr>
          <w:rFonts w:ascii="宋体" w:eastAsia="宋体" w:cs="宋体" w:hint="eastAsia"/>
          <w:color w:val="A020F0"/>
          <w:kern w:val="0"/>
          <w:sz w:val="22"/>
        </w:rPr>
        <w:t>(dB)'</w:t>
      </w:r>
      <w:r>
        <w:rPr>
          <w:rFonts w:ascii="宋体" w:eastAsia="宋体" w:cs="宋体"/>
          <w:color w:val="000000"/>
          <w:kern w:val="0"/>
          <w:sz w:val="22"/>
        </w:rPr>
        <w:t>);</w:t>
      </w:r>
    </w:p>
    <w:p w:rsidR="002C34BA" w:rsidRPr="00E669AF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twoway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="宋体" w:eastAsia="宋体" w:cs="宋体"/>
          <w:color w:val="228B22"/>
          <w:kern w:val="0"/>
          <w:sz w:val="22"/>
        </w:rPr>
        <w:t>%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Yalun</w:t>
      </w:r>
      <w:proofErr w:type="spellEnd"/>
      <w:r>
        <w:rPr>
          <w:rFonts w:ascii="宋体" w:eastAsia="宋体" w:cs="宋体"/>
          <w:color w:val="228B22"/>
          <w:kern w:val="0"/>
          <w:sz w:val="22"/>
        </w:rPr>
        <w:t xml:space="preserve"> Sun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%SEU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%2018-10-15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</w:t>
      </w:r>
      <w:proofErr w:type="spellStart"/>
      <w:r>
        <w:rPr>
          <w:rFonts w:ascii="宋体" w:eastAsia="宋体" w:cs="宋体"/>
          <w:color w:val="228B22"/>
          <w:kern w:val="0"/>
          <w:sz w:val="22"/>
        </w:rPr>
        <w:t>plot_twoway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 xml:space="preserve">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function</w:t>
      </w:r>
      <w:r>
        <w:rPr>
          <w:rFonts w:ascii="宋体" w:eastAsia="宋体" w:cs="宋体"/>
          <w:color w:val="000000"/>
          <w:kern w:val="0"/>
          <w:sz w:val="22"/>
        </w:rPr>
        <w:t xml:space="preserve"> [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pr,dc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] =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twoway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d,Gr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) 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%接收功率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Pt=1;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%发射功率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228B22"/>
          <w:kern w:val="0"/>
          <w:sz w:val="22"/>
        </w:rPr>
        <w:t>%f=90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0*10^6;%波频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f=900000000;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%波频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c=300000000;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%波速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lam=c/f;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%波长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 xml:space="preserve">R=-1;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ht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=50;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%发送天线高度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hr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=2;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%接收天线高度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Gl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=1;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%发送天线增益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dc=4*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ht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*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/lam;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%临界距离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l=sqrt((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ht-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hr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)^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2+d.^2);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x=sqrt((</w:t>
      </w:r>
      <w:proofErr w:type="spellStart"/>
      <w:r>
        <w:rPr>
          <w:rFonts w:ascii="宋体" w:eastAsia="宋体" w:cs="宋体"/>
          <w:color w:val="000000"/>
          <w:kern w:val="0"/>
          <w:sz w:val="22"/>
        </w:rPr>
        <w:t>ht+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hr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>)^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2+d.^2);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proofErr w:type="spellStart"/>
      <w:r>
        <w:rPr>
          <w:rFonts w:ascii="宋体" w:eastAsia="宋体" w:cs="宋体"/>
          <w:color w:val="000000"/>
          <w:kern w:val="0"/>
          <w:sz w:val="22"/>
        </w:rPr>
        <w:t>fai</w:t>
      </w:r>
      <w:proofErr w:type="spellEnd"/>
      <w:r>
        <w:rPr>
          <w:rFonts w:ascii="宋体" w:eastAsia="宋体" w:cs="宋体"/>
          <w:color w:val="000000"/>
          <w:kern w:val="0"/>
          <w:sz w:val="22"/>
        </w:rPr>
        <w:t xml:space="preserve">=2*pi*(x-l)/lam;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e=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exp(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 xml:space="preserve">1);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2"/>
        </w:rPr>
        <w:t>pr=Pt*((lam/(4*pi</w:t>
      </w:r>
      <w:proofErr w:type="gramStart"/>
      <w:r>
        <w:rPr>
          <w:rFonts w:ascii="宋体" w:eastAsia="宋体" w:cs="宋体"/>
          <w:color w:val="000000"/>
          <w:kern w:val="0"/>
          <w:sz w:val="22"/>
        </w:rPr>
        <w:t>))^</w:t>
      </w:r>
      <w:proofErr w:type="gramEnd"/>
      <w:r>
        <w:rPr>
          <w:rFonts w:ascii="宋体" w:eastAsia="宋体" w:cs="宋体"/>
          <w:color w:val="000000"/>
          <w:kern w:val="0"/>
          <w:sz w:val="22"/>
        </w:rPr>
        <w:t>2)*((abs(sqrt(Gl)./l+R*sqrt(Gr)*e.^(-1i*fai)./x)).^2);</w:t>
      </w:r>
      <w:r>
        <w:rPr>
          <w:rFonts w:ascii="宋体" w:eastAsia="宋体" w:cs="宋体" w:hint="eastAsia"/>
          <w:color w:val="228B22"/>
          <w:kern w:val="0"/>
          <w:sz w:val="22"/>
        </w:rPr>
        <w:t xml:space="preserve">%接收功率,并dB化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2"/>
        </w:rPr>
        <w:t>end</w:t>
      </w:r>
      <w:r>
        <w:rPr>
          <w:rFonts w:ascii="宋体" w:eastAsia="宋体" w:cs="宋体"/>
          <w:color w:val="000000"/>
          <w:kern w:val="0"/>
          <w:sz w:val="22"/>
        </w:rPr>
        <w:t xml:space="preserve"> 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  <w:t>③一般路径损耗模型</w:t>
      </w:r>
      <w:r>
        <w:rPr>
          <w:rFonts w:asciiTheme="minorEastAsia" w:hAnsiTheme="minorEastAsia" w:cs="Times New Roman"/>
          <w:b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1.实验原理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为实施无线通信系统的分析研究， 在实践中经常采用一个简单的路径损耗模型如下: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object w:dxaOrig="1440" w:dyaOrig="1440">
          <v:shape id="Object 3" o:spid="_x0000_s1026" type="#_x0000_t75" style="position:absolute;left:0;text-align:left;margin-left:172.65pt;margin-top:-.3pt;width:91.35pt;height:40.85pt;z-index:251659264;visibility:visible">
            <v:imagedata r:id="rId12" o:title=""/>
          </v:shape>
          <o:OLEObject Type="Embed" ProgID="Equation.3" ShapeID="Object 3" DrawAspect="Content" ObjectID="_1602252580" r:id="rId13"/>
        </w:objec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                                           -------------（1）</w:t>
      </w:r>
    </w:p>
    <w:p w:rsidR="002C34BA" w:rsidRPr="00B84925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其中： </w:t>
      </w:r>
    </w:p>
    <w:p w:rsidR="002C34BA" w:rsidRPr="00B84925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 xml:space="preserve"> d</w:t>
      </w: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bscript"/>
        </w:rPr>
        <w:t>0</w:t>
      </w: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是参考距离； </w:t>
      </w:r>
    </w:p>
    <w:p w:rsidR="002C34BA" w:rsidRPr="00B84925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K是一个与天线增益和平均信道衰减相关的常数，常数K从参考距离d</w:t>
      </w: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  <w:vertAlign w:val="subscript"/>
        </w:rPr>
        <w:t>0</w:t>
      </w: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处接收功率的经验平均获得； 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α是路径损耗指数。</w:t>
      </w:r>
    </w:p>
    <w:p w:rsidR="002C34BA" w:rsidRPr="00B84925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390525</wp:posOffset>
            </wp:positionV>
            <wp:extent cx="3114675" cy="5746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25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简化的路径损耗模型以分贝单位表示：</w:t>
      </w:r>
    </w:p>
    <w:p w:rsidR="002C34BA" w:rsidRPr="00B84925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                                                     -----------（2）       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2.实验程序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Matlab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调试程序：</w:t>
      </w: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程序1.1“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PL_general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.m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”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Ruizhe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Jiang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%Southeast University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%2018.10.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27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plot_PL_general.m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clf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 2 3];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distance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1:2:31].^2;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 3 4];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d0=100;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m=1:3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y_general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m,:)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(a(m),k(m),d0,distance);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semilogx(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distance,y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_general(1,:),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'k-o'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,distance,y_general(2,:),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'k-^'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,distance,y_general(3,:),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'k-s'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'General PL-loss Model'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'Distance[m]'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'Path loss[dB]'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'k=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=2'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'k=2,a=3'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'k=3,a=4'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2C34BA" w:rsidRPr="00E669AF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2C34BA" w:rsidRDefault="002C34BA" w:rsidP="002C34BA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程序1.2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“</w:t>
      </w:r>
      <w:proofErr w:type="spell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PLgeneral</w:t>
      </w:r>
      <w:proofErr w:type="spell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”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PL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PLgeneral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,k,d0,d )</w:t>
      </w:r>
    </w:p>
    <w:p w:rsidR="002C34BA" w:rsidRPr="009A2707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2707"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 w:rsidRPr="009A2707">
        <w:rPr>
          <w:rFonts w:ascii="Courier New" w:hAnsi="Courier New" w:cs="Courier New"/>
          <w:color w:val="228B22"/>
          <w:kern w:val="0"/>
          <w:sz w:val="20"/>
          <w:szCs w:val="20"/>
        </w:rPr>
        <w:t>Ruizhe</w:t>
      </w:r>
      <w:proofErr w:type="spellEnd"/>
      <w:r w:rsidRPr="009A2707"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Jiang</w:t>
      </w:r>
    </w:p>
    <w:p w:rsidR="002C34BA" w:rsidRPr="009A2707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%a</w:t>
      </w: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为损耗指数</w:t>
      </w:r>
    </w:p>
    <w:p w:rsidR="002C34BA" w:rsidRPr="009A2707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%k</w:t>
      </w: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是一个与天线增益和平均信道衰减相关的常数</w:t>
      </w:r>
    </w:p>
    <w:p w:rsidR="002C34BA" w:rsidRPr="009A2707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%d0</w:t>
      </w: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是参考距离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%d</w:t>
      </w:r>
      <w:r w:rsidRPr="009A2707">
        <w:rPr>
          <w:rFonts w:ascii="Courier New" w:hAnsi="Courier New" w:cs="Courier New" w:hint="eastAsia"/>
          <w:color w:val="228B22"/>
          <w:kern w:val="0"/>
          <w:sz w:val="20"/>
          <w:szCs w:val="20"/>
        </w:rPr>
        <w:t>是实际距离</w:t>
      </w:r>
    </w:p>
    <w:p w:rsidR="002C34BA" w:rsidRP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 w:themeColor="text1"/>
          <w:kern w:val="0"/>
          <w:sz w:val="24"/>
          <w:szCs w:val="24"/>
        </w:rPr>
      </w:pPr>
      <w:r w:rsidRPr="009A2707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PL=k-a*log10(d/d0); </w:t>
      </w:r>
    </w:p>
    <w:p w:rsidR="002C34BA" w:rsidRDefault="002C34BA" w:rsidP="002C34B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37EF4" w:rsidRPr="002C34BA" w:rsidRDefault="00837EF4" w:rsidP="00021754">
      <w:pPr>
        <w:spacing w:line="480" w:lineRule="auto"/>
        <w:rPr>
          <w:rFonts w:asciiTheme="minorEastAsia" w:hAnsiTheme="minorEastAsia" w:cs="Times New Roman" w:hint="eastAsia"/>
          <w:b/>
          <w:color w:val="000000" w:themeColor="text1"/>
          <w:sz w:val="30"/>
          <w:szCs w:val="30"/>
        </w:rPr>
      </w:pPr>
    </w:p>
    <w:p w:rsidR="002C34BA" w:rsidRDefault="00837EF4" w:rsidP="002C34BA">
      <w:pPr>
        <w:pStyle w:val="2"/>
        <w:numPr>
          <w:ilvl w:val="0"/>
          <w:numId w:val="0"/>
        </w:numPr>
        <w:ind w:left="759" w:hanging="759"/>
        <w:rPr>
          <w:rFonts w:hint="eastAsia"/>
        </w:rPr>
      </w:pPr>
      <w:r>
        <w:rPr>
          <w:rFonts w:hint="eastAsia"/>
        </w:rPr>
        <w:t>四、实验结果</w:t>
      </w:r>
      <w:r w:rsidR="002C34BA">
        <w:br/>
      </w:r>
      <w:r w:rsidR="002C34BA" w:rsidRPr="002C34BA">
        <w:rPr>
          <w:rFonts w:asciiTheme="majorEastAsia" w:eastAsiaTheme="majorEastAsia" w:hAnsiTheme="majorEastAsia" w:cs="Courier New" w:hint="eastAsia"/>
          <w:sz w:val="30"/>
          <w:szCs w:val="30"/>
        </w:rPr>
        <w:t>①自由空间传播</w:t>
      </w:r>
      <w:r w:rsidR="002C34BA">
        <w:rPr>
          <w:rFonts w:asciiTheme="majorEastAsia" w:eastAsiaTheme="majorEastAsia" w:hAnsiTheme="majorEastAsia" w:cs="Courier New"/>
          <w:b w:val="0"/>
          <w:sz w:val="30"/>
          <w:szCs w:val="30"/>
        </w:rPr>
        <w:br/>
      </w:r>
      <w:r w:rsidR="002C34BA" w:rsidRPr="00837EF4">
        <w:rPr>
          <w:rFonts w:asciiTheme="minorEastAsia" w:hAnsiTheme="minorEastAsia" w:hint="eastAsia"/>
          <w:noProof/>
          <w:color w:val="000000" w:themeColor="text1"/>
          <w:sz w:val="24"/>
          <w:szCs w:val="24"/>
        </w:rPr>
        <w:drawing>
          <wp:inline distT="0" distB="0" distL="0" distR="0" wp14:anchorId="449A98DF" wp14:editId="79E77894">
            <wp:extent cx="5274310" cy="3955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BA" w:rsidRDefault="002C34BA" w:rsidP="002C34BA">
      <w:pPr>
        <w:spacing w:line="480" w:lineRule="auto"/>
        <w:jc w:val="center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  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图1.1自由空间路径损耗模型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 w:rsidRPr="00837EF4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009B03D" wp14:editId="4EBAF258">
            <wp:extent cx="5274310" cy="3955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BA" w:rsidRDefault="002C34BA" w:rsidP="002C34BA">
      <w:pPr>
        <w:spacing w:line="480" w:lineRule="auto"/>
        <w:jc w:val="center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对数距离路径损耗模型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 w:rsidRPr="00837EF4">
        <w:rPr>
          <w:rFonts w:asciiTheme="minorEastAsia" w:hAnsiTheme="minorEastAsia" w:cs="Times New Roman" w:hint="eastAsia"/>
          <w:noProof/>
          <w:color w:val="000000" w:themeColor="text1"/>
          <w:sz w:val="24"/>
          <w:szCs w:val="24"/>
        </w:rPr>
        <w:drawing>
          <wp:inline distT="0" distB="0" distL="0" distR="0" wp14:anchorId="74F0002B" wp14:editId="36436889">
            <wp:extent cx="5274310" cy="3955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E41" w:rsidRDefault="002C34BA" w:rsidP="00131E41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图1.3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对数正态阴影路径损耗模型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 w:rsidRPr="002C34BA">
        <w:rPr>
          <w:rFonts w:asciiTheme="majorEastAsia" w:eastAsiaTheme="majorEastAsia" w:hAnsiTheme="majorEastAsia" w:cs="Courier New"/>
          <w:b/>
          <w:sz w:val="30"/>
          <w:szCs w:val="30"/>
        </w:rPr>
        <w:lastRenderedPageBreak/>
        <w:br/>
      </w:r>
      <w:r w:rsidRPr="002C34BA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②</w:t>
      </w:r>
      <w:proofErr w:type="gramStart"/>
      <w:r w:rsidRPr="002C34BA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两径模型</w:t>
      </w:r>
      <w:proofErr w:type="gramEnd"/>
      <w:r>
        <w:rPr>
          <w:rFonts w:asciiTheme="majorEastAsia" w:eastAsiaTheme="majorEastAsia" w:hAnsiTheme="majorEastAsia"/>
          <w:color w:val="000000" w:themeColor="text1"/>
          <w:sz w:val="30"/>
          <w:szCs w:val="30"/>
        </w:rPr>
        <w:br/>
      </w:r>
      <w:r>
        <w:rPr>
          <w:rFonts w:asciiTheme="minorEastAsia" w:hAnsiTheme="minorEastAsia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117B0F" wp14:editId="1EAAA872">
            <wp:extent cx="5274310" cy="395097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 xml:space="preserve"> </w:t>
      </w:r>
      <w:r>
        <w:rPr>
          <w:rFonts w:asciiTheme="majorEastAsia" w:eastAsiaTheme="majorEastAsia" w:hAnsiTheme="majorEastAsia"/>
          <w:color w:val="000000" w:themeColor="text1"/>
          <w:sz w:val="30"/>
          <w:szCs w:val="30"/>
        </w:rPr>
        <w:t xml:space="preserve">                    </w:t>
      </w:r>
      <w:r w:rsidR="00131E4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 w:rsidR="00131E41">
        <w:rPr>
          <w:rFonts w:asciiTheme="minorEastAsia" w:hAnsiTheme="minorEastAsia" w:cs="Times New Roman"/>
          <w:color w:val="000000" w:themeColor="text1"/>
          <w:sz w:val="24"/>
          <w:szCs w:val="24"/>
        </w:rPr>
        <w:t>4</w:t>
      </w:r>
      <w:proofErr w:type="gramStart"/>
      <w:r w:rsidR="00131E4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两</w:t>
      </w:r>
      <w:proofErr w:type="gramEnd"/>
      <w:r w:rsidR="00131E41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径损耗模型</w:t>
      </w:r>
      <w:r w:rsidR="00131E41"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2C34BA" w:rsidRPr="002C34BA" w:rsidRDefault="002C34BA" w:rsidP="002C34BA">
      <w:pPr>
        <w:pStyle w:val="2"/>
        <w:numPr>
          <w:ilvl w:val="0"/>
          <w:numId w:val="0"/>
        </w:numPr>
        <w:ind w:left="759" w:hanging="759"/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</w:pPr>
      <w:r w:rsidRPr="002C34BA">
        <w:rPr>
          <w:rFonts w:asciiTheme="majorEastAsia" w:eastAsiaTheme="majorEastAsia" w:hAnsiTheme="majorEastAsia"/>
          <w:color w:val="000000" w:themeColor="text1"/>
          <w:sz w:val="30"/>
          <w:szCs w:val="30"/>
        </w:rPr>
        <w:br/>
      </w:r>
      <w:r w:rsidRPr="002C34BA">
        <w:rPr>
          <w:rFonts w:asciiTheme="majorEastAsia" w:eastAsiaTheme="majorEastAsia" w:hAnsiTheme="majorEastAsia" w:hint="eastAsia"/>
          <w:color w:val="000000" w:themeColor="text1"/>
          <w:sz w:val="30"/>
          <w:szCs w:val="30"/>
        </w:rPr>
        <w:t>③一般路径损耗模型</w:t>
      </w:r>
      <w:r w:rsidR="00131E41">
        <w:rPr>
          <w:rFonts w:asciiTheme="majorEastAsia" w:eastAsiaTheme="majorEastAsia" w:hAnsiTheme="majorEastAsia"/>
          <w:color w:val="000000" w:themeColor="text1"/>
          <w:sz w:val="30"/>
          <w:szCs w:val="30"/>
        </w:rPr>
        <w:br/>
      </w:r>
      <w:r w:rsidR="00131E41" w:rsidRPr="009A2707">
        <w:rPr>
          <w:rFonts w:asciiTheme="minorEastAsia" w:hAnsiTheme="minorEastAs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D43CCE2" wp14:editId="2D1802EC">
            <wp:extent cx="5274310" cy="3952875"/>
            <wp:effectExtent l="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E41" w:rsidRDefault="00131E41" w:rsidP="00131E41">
      <w:pPr>
        <w:spacing w:line="480" w:lineRule="auto"/>
        <w:jc w:val="center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  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一般路径损耗模型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</w:t>
      </w:r>
    </w:p>
    <w:p w:rsidR="00AF1D38" w:rsidRDefault="00AF1D38" w:rsidP="00131E41">
      <w:pPr>
        <w:spacing w:line="48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AF1D38" w:rsidRDefault="00AF1D38" w:rsidP="00AF1D38">
      <w:pPr>
        <w:pStyle w:val="2"/>
        <w:numPr>
          <w:ilvl w:val="0"/>
          <w:numId w:val="0"/>
        </w:numPr>
        <w:ind w:left="759" w:hanging="759"/>
      </w:pPr>
      <w:r>
        <w:rPr>
          <w:rFonts w:hint="eastAsia"/>
        </w:rPr>
        <w:t>五、实验</w:t>
      </w:r>
      <w:r w:rsidR="009736CA">
        <w:rPr>
          <w:rFonts w:hint="eastAsia"/>
        </w:rPr>
        <w:t>总结</w:t>
      </w:r>
    </w:p>
    <w:p w:rsidR="00131E41" w:rsidRDefault="00131E41" w:rsidP="00131E4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图1.1显示了在不同天线增益的情况下，自由空间的路径损耗随距离而变化的曲线图，其中载波频率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。很明显，天线增益减小时，路径损耗增加。</w:t>
      </w:r>
    </w:p>
    <w:p w:rsidR="00131E41" w:rsidRDefault="00131E41" w:rsidP="00131E41">
      <w:pPr>
        <w:spacing w:line="480" w:lineRule="auto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图1.2所示为式（1.4）在载波频率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的对数距离路径损耗。从图中可以清楚地看到，路径损耗随着路径损耗指数n的增大而增大。</w:t>
      </w:r>
    </w:p>
    <w:p w:rsidR="00131E41" w:rsidRDefault="00131E41" w:rsidP="00131E41">
      <w:pPr>
        <w:spacing w:line="480" w:lineRule="auto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图1.3所示为服从对数正态阴影模型的路径损耗，其中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</w:t>
      </w:r>
      <w:r w:rsidRPr="00AF1D38">
        <w:rPr>
          <w:rFonts w:ascii="Times New Roman" w:hAnsi="Times New Roman" w:cs="Times New Roman"/>
          <w:color w:val="000000" w:themeColor="text1"/>
          <w:sz w:val="24"/>
          <w:szCs w:val="24"/>
        </w:rPr>
        <w:t>=1.5GHz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Pr="004C3B42">
        <w:rPr>
          <w:position w:val="-6"/>
        </w:rPr>
        <w:object w:dxaOrig="240" w:dyaOrig="220">
          <v:shape id="_x0000_i1030" type="#_x0000_t75" style="width:12pt;height:11.4pt" o:ole="">
            <v:imagedata r:id="rId20" o:title=""/>
          </v:shape>
          <o:OLEObject Type="Embed" ProgID="Equation.DSMT4" ShapeID="_x0000_i1030" DrawAspect="Content" ObjectID="_1602252579" r:id="rId21"/>
        </w:objec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=3dB</w:t>
      </w:r>
      <w:r>
        <w:rPr>
          <w:rFonts w:hint="eastAsia"/>
        </w:rPr>
        <w:t>，</w:t>
      </w:r>
      <w:r w:rsidRPr="00576DF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n=2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。从图中可以清楚地看到，在确定性地对数路径损耗模型上叠加了阴影产生地随机效应。</w:t>
      </w:r>
    </w:p>
    <w:p w:rsidR="00131E41" w:rsidRDefault="00131E41" w:rsidP="00131E4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显示，当</w:t>
      </w:r>
      <w:proofErr w:type="gramStart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保持两径模型</w:t>
      </w:r>
      <w:proofErr w:type="gramEnd"/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中天线间的斜线距离不变，接收天线增益不变时，接收功率与距离的关系可以分为三个部分。距离较小（d&lt;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）时，接收天线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lastRenderedPageBreak/>
        <w:t>功率随距离增加而增加；当距离d处于</w:t>
      </w:r>
      <m:oMath>
        <m:sSub>
          <m:sSub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sub>
        </m:sSub>
      </m:oMath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和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dc之间时，接收天线功率出现一系列极大值极小值，跳变剧烈，每十倍距离下降20dB；当距离d&gt;dc时，接收天线功率随距离增大而下降，每十倍距离下降40dB。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br/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 xml:space="preserve">    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图1.</w:t>
      </w:r>
      <w:r>
        <w:rPr>
          <w:rFonts w:asciiTheme="minorEastAsia" w:hAnsiTheme="minorEastAsia" w:cs="Times New Roman"/>
          <w:color w:val="000000" w:themeColor="text1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显示，在一般路径损耗模型中，路径损耗与距离成对数关系（若将距离用对数表示，则成线性关系）。随着k和a的增加，路径损耗的下降越快。但三条曲线最后在1000米左右是路径损耗基本相同，为-1DB。</w:t>
      </w:r>
    </w:p>
    <w:p w:rsidR="00131E41" w:rsidRPr="00672F41" w:rsidRDefault="00131E41" w:rsidP="00131E41">
      <w:pPr>
        <w:spacing w:line="480" w:lineRule="auto"/>
        <w:ind w:firstLineChars="200"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通过实验，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我们组成员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更加了解了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三种路径</w:t>
      </w:r>
      <w:r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>损耗模型的原理，以及信号衰落的具体情况，也能够更加熟练的使用MATLAB。</w:t>
      </w:r>
      <w:bookmarkStart w:id="3" w:name="_GoBack"/>
      <w:bookmarkEnd w:id="3"/>
    </w:p>
    <w:p w:rsidR="00131E41" w:rsidRPr="00131E41" w:rsidRDefault="00131E41" w:rsidP="00131E41">
      <w:pPr>
        <w:spacing w:line="480" w:lineRule="auto"/>
        <w:ind w:firstLineChars="200" w:firstLine="480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</w:p>
    <w:p w:rsidR="009736CA" w:rsidRPr="00131E41" w:rsidRDefault="009736CA" w:rsidP="009736CA">
      <w:pPr>
        <w:spacing w:line="480" w:lineRule="auto"/>
        <w:ind w:firstLine="48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sectPr w:rsidR="009736CA" w:rsidRPr="00131E41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5C3" w:rsidRDefault="00CC15C3">
      <w:r>
        <w:separator/>
      </w:r>
    </w:p>
  </w:endnote>
  <w:endnote w:type="continuationSeparator" w:id="0">
    <w:p w:rsidR="00CC15C3" w:rsidRDefault="00CC1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6CA" w:rsidRDefault="00CC15C3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9736CA" w:rsidRDefault="009736CA">
                <w:pPr>
                  <w:pStyle w:val="a6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5C3" w:rsidRDefault="00CC15C3">
      <w:r>
        <w:separator/>
      </w:r>
    </w:p>
  </w:footnote>
  <w:footnote w:type="continuationSeparator" w:id="0">
    <w:p w:rsidR="00CC15C3" w:rsidRDefault="00CC1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5F36"/>
    <w:multiLevelType w:val="multilevel"/>
    <w:tmpl w:val="03155F36"/>
    <w:lvl w:ilvl="0">
      <w:start w:val="1"/>
      <w:numFmt w:val="decimal"/>
      <w:pStyle w:val="1"/>
      <w:lvlText w:val="第%1章 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en-US"/>
      </w:rPr>
    </w:lvl>
    <w:lvl w:ilvl="1">
      <w:start w:val="1"/>
      <w:numFmt w:val="decimal"/>
      <w:pStyle w:val="2"/>
      <w:lvlText w:val="%1.%2"/>
      <w:lvlJc w:val="left"/>
      <w:pPr>
        <w:ind w:left="709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302ED"/>
    <w:multiLevelType w:val="hybridMultilevel"/>
    <w:tmpl w:val="D32AB296"/>
    <w:lvl w:ilvl="0" w:tplc="54104672">
      <w:start w:val="1"/>
      <w:numFmt w:val="decimalFullWidth"/>
      <w:lvlText w:val="%1）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2E4421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DF94889"/>
    <w:multiLevelType w:val="hybridMultilevel"/>
    <w:tmpl w:val="D44268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05C5A8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186E5E63"/>
    <w:multiLevelType w:val="hybridMultilevel"/>
    <w:tmpl w:val="02B4FB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53DA2F8A">
      <w:start w:val="1"/>
      <w:numFmt w:val="decimal"/>
      <w:lvlText w:val="%2、"/>
      <w:lvlJc w:val="left"/>
      <w:pPr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AD3402B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1D0A368B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1E6F3776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21796496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258B6CE0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 w15:restartNumberingAfterBreak="0">
    <w:nsid w:val="2A245EDD"/>
    <w:multiLevelType w:val="hybridMultilevel"/>
    <w:tmpl w:val="078E16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BC3108B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DA9749D"/>
    <w:multiLevelType w:val="hybridMultilevel"/>
    <w:tmpl w:val="1C0C50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022423C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 w15:restartNumberingAfterBreak="0">
    <w:nsid w:val="33562CE7"/>
    <w:multiLevelType w:val="hybridMultilevel"/>
    <w:tmpl w:val="CCFC9F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47230C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36B6103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370A3C4C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3DE364CC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 w15:restartNumberingAfterBreak="0">
    <w:nsid w:val="475974C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48E23A4C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2" w15:restartNumberingAfterBreak="0">
    <w:nsid w:val="4A2A6220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AB95331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 w15:restartNumberingAfterBreak="0">
    <w:nsid w:val="525374D3"/>
    <w:multiLevelType w:val="hybridMultilevel"/>
    <w:tmpl w:val="681C915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F0169A3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62CC764B"/>
    <w:multiLevelType w:val="hybridMultilevel"/>
    <w:tmpl w:val="C6CADA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6BA3E27"/>
    <w:multiLevelType w:val="multilevel"/>
    <w:tmpl w:val="0A2E442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 w15:restartNumberingAfterBreak="0">
    <w:nsid w:val="72073938"/>
    <w:multiLevelType w:val="multilevel"/>
    <w:tmpl w:val="4AB95331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 w15:restartNumberingAfterBreak="0">
    <w:nsid w:val="74F94FB1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 w15:restartNumberingAfterBreak="0">
    <w:nsid w:val="780702E9"/>
    <w:multiLevelType w:val="multilevel"/>
    <w:tmpl w:val="780702E9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 w15:restartNumberingAfterBreak="0">
    <w:nsid w:val="7A526398"/>
    <w:multiLevelType w:val="multilevel"/>
    <w:tmpl w:val="48E23A4C"/>
    <w:lvl w:ilvl="0">
      <w:start w:val="1"/>
      <w:numFmt w:val="decimal"/>
      <w:lvlText w:val="%1."/>
      <w:lvlJc w:val="left"/>
      <w:pPr>
        <w:tabs>
          <w:tab w:val="left" w:pos="42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7E071507"/>
    <w:multiLevelType w:val="multilevel"/>
    <w:tmpl w:val="7E071507"/>
    <w:lvl w:ilvl="0">
      <w:start w:val="1"/>
      <w:numFmt w:val="decimal"/>
      <w:lvlText w:val="%1."/>
      <w:lvlJc w:val="left"/>
      <w:pPr>
        <w:tabs>
          <w:tab w:val="left" w:pos="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30"/>
  </w:num>
  <w:num w:numId="5">
    <w:abstractNumId w:val="23"/>
  </w:num>
  <w:num w:numId="6">
    <w:abstractNumId w:val="32"/>
  </w:num>
  <w:num w:numId="7">
    <w:abstractNumId w:val="17"/>
  </w:num>
  <w:num w:numId="8">
    <w:abstractNumId w:val="18"/>
  </w:num>
  <w:num w:numId="9">
    <w:abstractNumId w:val="14"/>
  </w:num>
  <w:num w:numId="10">
    <w:abstractNumId w:val="20"/>
  </w:num>
  <w:num w:numId="11">
    <w:abstractNumId w:val="19"/>
  </w:num>
  <w:num w:numId="12">
    <w:abstractNumId w:val="5"/>
  </w:num>
  <w:num w:numId="13">
    <w:abstractNumId w:val="1"/>
  </w:num>
  <w:num w:numId="14">
    <w:abstractNumId w:val="15"/>
  </w:num>
  <w:num w:numId="15">
    <w:abstractNumId w:val="16"/>
  </w:num>
  <w:num w:numId="16">
    <w:abstractNumId w:val="9"/>
  </w:num>
  <w:num w:numId="17">
    <w:abstractNumId w:val="22"/>
  </w:num>
  <w:num w:numId="18">
    <w:abstractNumId w:val="7"/>
  </w:num>
  <w:num w:numId="19">
    <w:abstractNumId w:val="12"/>
  </w:num>
  <w:num w:numId="20">
    <w:abstractNumId w:val="31"/>
  </w:num>
  <w:num w:numId="21">
    <w:abstractNumId w:val="27"/>
  </w:num>
  <w:num w:numId="22">
    <w:abstractNumId w:val="8"/>
  </w:num>
  <w:num w:numId="23">
    <w:abstractNumId w:val="4"/>
  </w:num>
  <w:num w:numId="24">
    <w:abstractNumId w:val="28"/>
  </w:num>
  <w:num w:numId="25">
    <w:abstractNumId w:val="3"/>
  </w:num>
  <w:num w:numId="26">
    <w:abstractNumId w:val="13"/>
  </w:num>
  <w:num w:numId="27">
    <w:abstractNumId w:val="26"/>
  </w:num>
  <w:num w:numId="28">
    <w:abstractNumId w:val="11"/>
  </w:num>
  <w:num w:numId="29">
    <w:abstractNumId w:val="25"/>
  </w:num>
  <w:num w:numId="30">
    <w:abstractNumId w:val="10"/>
  </w:num>
  <w:num w:numId="31">
    <w:abstractNumId w:val="24"/>
  </w:num>
  <w:num w:numId="32">
    <w:abstractNumId w:val="2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3E2"/>
    <w:rsid w:val="000012BB"/>
    <w:rsid w:val="000125FF"/>
    <w:rsid w:val="00021754"/>
    <w:rsid w:val="00025276"/>
    <w:rsid w:val="00030BCD"/>
    <w:rsid w:val="00084CC8"/>
    <w:rsid w:val="00091923"/>
    <w:rsid w:val="000C2CE1"/>
    <w:rsid w:val="000C469D"/>
    <w:rsid w:val="000C728A"/>
    <w:rsid w:val="000E11CC"/>
    <w:rsid w:val="000E1B1E"/>
    <w:rsid w:val="000F3D25"/>
    <w:rsid w:val="00106046"/>
    <w:rsid w:val="001102FF"/>
    <w:rsid w:val="001232FF"/>
    <w:rsid w:val="0012692A"/>
    <w:rsid w:val="00131E41"/>
    <w:rsid w:val="0015405D"/>
    <w:rsid w:val="00155482"/>
    <w:rsid w:val="0016264C"/>
    <w:rsid w:val="00193CCE"/>
    <w:rsid w:val="0019700A"/>
    <w:rsid w:val="001B344B"/>
    <w:rsid w:val="001C005D"/>
    <w:rsid w:val="001C2191"/>
    <w:rsid w:val="001D0763"/>
    <w:rsid w:val="001F2FA9"/>
    <w:rsid w:val="002714A9"/>
    <w:rsid w:val="00285AD6"/>
    <w:rsid w:val="002C34BA"/>
    <w:rsid w:val="002E2D4E"/>
    <w:rsid w:val="002F29D8"/>
    <w:rsid w:val="003303BE"/>
    <w:rsid w:val="00334E7D"/>
    <w:rsid w:val="003844DB"/>
    <w:rsid w:val="003A7391"/>
    <w:rsid w:val="003C5988"/>
    <w:rsid w:val="003D1913"/>
    <w:rsid w:val="003D6C62"/>
    <w:rsid w:val="004208D4"/>
    <w:rsid w:val="00432F02"/>
    <w:rsid w:val="00462A74"/>
    <w:rsid w:val="004800D8"/>
    <w:rsid w:val="00494659"/>
    <w:rsid w:val="0049679B"/>
    <w:rsid w:val="004C136D"/>
    <w:rsid w:val="004D3F9A"/>
    <w:rsid w:val="004E591C"/>
    <w:rsid w:val="004E7BD6"/>
    <w:rsid w:val="004F308F"/>
    <w:rsid w:val="00515EF4"/>
    <w:rsid w:val="00525CF9"/>
    <w:rsid w:val="00533F97"/>
    <w:rsid w:val="0054353F"/>
    <w:rsid w:val="00545B71"/>
    <w:rsid w:val="00557F17"/>
    <w:rsid w:val="00576DFE"/>
    <w:rsid w:val="00590DCE"/>
    <w:rsid w:val="005A68D8"/>
    <w:rsid w:val="0060498F"/>
    <w:rsid w:val="00607B49"/>
    <w:rsid w:val="00660719"/>
    <w:rsid w:val="00672F41"/>
    <w:rsid w:val="00673B0F"/>
    <w:rsid w:val="006836C3"/>
    <w:rsid w:val="006B4A4C"/>
    <w:rsid w:val="006D6CBE"/>
    <w:rsid w:val="006E57AA"/>
    <w:rsid w:val="00702DD0"/>
    <w:rsid w:val="007053C7"/>
    <w:rsid w:val="00706189"/>
    <w:rsid w:val="00712930"/>
    <w:rsid w:val="007509AF"/>
    <w:rsid w:val="00757D8B"/>
    <w:rsid w:val="007B4291"/>
    <w:rsid w:val="007E3D0B"/>
    <w:rsid w:val="00807C0E"/>
    <w:rsid w:val="008107A9"/>
    <w:rsid w:val="00837EF4"/>
    <w:rsid w:val="00845BC8"/>
    <w:rsid w:val="00872E85"/>
    <w:rsid w:val="00877387"/>
    <w:rsid w:val="00887992"/>
    <w:rsid w:val="008E280D"/>
    <w:rsid w:val="00904B87"/>
    <w:rsid w:val="009736CA"/>
    <w:rsid w:val="00976614"/>
    <w:rsid w:val="009B0728"/>
    <w:rsid w:val="009C3D71"/>
    <w:rsid w:val="009E5AA2"/>
    <w:rsid w:val="00A02902"/>
    <w:rsid w:val="00A20C56"/>
    <w:rsid w:val="00A457E0"/>
    <w:rsid w:val="00A55CB7"/>
    <w:rsid w:val="00A57179"/>
    <w:rsid w:val="00AC22C2"/>
    <w:rsid w:val="00AC5005"/>
    <w:rsid w:val="00AE0D3D"/>
    <w:rsid w:val="00AF1D38"/>
    <w:rsid w:val="00B044F3"/>
    <w:rsid w:val="00B04D28"/>
    <w:rsid w:val="00B12EC8"/>
    <w:rsid w:val="00B35FC2"/>
    <w:rsid w:val="00B83134"/>
    <w:rsid w:val="00B97F7F"/>
    <w:rsid w:val="00BA397D"/>
    <w:rsid w:val="00BD3D8A"/>
    <w:rsid w:val="00C00BE9"/>
    <w:rsid w:val="00C63ACB"/>
    <w:rsid w:val="00C74F44"/>
    <w:rsid w:val="00C863E2"/>
    <w:rsid w:val="00CC15C3"/>
    <w:rsid w:val="00CC7ABB"/>
    <w:rsid w:val="00D67F90"/>
    <w:rsid w:val="00DB50F5"/>
    <w:rsid w:val="00E10DDB"/>
    <w:rsid w:val="00E57D3B"/>
    <w:rsid w:val="00EA3499"/>
    <w:rsid w:val="00F01A25"/>
    <w:rsid w:val="00F22606"/>
    <w:rsid w:val="00F34C5B"/>
    <w:rsid w:val="00F41566"/>
    <w:rsid w:val="00F62EA4"/>
    <w:rsid w:val="00F65671"/>
    <w:rsid w:val="00FA11C1"/>
    <w:rsid w:val="00FB3975"/>
    <w:rsid w:val="00FF19B7"/>
    <w:rsid w:val="00FF3B46"/>
    <w:rsid w:val="07651B55"/>
    <w:rsid w:val="63D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7D7667E8"/>
  <w15:docId w15:val="{C38EED46-BDD9-4AEC-BB49-0E1DFE23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autoSpaceDE w:val="0"/>
      <w:autoSpaceDN w:val="0"/>
      <w:adjustRightInd w:val="0"/>
      <w:spacing w:line="288" w:lineRule="auto"/>
      <w:jc w:val="center"/>
      <w:outlineLvl w:val="0"/>
    </w:pPr>
    <w:rPr>
      <w:rFonts w:ascii="Times New Roman" w:eastAsia="黑体" w:hAnsi="Times New Roman" w:cs="Times New Roman"/>
      <w:b/>
      <w:bCs/>
      <w:kern w:val="0"/>
      <w:sz w:val="32"/>
      <w:szCs w:val="32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ind w:left="759" w:hangingChars="270" w:hanging="759"/>
      <w:jc w:val="left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line="288" w:lineRule="auto"/>
      <w:ind w:firstLine="0"/>
      <w:outlineLvl w:val="2"/>
    </w:pPr>
    <w:rPr>
      <w:rFonts w:ascii="Times New Roman" w:eastAsia="黑体" w:hAnsi="Times New Roman" w:cs="Times New Roman"/>
      <w:b/>
      <w:kern w:val="24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2">
    <w:name w:val="toc 2"/>
    <w:basedOn w:val="a"/>
    <w:next w:val="a"/>
    <w:uiPriority w:val="39"/>
    <w:semiHidden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a8">
    <w:name w:val="Normal (Web)"/>
    <w:basedOn w:val="Default"/>
    <w:next w:val="Default"/>
    <w:uiPriority w:val="99"/>
    <w:qFormat/>
    <w:pPr>
      <w:spacing w:before="100" w:after="100"/>
    </w:pPr>
    <w:rPr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qFormat/>
    <w:rPr>
      <w:rFonts w:ascii="Times New Roman" w:eastAsia="黑体" w:hAnsi="Times New Roman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黑体" w:hAnsi="Times New Roman" w:cs="Times New Roman"/>
      <w:b/>
      <w:kern w:val="24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styleId="ac">
    <w:name w:val="Normal Indent"/>
    <w:basedOn w:val="a"/>
    <w:rsid w:val="009E5AA2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E57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e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 textRotate="1"/>
    <customShpInfo spid="_x0000_s18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EFB867-B026-4F84-BE66-7E094C65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12</Pages>
  <Words>827</Words>
  <Characters>4718</Characters>
  <Application>Microsoft Office Word</Application>
  <DocSecurity>0</DocSecurity>
  <Lines>39</Lines>
  <Paragraphs>11</Paragraphs>
  <ScaleCrop>false</ScaleCrop>
  <Company>Lenovo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luyiyu1998@qq.com</cp:lastModifiedBy>
  <cp:revision>114</cp:revision>
  <cp:lastPrinted>2018-05-24T15:47:00Z</cp:lastPrinted>
  <dcterms:created xsi:type="dcterms:W3CDTF">2018-04-18T00:37:00Z</dcterms:created>
  <dcterms:modified xsi:type="dcterms:W3CDTF">2018-10-28T09:22:00Z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