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5: Description of the “Network representation” pillar of the Theoretical Market Framework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592"/>
            <w:vAlign w:val="center"/>
            <w:shd w:fill="156A84"/>
          </w:tcPr>
          <w:p>
            <w:r>
              <w:t>Feature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1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2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3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4</w:t>
            </w:r>
          </w:p>
        </w:tc>
        <w:tc>
          <w:tcPr>
            <w:tcW w:type="dxa" w:w="2592"/>
            <w:vAlign w:val="center"/>
            <w:shd w:fill="156A84"/>
          </w:tcPr>
          <w:p>
            <w:r>
              <w:t>Additional Information</w:t>
            </w:r>
          </w:p>
        </w:tc>
      </w:tr>
      <w:tr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Representation of network constraints</w:t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Timing of the inclusion of network constraints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