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  <w:sz w:val="22"/>
        </w:rPr>
        <w:t>Table 1: Description of the “Market architecture” pillar using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261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Sub-feature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Number of 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Opening Time (GOT)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Gate Closure Time (GCT)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Time Unit (MTU)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type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Service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Type of product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Product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Technical requirements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Level of spatial granularity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Responsible System Operator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Voltage level where resources are located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buyer(s)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seller(s)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Allowed technologies (Generators, Loads, Storage)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method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Aggregation mix allowed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Who is the MO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Roles and actors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Participation in submarket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2: Description of the “Sub-market coordination”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1"/>
        <w:gridCol w:w="2261"/>
        <w:gridCol w:w="2261"/>
        <w:gridCol w:w="2261"/>
        <w:gridCol w:w="2261"/>
        <w:gridCol w:w="2261"/>
        <w:gridCol w:w="2261"/>
      </w:tblGrid>
      <w:tr>
        <w:trPr>
          <w:tblHeader w:val="true"/>
        </w:trPr>
        <w:tc>
          <w:tcPr>
            <w:tcW w:type="dxa" w:w="2261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Sub-feature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261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System operators order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TSO access to DERs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Commitment to bid selection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Allocation principle of flexibility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Forwarding of bids</w:t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Timeframe for coordination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phase for coordination between submarkets</w:t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261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type w:val="nextColumn"/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3: Description of the “Market optimisation”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optimisation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Submarkets optimisation strategy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Sub-market clearing objective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type w:val="nextColumn"/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4: Description of the “Market operation”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Remuneration scheme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Remunerated product attribute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Market clearing type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Procurement frequency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Bid properties - Minimum bid size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Bid properties - Bid structure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ectPr>
          <w:type w:val="nextColumn"/>
          <w:pgSz w:w="16834" w:h="11909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i/>
          <w:sz w:val="22"/>
        </w:rPr>
        <w:t>Table 5: Description of the “Network representation” pillar of the Theoretical Market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2638"/>
            <w:vAlign w:val="center"/>
            <w:shd w:fill="156A84"/>
          </w:tcPr>
          <w:p>
            <w:r>
              <w:t>Feature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1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2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3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Market 4</w:t>
            </w:r>
          </w:p>
        </w:tc>
        <w:tc>
          <w:tcPr>
            <w:tcW w:type="dxa" w:w="2638"/>
            <w:vAlign w:val="center"/>
            <w:shd w:fill="156A84"/>
          </w:tcPr>
          <w:p>
            <w:r>
              <w:t>Additional Information</w:t>
            </w:r>
          </w:p>
        </w:tc>
      </w:tr>
      <w:tr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Representation of network constraints</w:t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BEE3F2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  <w:t>Timing of the inclusion of network constraints</w:t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38"/>
            <w:vAlign w:val="center"/>
            <w:shd w:fill="FFFFFF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4"/>
              </w:rPr>
            </w:r>
          </w:p>
        </w:tc>
      </w:tr>
    </w:tbl>
    <w:sectPr w:rsidR="00FC693F" w:rsidRPr="0006063C" w:rsidSect="00034616">
      <w:type w:val="nextColumn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