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1: Description of the “Market architecture” pillar using the Theoretical Market Framework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136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23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Sub-feature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LT-D-P-AE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ST-D-P-E</w:t>
            </w:r>
          </w:p>
        </w:tc>
        <w:tc>
          <w:tcPr>
            <w:tcW w:type="dxa" w:w="2088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ESP: RT-D-P-E</w:t>
            </w:r>
          </w:p>
        </w:tc>
        <w:tc>
          <w:tcPr>
            <w:tcW w:type="dxa" w:w="2232"/>
            <w:vAlign w:val="center"/>
            <w:shd w:fill="156A8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Additional Information</w:t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Number of submarkets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Opening Time (GOT)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Closure Time (GCT)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Time Unit (MTU)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type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Type of product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Technical requirements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Level of spatial granularity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Responsible System Operator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Voltage level where resources are located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buyer(s)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seller(s)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Allowed technologies (Generators, Loads, Storage)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method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mix allowed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MO</w:t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36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Participation in submarket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