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1: Description of the “Market architecture” pillar using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Sub-feature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Number of 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Gate Opening Time (GOT)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Gate Closure Time (GCT)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Time Unit (MTU)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Sub-market type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Services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Service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Product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Type of product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Product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Technical requirements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Level of spatial granularity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Responsible System Operator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Voltage level where resources are located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buyer(s)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seller(s)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Allowed technologies (Generators, Loads, Storage)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Aggregation method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Aggregation mix allowed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MO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Participation in submarket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ectPr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/>
          <w:sz w:val="22"/>
        </w:rPr>
        <w:t>Table 2: Description of the “Sub-market coordination” pillar of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Sub-feature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261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System operators order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TSO access to DERs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Commitment to bid selection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Forwarding of bids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Timeframe for coordination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phase for coordination between 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ectPr>
          <w:type w:val="nextColumn"/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/>
          <w:sz w:val="22"/>
        </w:rPr>
        <w:t>Table 3: Description of the “Market optimisation” pillar of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optimisation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 optimisation strategy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Sub-market clearing objective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ectPr>
          <w:type w:val="nextColumn"/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/>
          <w:sz w:val="22"/>
        </w:rPr>
        <w:t>Table 4: Description of the “Market operation” pillar of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Remuneration scheme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Remunerated product attribute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clearing type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Procurement frequency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Bid properties - Minimum bid size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Bid properties - Bid structure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ectPr>
          <w:type w:val="nextColumn"/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/>
          <w:sz w:val="22"/>
        </w:rPr>
        <w:t>Table 5: Description of the “Network representation” pillar of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63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Representation of network constraints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Timing of the inclusion of network constraints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type w:val="nextColumn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