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ТЕХНИЧЕСКИЕ УСЛОВИЯ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EMTH.19.01.02.59.00.000.0002 ТУ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Область применения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Технические условия распространяются на опытные полуоткрытые рабочие колёса центробежного компрессора РК-200-Э и РК-200-Д готовым наружным диаметром 200 мм. Документ устанавливает требования к опытным образцам; расчётные показатели не являются подтверждёнными паспортными характеристиками до завершения CFD, прочностного анализа и стендовых испытаний.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Варианты аэродинамической геометрии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121"/>
        <w:gridCol w:w="3526"/>
        <w:gridCol w:w="2042"/>
        <w:gridCol w:w="2459"/>
      </w:tblGrid>
      <w:tr>
        <w:trPr>
          <w:tblHeader w:val="true"/>
          <w:cantSplit/>
        </w:trPr>
        <w:tc>
          <w:tcPr>
            <w:tcW w:type="dxa" w:w="21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Модель</w:t>
            </w:r>
          </w:p>
        </w:tc>
        <w:tc>
          <w:tcPr>
            <w:tcW w:type="dxa" w:w="35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20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Лопатки</w:t>
            </w:r>
          </w:p>
        </w:tc>
        <w:tc>
          <w:tcPr>
            <w:tcW w:type="dxa" w:w="24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>
              <w:t>ηtt по одномерной модели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</w:t>
            </w:r>
          </w:p>
        </w:tc>
        <w:tc>
          <w:tcPr>
            <w:tcW w:type="dxa" w:w="35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максимальный полный КПД</w:t>
            </w:r>
          </w:p>
        </w:tc>
        <w:tc>
          <w:tcPr>
            <w:tcW w:type="dxa" w:w="20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10+10</w:t>
            </w:r>
          </w:p>
        </w:tc>
        <w:tc>
          <w:tcPr>
            <w:tcW w:type="dxa" w:w="24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74,14 %</w:t>
            </w:r>
          </w:p>
        </w:tc>
      </w:tr>
      <w:tr>
        <w:trPr>
          <w:cantSplit/>
        </w:trPr>
        <w:tc>
          <w:tcPr>
            <w:tcW w:type="dxa" w:w="212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</w:t>
            </w:r>
          </w:p>
        </w:tc>
        <w:tc>
          <w:tcPr>
            <w:tcW w:type="dxa" w:w="35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максимальный прирост полного давления</w:t>
            </w:r>
          </w:p>
        </w:tc>
        <w:tc>
          <w:tcPr>
            <w:tcW w:type="dxa" w:w="204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13+13</w:t>
            </w:r>
          </w:p>
        </w:tc>
        <w:tc>
          <w:tcPr>
            <w:tcW w:type="dxa" w:w="24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71,23 %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Материальное исполнение М1 включает тело колеса из PA12-CF10 и втулку из стали 40Х. Исполнение М2 дополнительно содержит один наружный слой углеродной ткани номинальной сухой толщиной 0,2 мм в эпоксидной матрице. Толщина 0,2 мм относится к сухой ткани, а готовое колесо после отверждения и чистовой обработки должно сохранять Ø200 мм.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Основные параметры и характеристики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Основные параметры и расчётные режимы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322"/>
        <w:gridCol w:w="3083"/>
        <w:gridCol w:w="3743"/>
      </w:tblGrid>
      <w:tr>
        <w:trPr>
          <w:tblHeader w:val="true"/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 готового колеса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Обе модели</w:t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Толщина заднего диска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мм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Обе модели</w:t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Посадочная втулка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Сталь 40Х; H49,5; Ø30/Ø22; паз 6×6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Накатка, запрессовка, клей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Частота стендовой проверки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3 000 мин⁻¹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ПМ, защитный кожух</w:t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Основная расчётная частота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12 000 мин⁻¹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Расчётная точка; в текущей редакции запрещена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 РК-200-Э при 3 000/12 000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0,655/10,853 кПа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Предварительная одномерная оценка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3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 РК-200-Д при 3 000/12 000</w:t>
            </w:r>
          </w:p>
        </w:tc>
        <w:tc>
          <w:tcPr>
            <w:tcW w:type="dxa" w:w="30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0,727/12,089 кПа</w:t>
            </w:r>
          </w:p>
        </w:tc>
        <w:tc>
          <w:tcPr>
            <w:tcW w:type="dxa" w:w="37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Предварительная одномерная оценка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Технические требования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sz w:val="24"/>
        </w:rPr>
        <w:t>3.1 Требования к геометрии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геометрия должна соответствовать утверждённому STEP и чертежу конкретной модели;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удаления технологического припуска заготовки Ø202 мм наружная поверхность выходных кромок и диска должна образовывать общий цилиндр Ø200 мм;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лопатки должны сопрягаться с диском и ступицей без щелей, нулевой толщины и самопересечений;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ручная обработка корней и аэродинамических поверхностей допускается только в обозначенных на чертеже зонах;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фактические радиальное и торцевое биения фиксируют в протоколе и оценивают по чертежу и программе балансировки. До назначения предельных отклонений в чертеже допуск к вращению не оформляют.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sz w:val="24"/>
        </w:rPr>
        <w:t>3.2 Требования к материалам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тело колеса изготавливают из Fiberon PA12-CF10 с регистрацией марки и партии;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филамент сушат при 100 °C в течение 10 ч; после сушки материал хранят и подают из сухого бокса, а время и условия фиксируют в маршрутной карте;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готовую печатную деталь отжигают 100 °C/16 ч;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втулку изготавливают из стали 40Х: H49,5 мм, Ø30/Ø22 мм, сквозной паз 6×6 мм; посадку, допуски, накатку, подготовку поверхности и клеевое соединение назначают в чертеже и маршрутной карте;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конструкционный клей должен быть квалифицирован для пары полиамид–металл;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М2 углеродная ткань и эпоксидная система должны иметь паспорт партии и утверждённый цикл отверждения.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sz w:val="24"/>
        </w:rPr>
        <w:t>3.3 Требования к качеству изготовления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Критерии качества изготовления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Признак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Расслоение, трещины, непроклей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допускаются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Недоэкструзия и пропуски в корнях/кромках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допускаются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Сколы выходных и входных кромок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допускаются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Следы удаления поддержек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Допускаются вне расчётных поверхностей по чертежу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Смоляные наплывы исполнения М2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Не допускаются в проточном проходе и на поверхности Ø200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Отслоение наружного слоя исполнения М2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допускается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Коррозия, задиры и дефекты втулки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 допускаются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Комплектность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Комплектность опытного образца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4026"/>
        <w:gridCol w:w="2595"/>
        <w:gridCol w:w="3527"/>
      </w:tblGrid>
      <w:tr>
        <w:trPr>
          <w:tblHeader w:val="true"/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Количество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Рабочее колесо выбранной геометрии в сборе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 или Д</w:t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Втулка из стали 40Х (в составе колеса)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Сталь 40Х; H49,5; Ø30/Ø22; паз 6×6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Шпонка 6×6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Длина по чертежу вала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Паспорт экземпляра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Заполненный</w:t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геометрии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отжига и сборки</w:t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балансировки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стенда</w:t>
            </w:r>
          </w:p>
        </w:tc>
      </w:tr>
      <w:tr>
        <w:trPr>
          <w:cantSplit/>
        </w:trPr>
        <w:tc>
          <w:tcPr>
            <w:tcW w:type="dxa" w:w="40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Для М2: протокол укладки</w:t>
            </w:r>
          </w:p>
        </w:tc>
        <w:tc>
          <w:tcPr>
            <w:tcW w:type="dxa" w:w="25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ткани/смолы и цикл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Правила приёмки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каждое колесо подвергается сплошному входному, операционному и окончательному контролю;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приёмка выполняется после проверки комплектности технологических записей;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несоответствие по трещинам, расслоениям, втулке или балансировке является критическим и исключает вращение;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доработка допускается только по письменному решению конструктора и технолога с повторным контролем;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окончательное заключение записывают в паспорт: годно, доработка или брак.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Методы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Методы контроля и регистрируемые данные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922"/>
        <w:gridCol w:w="3989"/>
        <w:gridCol w:w="3237"/>
      </w:tblGrid>
      <w:tr>
        <w:trPr>
          <w:tblHeader w:val="true"/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Объект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Средство/метод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Геометрия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КИМ, штангенинструмент, индикатор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размеров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Поверхность и лопатки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 визуально, лупа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Карта дефектов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До/после отжига, втулки и М2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Измерение, контроль усилия запрессовки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сборки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Визуально; метод простукивания после квалификации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армирования</w:t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Балансировочный станок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Остаточный дисбаланс и критерий приёмки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Аэродинамика</w:t>
            </w:r>
          </w:p>
        </w:tc>
        <w:tc>
          <w:tcPr>
            <w:tcW w:type="dxa" w:w="39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 по ПМ</w:t>
            </w:r>
          </w:p>
        </w:tc>
        <w:tc>
          <w:tcPr>
            <w:tcW w:type="dxa" w:w="32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Δpt, Q, T, n, вибрация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Требования безопасности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Вращение допускается только после геометрического контроля, проверки соединения втулки, оформления протокола балансировки и письменного допуска. Испытания проводят в защитном кожухе с дистанционным управлением и аварийным остановом. Разрешённый стендовый режим настоящей редакции — 3 000 мин⁻¹. Частота 12 000 мин⁻¹ является расчётной точкой и запрещена до завершения CFD/FEA, модального анализа, проверки втулки и защитного корпуса, а также выпуска отдельного письменного допуска.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8 Маркировка, упаковка и хранение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маркировка содержит МИТК-РК, код Э/Д, исполнение М1/М2, серийный номер и дату;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маркировку наносят в ненагруженной зоне диска без надреза силовых волокон;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колесо хранят в жёсткой таре с опорами по ступице/диску, не нагружая лопатки;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тару помещают влагопоглотитель и паспорт; исключают удары, УФ и повышенную влажность;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длительного хранения перед испытанием повторяют визуальный контроль и проверку биения.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9 Нормативные ссылки</w:t>
      </w:r>
    </w:p>
    <w:p>
      <w:pPr>
        <w:spacing w:line="240" w:lineRule="auto" w:before="0" w:after="120"/>
        <w:numPr>
          <w:ilvl w:val="0"/>
          <w:numId w:val="1"/>
        </w:numPr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ГОСТ Р 1.3-2018 — технические условия на продукцию;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Р 2.105-2019 — общие требования к текстовым документам;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Р 2.106-2019 — текстовые документы;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Р 3.102-2024 — стадии разработки и виды технологических документов;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3.1118-82 — маршрутные карты;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3.1120-83 — требования безопасности в технологической документации;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ГОСТ Р 57558-2025 — термины аддитивных технологий;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ISO 21940-11:2016 — балансировка жёстких роторов;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Fiberon PA12-CF10 TDS V1.1 и SDS V2.0.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EMTH.19.01.02.59.00.000.0002 ТУ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EMTH.19.01.02.59.00.000.0002 ТУ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