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Команда МИТК-РК</w:t>
      </w:r>
    </w:p>
    <w:p>
      <w:pPr>
        <w:spacing w:after="480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00"/>
        <w:gridCol w:w="5100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left"/>
            </w:pPr>
            <w:r>
              <w:t>СОГЛАСОВАНО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right"/>
            </w:pPr>
            <w:r>
              <w:t>УТВЕРЖДАЮ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after="1800"/>
      </w:pP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РАБОЧИЕ КОЛЁСА РК-200-Э И РК-200-Д ДИАМЕТРОМ 200 ММ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АНАЛИЗ ВИДОВ И ПОСЛЕДСТВИЙ ОТКАЗОВ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EMTH.19.01.02.59.00.000.0008 Д</w:t>
      </w:r>
    </w:p>
    <w:p>
      <w:pPr>
        <w:spacing w:after="200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2026</w:t>
      </w:r>
    </w:p>
    <w:p>
      <w:pPr>
        <w:sectPr>
          <w:headerReference w:type="default" r:id="rId13"/>
          <w:headerReference w:type="first" r:id="rId14"/>
          <w:headerReference w:type="even" r:id="rId15"/>
          <w:footerReference w:type="default" r:id="rId16"/>
          <w:footerReference w:type="first" r:id="rId17"/>
          <w:footerReference w:type="even" r:id="rId18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 Методика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Предварительный FMEA конструкции и процесса использует шкалы тяжести S, вероятности O и обнаружения D от 1 до 10. S=1 означает пренебрежимо малое последствие, S=10 — возможное разрушение с угрозой безопасности; O=1 — крайне редкое событие, O=10 — ожидаемое частое; D=1 — почти гарантированное обнаружение до эксплуатации, D=10 — низкую вероятность обнаружения. RPN=S×O×D применяют только для расстановки приоритетов и не используют как самостоятельный критерий допуска. Оценки являются предварительными до документированного командного пересмотра; любой отказ с S≥9 требует отдельного инженерного решения независимо от RPN.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— Реестр рисков конструкции, изготовления и испытаний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931"/>
        <w:gridCol w:w="1290"/>
        <w:gridCol w:w="1311"/>
        <w:gridCol w:w="1413"/>
        <w:gridCol w:w="931"/>
        <w:gridCol w:w="931"/>
        <w:gridCol w:w="931"/>
        <w:gridCol w:w="931"/>
        <w:gridCol w:w="1479"/>
      </w:tblGrid>
      <w:tr>
        <w:trPr>
          <w:tblHeader w:val="true"/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ID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Отказ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Последствие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Причина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S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O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D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RPN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Мера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F01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Щель лопатка–ступица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Потеря жёсткости, разрушение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Ошибка CAD/булевых операций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STEP-проверка, одно твёрдое тело, сечение корня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F02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Недостаточная толщина кромки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Недопечатка, скол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Геометрия/слайсер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Послойный просмотр, контрольный сегмент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F03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Влажный PA12-CF10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Поры, слабая межслойная связь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Нарушение сушки/хранения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 °C/10 ч, RH&lt;20 %, журнал партии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F04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Износ сопла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Недоэкструзия и изменение размера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Абразивное волокно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Износостойкое сопло, учёт наработки, калибровка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F05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Расслоение Z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Отрыв лопатки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Параметры печати/дефект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Образцы Z, 100 % заполнение, визуальный контроль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F06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Коробление диска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Биение, касание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Печать/отжиг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108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Плоская опора, контроль до/после отжига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F07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Дисбаланс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Вибрация и усталость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Неравномерная печать/М2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Статическая и динамическая балансировка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F08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Трещина ступицы при запрессовке втулки из стали 40Х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Потеря удержания втулки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Чрезмерный натяг/удар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Кольцевой образец, пресс, запись усилия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F09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Проворот втулки из стали 40Х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Потеря передачи момента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Слабая посадка/клей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Накатка, квалифицированный клей, контроль момента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F10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Осевое смещение втулки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Касание/разрушение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 фиксации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Оснастка, контроль осевого положения по чертежу, клей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F11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Дефект шпоночного паза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Концентрация напряжений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Обработка втулки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108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Размерный контроль и снятие заусенцев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F12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Отслоение одного наружного слоя ткани М2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Дисбаланс/попадание в поток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Низкая адгезия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300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Купоны адгезии, карта подготовки, контроль слоя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F13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Асимметрия укладки М2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Дисбаланс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Разный раскрой/масса смолы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Симметричные сегменты одного слоя, взвешивание, повторная балансировка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F14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Смоляной наплыв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Сужение прохода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Избыток смолы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105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Вакуум/прикатка, шаблон прохода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F15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Резонанс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Высокая вибрация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Совпадение собственных и возбуждающих частот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280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Modal, Campbell, ступенчатый разгон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F16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Превышение частоты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Разрушение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Ошибка управления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Аппаратный предел 3 000 мин⁻¹ в текущей редакции, независимый тахометр; 12 000 мин⁻¹ — только по отдельному допуску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F17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Касание корпуса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Удар и разрушение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Биение/малый зазор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Ручной проворот, контроль зазора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F18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Посторонний предмет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Повреждение лопаток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Грязь во входе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108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Сетка/осмотр тракта, чистая сборка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F19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Ошибка датчика давления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Неверный вывод о модели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Диапазон/ноль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Калибровка, нулевая проверка, повтор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F20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Неуправляемая доработка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Ослабление корня/дисбаланс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Ручная обработка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Разрешённые зоны, запись массы и повторный контроль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F21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5"/>
              </w:rPr>
              <w:t>Недостаточная прочность защитного корпуса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5"/>
              </w:rPr>
              <w:t>Выброс фрагмента, травма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5"/>
              </w:rPr>
              <w:t>Нет расчёта удержания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2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7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140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5"/>
              </w:rPr>
              <w:t>Расчёт энергии/удара, приёмка корпуса, дистанционный запуск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F22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5"/>
              </w:rPr>
              <w:t>Отказ блокировки или аварийного останова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5"/>
              </w:rPr>
              <w:t>Невозможность безопасно остановить стенд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5"/>
              </w:rPr>
              <w:t>Электрический/логический отказ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2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4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80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5"/>
              </w:rPr>
              <w:t>Проверка перед серией, отказобезопасная схема, журнал срабатывания</w:t>
            </w:r>
          </w:p>
        </w:tc>
      </w:tr>
      <w:tr>
        <w:trPr>
          <w:cantSplit/>
        </w:trPr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F23</w:t>
            </w:r>
          </w:p>
        </w:tc>
        <w:tc>
          <w:tcPr>
            <w:tcW w:type="dxa" w:w="12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5"/>
              </w:rPr>
              <w:t>Отказ вала или опор</w:t>
            </w:r>
          </w:p>
        </w:tc>
        <w:tc>
          <w:tcPr>
            <w:tcW w:type="dxa" w:w="1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5"/>
              </w:rPr>
              <w:t>Касание, разрушение сборки</w:t>
            </w:r>
          </w:p>
        </w:tc>
        <w:tc>
          <w:tcPr>
            <w:tcW w:type="dxa" w:w="14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5"/>
              </w:rPr>
              <w:t>Недопустимая частота, биение, перегрев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10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3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5</w:t>
            </w:r>
          </w:p>
        </w:tc>
        <w:tc>
          <w:tcPr>
            <w:tcW w:type="dxa" w:w="9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</w:rPr>
              <w:t>150</w:t>
            </w:r>
          </w:p>
        </w:tc>
        <w:tc>
          <w:tcPr>
            <w:tcW w:type="dxa" w:w="14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5"/>
              </w:rPr>
              <w:t>Подтверждение предельной частоты, контроль биения, температуры и вибрации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 Приоритетные действия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— Приоритетные действия и барьеры безопасности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608"/>
        <w:gridCol w:w="1608"/>
        <w:gridCol w:w="2966"/>
        <w:gridCol w:w="2020"/>
        <w:gridCol w:w="1946"/>
      </w:tblGrid>
      <w:tr>
        <w:trPr>
          <w:tblHeader w:val="true"/>
          <w:cantSplit/>
        </w:trPr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ID</w:t>
            </w:r>
          </w:p>
        </w:tc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RPN</w:t>
            </w:r>
          </w:p>
        </w:tc>
        <w:tc>
          <w:tcPr>
            <w:tcW w:type="dxa" w:w="29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Обязательное действие</w:t>
            </w:r>
          </w:p>
        </w:tc>
        <w:tc>
          <w:tcPr>
            <w:tcW w:type="dxa" w:w="20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Ответственный</w:t>
            </w:r>
          </w:p>
        </w:tc>
        <w:tc>
          <w:tcPr>
            <w:tcW w:type="dxa" w:w="19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F12</w:t>
            </w:r>
          </w:p>
        </w:tc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300</w:t>
            </w:r>
          </w:p>
        </w:tc>
        <w:tc>
          <w:tcPr>
            <w:tcW w:type="dxa" w:w="29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Купоны адгезии, карта подготовки, контроль слоя</w:t>
            </w:r>
          </w:p>
        </w:tc>
        <w:tc>
          <w:tcPr>
            <w:tcW w:type="dxa" w:w="20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  <w:tc>
          <w:tcPr>
            <w:tcW w:type="dxa" w:w="19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F15</w:t>
            </w:r>
          </w:p>
        </w:tc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280</w:t>
            </w:r>
          </w:p>
        </w:tc>
        <w:tc>
          <w:tcPr>
            <w:tcW w:type="dxa" w:w="29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Modal, Campbell, ступенчатый разгон</w:t>
            </w:r>
          </w:p>
        </w:tc>
        <w:tc>
          <w:tcPr>
            <w:tcW w:type="dxa" w:w="20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  <w:tc>
          <w:tcPr>
            <w:tcW w:type="dxa" w:w="19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F05</w:t>
            </w:r>
          </w:p>
        </w:tc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240</w:t>
            </w:r>
          </w:p>
        </w:tc>
        <w:tc>
          <w:tcPr>
            <w:tcW w:type="dxa" w:w="29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Образцы Z, 100 % заполнение, визуальный контроль</w:t>
            </w:r>
          </w:p>
        </w:tc>
        <w:tc>
          <w:tcPr>
            <w:tcW w:type="dxa" w:w="20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  <w:tc>
          <w:tcPr>
            <w:tcW w:type="dxa" w:w="19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F09</w:t>
            </w:r>
          </w:p>
        </w:tc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240</w:t>
            </w:r>
          </w:p>
        </w:tc>
        <w:tc>
          <w:tcPr>
            <w:tcW w:type="dxa" w:w="29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Накатка, квалифицированный клей, контроль момента</w:t>
            </w:r>
          </w:p>
        </w:tc>
        <w:tc>
          <w:tcPr>
            <w:tcW w:type="dxa" w:w="20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  <w:tc>
          <w:tcPr>
            <w:tcW w:type="dxa" w:w="19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F04</w:t>
            </w:r>
          </w:p>
        </w:tc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200</w:t>
            </w:r>
          </w:p>
        </w:tc>
        <w:tc>
          <w:tcPr>
            <w:tcW w:type="dxa" w:w="29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Износостойкое сопло, учёт наработки, калибровка</w:t>
            </w:r>
          </w:p>
        </w:tc>
        <w:tc>
          <w:tcPr>
            <w:tcW w:type="dxa" w:w="20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  <w:tc>
          <w:tcPr>
            <w:tcW w:type="dxa" w:w="19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F03</w:t>
            </w:r>
          </w:p>
        </w:tc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180</w:t>
            </w:r>
          </w:p>
        </w:tc>
        <w:tc>
          <w:tcPr>
            <w:tcW w:type="dxa" w:w="29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100 °C/10 ч, RH&lt;20 %, журнал партии</w:t>
            </w:r>
          </w:p>
        </w:tc>
        <w:tc>
          <w:tcPr>
            <w:tcW w:type="dxa" w:w="20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  <w:tc>
          <w:tcPr>
            <w:tcW w:type="dxa" w:w="19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F07</w:t>
            </w:r>
          </w:p>
        </w:tc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180</w:t>
            </w:r>
          </w:p>
        </w:tc>
        <w:tc>
          <w:tcPr>
            <w:tcW w:type="dxa" w:w="29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Статическая и динамическая балансировка</w:t>
            </w:r>
          </w:p>
        </w:tc>
        <w:tc>
          <w:tcPr>
            <w:tcW w:type="dxa" w:w="20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  <w:tc>
          <w:tcPr>
            <w:tcW w:type="dxa" w:w="19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F13</w:t>
            </w:r>
          </w:p>
        </w:tc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180</w:t>
            </w:r>
          </w:p>
        </w:tc>
        <w:tc>
          <w:tcPr>
            <w:tcW w:type="dxa" w:w="29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Симметричные сегменты одного слоя, взвешивание, повторная балансировка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  <w:tc>
          <w:tcPr>
            <w:tcW w:type="dxa" w:w="20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  <w:tc>
          <w:tcPr>
            <w:tcW w:type="dxa" w:w="19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F23</w:t>
            </w:r>
          </w:p>
        </w:tc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150</w:t>
            </w:r>
          </w:p>
        </w:tc>
        <w:tc>
          <w:tcPr>
            <w:tcW w:type="dxa" w:w="29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Пределы вала/опор; контроль биения, температуры и вибрации</w:t>
            </w:r>
          </w:p>
        </w:tc>
        <w:tc>
          <w:tcPr>
            <w:tcW w:type="dxa" w:w="20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</w:t>
            </w:r>
          </w:p>
        </w:tc>
        <w:tc>
          <w:tcPr>
            <w:tcW w:type="dxa" w:w="19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F21</w:t>
            </w:r>
          </w:p>
        </w:tc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140</w:t>
            </w:r>
          </w:p>
        </w:tc>
        <w:tc>
          <w:tcPr>
            <w:tcW w:type="dxa" w:w="29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Расчёт/приёмка защитного корпуса; дистанционный запуск</w:t>
            </w:r>
          </w:p>
        </w:tc>
        <w:tc>
          <w:tcPr>
            <w:tcW w:type="dxa" w:w="20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</w:t>
            </w:r>
          </w:p>
        </w:tc>
        <w:tc>
          <w:tcPr>
            <w:tcW w:type="dxa" w:w="19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F22</w:t>
            </w:r>
          </w:p>
        </w:tc>
        <w:tc>
          <w:tcPr>
            <w:tcW w:type="dxa" w:w="1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80</w:t>
            </w:r>
          </w:p>
        </w:tc>
        <w:tc>
          <w:tcPr>
            <w:tcW w:type="dxa" w:w="29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Проверка блокировки и аварийного останова перед серией</w:t>
            </w:r>
          </w:p>
        </w:tc>
        <w:tc>
          <w:tcPr>
            <w:tcW w:type="dxa" w:w="20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</w:t>
            </w:r>
          </w:p>
        </w:tc>
        <w:tc>
          <w:tcPr>
            <w:tcW w:type="dxa" w:w="19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3 Правило закрытия риска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Риск закрывается только после выполнения меры, появления объективного доказательства и повторной оценки S/O/D. Снижение RPN без ссылки на протокол, расчёт, контроль или испытание не допускается.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50" w:right="283" w:bottom="3118" w:left="1134" w:header="0" w:footer="283" w:gutter="0"/>
      <w:cols w:space="720"/>
      <w:titlePg/>
      <w:docGrid w:linePitch="360"/>
      <w:pgNumType w:start="2"/>
      <w:pgBorders w:offsetFrom="page" w:display="allPages">
        <w:top w:val="single" w:sz="12" w:space="14" w:color="000000"/>
        <w:right w:val="single" w:sz="12" w:space="14" w:color="000000"/>
        <w:bottom w:val="single" w:sz="12" w:space="14" w:color="000000"/>
        <w:left w:val="single" w:sz="12" w:space="5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>
            <w:t>EMTH.19.01.02.59.00.000.0008 Д</w:t>
          </w:r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6804"/>
          <w:gridSpan w:val="5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6804"/>
          <w:gridSpan w:val="5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Разраб.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>
            <w:t>EMTH.19.01.02.59.00.000.0008 Д</w:t>
          </w:r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</w:r>
        </w:p>
      </w:tc>
      <w:tc>
        <w:tcPr>
          <w:tcW w:type="dxa" w:w="567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Пров.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567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Т.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3"/>
            </w:rPr>
            <w:t>Рабочие колёса РК-200-Э и РК-200-Д диаметром 200 мм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Лит.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Н.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Утв.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2"/>
            </w:rPr>
            <w:t>Команда МИТК-РК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7654"/>
          <w:gridSpan w:val="6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2836"/>
          <w:gridSpan w:val="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numFmt w:val="bullet"/>
      <w:lvlText w:val="-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1">
    <w:abstractNumId w:val="1"/>
  </w:num>
  <w:abstractNum w:abstractNumId="2">
    <w:lvl w:ilvl="0">
      <w:start w:val="1"/>
      <w:numFmt w:val="decimal"/>
      <w:lvlText w:val="%1)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170" w:right="17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170" w:right="17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709" w:left="170" w:right="17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709" w:left="170" w:right="17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ВИДОВ И ПОСЛЕДСТВИЙ ОТКАЗОВ</dc:title>
  <dc:subject>Рабочие колёса РК-200-Э и РК-200-Д диаметром 200 мм</dc:subject>
  <dc:creator>Команда МИТК-РК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