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052" w:rsidRDefault="00151D51">
      <w:pPr>
        <w:spacing w:before="160"/>
        <w:jc w:val="center"/>
      </w:pPr>
      <w:r>
        <w:rPr>
          <w:b/>
        </w:rPr>
        <w:t>КОМАНДА МИТК-РК</w:t>
      </w:r>
    </w:p>
    <w:p w:rsidR="00643052" w:rsidRDefault="00151D51">
      <w:pPr>
        <w:spacing w:before="680"/>
        <w:jc w:val="center"/>
      </w:pPr>
      <w:r>
        <w:rPr>
          <w:b/>
          <w:sz w:val="26"/>
        </w:rPr>
        <w:t>ГИБРИДНОЕ РАБОЧЕЕ КОЛЕСО.</w:t>
      </w:r>
      <w:r>
        <w:rPr>
          <w:b/>
          <w:sz w:val="26"/>
        </w:rPr>
        <w:br/>
        <w:t>КОМПОЗИТНО-МЕТАЛЛИЧЕСКАЯ АРХИТЕКТУРА</w:t>
      </w:r>
      <w:r>
        <w:rPr>
          <w:b/>
          <w:sz w:val="26"/>
        </w:rPr>
        <w:br/>
        <w:t>ДЛЯ ВЫСОКОНАПОРНЫХ ЦЕНТРОБЕЖНЫХ КОМПРЕССОРО</w:t>
      </w:r>
      <w:bookmarkStart w:id="0" w:name="_GoBack"/>
      <w:bookmarkEnd w:id="0"/>
      <w:r>
        <w:rPr>
          <w:b/>
          <w:sz w:val="26"/>
        </w:rPr>
        <w:t>В</w:t>
      </w:r>
    </w:p>
    <w:p w:rsidR="00643052" w:rsidRDefault="00151D51">
      <w:pPr>
        <w:spacing w:before="360"/>
        <w:jc w:val="center"/>
      </w:pPr>
      <w:r>
        <w:rPr>
          <w:b/>
          <w:sz w:val="28"/>
        </w:rPr>
        <w:t>РАБОЧЕЕ КОЛЕСО РК-200-Э ДИАМЕТРОМ 200 ММ</w:t>
      </w:r>
    </w:p>
    <w:p w:rsidR="00643052" w:rsidRDefault="00151D51">
      <w:pPr>
        <w:spacing w:before="320"/>
        <w:jc w:val="center"/>
      </w:pPr>
      <w:r>
        <w:rPr>
          <w:b/>
          <w:sz w:val="32"/>
        </w:rPr>
        <w:t>РАСЧЁТ НА ПРОЧНОСТЬ</w:t>
      </w:r>
      <w:r>
        <w:rPr>
          <w:b/>
          <w:sz w:val="32"/>
        </w:rPr>
        <w:br/>
        <w:t>И ОЦЕНКА ОБЛАСТЕЙ ПРИМЕНЕНИЯ</w:t>
      </w:r>
    </w:p>
    <w:p w:rsidR="00643052" w:rsidRDefault="00151D51">
      <w:pPr>
        <w:spacing w:before="360"/>
        <w:jc w:val="center"/>
      </w:pPr>
      <w:r>
        <w:t>EMTH.19.01.02.59.00.000.0018 РР</w:t>
      </w:r>
    </w:p>
    <w:p w:rsidR="00643052" w:rsidRDefault="00151D51">
      <w:pPr>
        <w:spacing w:before="1280"/>
        <w:jc w:val="center"/>
      </w:pPr>
      <w:r>
        <w:t>Санкт-Петербург</w:t>
      </w:r>
    </w:p>
    <w:p w:rsidR="00643052" w:rsidRDefault="00151D51">
      <w:pPr>
        <w:jc w:val="center"/>
      </w:pPr>
      <w:r>
        <w:t>2026</w:t>
      </w:r>
    </w:p>
    <w:p w:rsidR="00643052" w:rsidRDefault="00643052">
      <w:pPr>
        <w:sectPr w:rsidR="006430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:rsidR="00643052" w:rsidRDefault="00151D51">
      <w:pPr>
        <w:keepNext/>
        <w:spacing w:before="160" w:after="80"/>
      </w:pPr>
      <w:r>
        <w:rPr>
          <w:b/>
          <w:sz w:val="28"/>
        </w:rPr>
        <w:lastRenderedPageBreak/>
        <w:t>1 НАЗНАЧЕНИЕ И СТАТУС ДОКУМЕНТА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Настоящий расчёт устанавливает предварительную оценку прочностных характеристик полуоткрытого рабочего колеса </w:t>
      </w:r>
      <w:r>
        <w:rPr>
          <w:sz w:val="22"/>
        </w:rPr>
        <w:t>РК-200-Э диаметром 200 мм, определяет подтверждённую область стендового применения и формирует требования к дальнейшей доводке изделия. Документ подготовлен в рамках НИОКР и конкурсного проекта команды МИТК-РК.</w:t>
      </w:r>
    </w:p>
    <w:p w:rsidR="00643052" w:rsidRDefault="00151D51">
      <w:pPr>
        <w:spacing w:after="60" w:line="240" w:lineRule="auto"/>
      </w:pPr>
      <w:r>
        <w:rPr>
          <w:sz w:val="22"/>
        </w:rPr>
        <w:t>Расчёт является самостоятельным документом. З</w:t>
      </w:r>
      <w:r>
        <w:rPr>
          <w:sz w:val="22"/>
        </w:rPr>
        <w:t>начения, полученные численным методом, интерпретируются с учётом ограничений конечно-элементной постановки. Документ не является паспортом серийного изделия, разрешением на эксплуатацию либо подтверждением ресурса.</w:t>
      </w:r>
    </w:p>
    <w:p w:rsidR="00643052" w:rsidRDefault="00151D51">
      <w:pPr>
        <w:spacing w:after="60" w:line="240" w:lineRule="auto"/>
      </w:pPr>
      <w:r>
        <w:rPr>
          <w:sz w:val="22"/>
        </w:rPr>
        <w:t>Подтверждённый расчётный режим текущего э</w:t>
      </w:r>
      <w:r>
        <w:rPr>
          <w:sz w:val="22"/>
        </w:rPr>
        <w:t>тапа — 3 000 мин⁻¹. Частота 12 000 мин⁻¹ является проектной точкой НИОКР и не назначается разрешённой эксплуатационной частотой до завершения уточнённого расчёта, балансировки и разгонных испытаний в защитном корпусе.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2 ОБЪЕКТ РАСЧЁТА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3288"/>
        <w:gridCol w:w="4309"/>
        <w:gridCol w:w="2041"/>
      </w:tblGrid>
      <w:tr w:rsidR="00643052" w:rsidTr="003225B1">
        <w:trPr>
          <w:tblHeader/>
        </w:trPr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430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Принятое зна</w:t>
            </w:r>
            <w:r>
              <w:rPr>
                <w:b/>
                <w:sz w:val="18"/>
              </w:rPr>
              <w:t>чение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Аэродинамическая геометрия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РК-200-Э; вариант максимального КПД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объект расчёта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Наружный диаметр готового колеса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Ø200 мм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зафиксировано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Толщина заднего диска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3 мм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зафиксировано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Материал М1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PA12-CF10, FFF, 100 % заполнение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базовое исполнение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Материал М2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 и 1 наружный слой углеродной ткани 0,2 мм</w:t>
            </w:r>
          </w:p>
        </w:tc>
        <w:tc>
          <w:tcPr>
            <w:tcW w:w="2041" w:type="dxa"/>
            <w:vAlign w:val="center"/>
          </w:tcPr>
          <w:p w:rsidR="00643052" w:rsidRDefault="003225B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Оценочное  </w:t>
            </w:r>
            <w:r w:rsidR="00151D51">
              <w:rPr>
                <w:sz w:val="18"/>
              </w:rPr>
              <w:t>исполнение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Втулка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сталь 40Х; Ø30/Ø22 мм; H49,5 мм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зафиксировано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Соединение втулки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запрессовка, наружная накатка, эпоксидная фиксация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конструкция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Шпоночный паз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6×6 мм, сквозной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зафиксировано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Стендовая частота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3 000 мин⁻¹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текущий режим</w:t>
            </w:r>
          </w:p>
        </w:tc>
      </w:tr>
      <w:tr w:rsidR="00643052" w:rsidTr="003225B1">
        <w:trPr>
          <w:cantSplit/>
        </w:trPr>
        <w:tc>
          <w:tcPr>
            <w:tcW w:w="328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Проектная частота</w:t>
            </w:r>
          </w:p>
        </w:tc>
        <w:tc>
          <w:tcPr>
            <w:tcW w:w="4309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12 000 мин⁻¹</w:t>
            </w:r>
          </w:p>
        </w:tc>
        <w:tc>
          <w:tcPr>
            <w:tcW w:w="2041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требует подтверждения</w:t>
            </w:r>
          </w:p>
        </w:tc>
      </w:tr>
    </w:tbl>
    <w:p w:rsidR="003225B1" w:rsidRDefault="003225B1">
      <w:pPr>
        <w:spacing w:after="60" w:line="240" w:lineRule="auto"/>
        <w:rPr>
          <w:sz w:val="22"/>
        </w:rPr>
      </w:pPr>
    </w:p>
    <w:p w:rsidR="00643052" w:rsidRDefault="00151D51">
      <w:pPr>
        <w:spacing w:after="60" w:line="240" w:lineRule="auto"/>
      </w:pPr>
      <w:r>
        <w:rPr>
          <w:sz w:val="22"/>
        </w:rPr>
        <w:t>Расчётные результаты относятся к геометрии РК-200-Э. Перенос результатов на РК-200-Д без отдельного расчёта не допускается, поскольку распреде</w:t>
      </w:r>
      <w:r>
        <w:rPr>
          <w:sz w:val="22"/>
        </w:rPr>
        <w:t>ление массы, форма лопаток и концентрации напряжений у корней различаются.</w:t>
      </w:r>
    </w:p>
    <w:p w:rsidR="00643052" w:rsidRDefault="00151D51">
      <w:pPr>
        <w:keepNext/>
        <w:pageBreakBefore/>
        <w:spacing w:before="160" w:after="80"/>
      </w:pPr>
      <w:r>
        <w:rPr>
          <w:b/>
          <w:sz w:val="28"/>
        </w:rPr>
        <w:lastRenderedPageBreak/>
        <w:t>3 МАТЕРИАЛЫ И РАСЧЁТНЫЕ ХАРАКТЕРИСТИКИ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2154"/>
        <w:gridCol w:w="3402"/>
        <w:gridCol w:w="1928"/>
        <w:gridCol w:w="2154"/>
      </w:tblGrid>
      <w:tr w:rsidR="00643052">
        <w:trPr>
          <w:tblHeader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Материал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w="19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Применение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модуль упругости XY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≈3,3 </w:t>
            </w:r>
            <w:r>
              <w:rPr>
                <w:sz w:val="18"/>
              </w:rPr>
              <w:t>ГПа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оценка жёсткости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 xml:space="preserve">прочность при растяжении XY, </w:t>
            </w:r>
            <w:r>
              <w:rPr>
                <w:sz w:val="18"/>
              </w:rPr>
              <w:t>сухое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≈77,4 </w:t>
            </w:r>
            <w:r>
              <w:rPr>
                <w:sz w:val="18"/>
              </w:rPr>
              <w:t>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типовое значение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прочность при растяжении Z, сухое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≈52,2 </w:t>
            </w:r>
            <w:r>
              <w:rPr>
                <w:sz w:val="18"/>
              </w:rPr>
              <w:t>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типовое значение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PA12-CF10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консервативная характеристика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45 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скрининговая оценка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Сталь 40Х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предел текучести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785 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предварительно</w:t>
            </w:r>
          </w:p>
        </w:tc>
      </w:tr>
      <w:tr w:rsidR="00643052" w:rsidTr="003225B1">
        <w:trPr>
          <w:cantSplit/>
        </w:trPr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Углепластик ручной укладки</w:t>
            </w:r>
          </w:p>
        </w:tc>
        <w:tc>
          <w:tcPr>
            <w:tcW w:w="340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условная расчётная прочность слоя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150 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только оценка М2</w:t>
            </w:r>
          </w:p>
        </w:tc>
      </w:tr>
    </w:tbl>
    <w:p w:rsidR="003225B1" w:rsidRDefault="003225B1">
      <w:pPr>
        <w:spacing w:after="60" w:line="240" w:lineRule="auto"/>
        <w:rPr>
          <w:sz w:val="22"/>
        </w:rPr>
      </w:pPr>
    </w:p>
    <w:p w:rsidR="00643052" w:rsidRDefault="00151D51">
      <w:pPr>
        <w:spacing w:after="60" w:line="240" w:lineRule="auto"/>
      </w:pPr>
      <w:r>
        <w:rPr>
          <w:sz w:val="22"/>
        </w:rPr>
        <w:t>Напечатанный PA12-CF10 является анизотропным материалом. Фактическая прочность зависит от направления слоёв, сплавления дорожек, влажности, термообработки, дефектов и повторяемости печати. Поэтому</w:t>
      </w:r>
      <w:r>
        <w:rPr>
          <w:sz w:val="22"/>
        </w:rPr>
        <w:t xml:space="preserve"> типовые характеристики материала не принимаются гарантированными допускаемыми значениями без испытания образцов, изготовленных вместе с колесом.</w:t>
      </w:r>
    </w:p>
    <w:p w:rsidR="00643052" w:rsidRDefault="00151D51">
      <w:pPr>
        <w:spacing w:after="60" w:line="240" w:lineRule="auto"/>
      </w:pPr>
      <w:r>
        <w:rPr>
          <w:sz w:val="22"/>
        </w:rPr>
        <w:t>Для углеродного слоя принято намеренно пониженное условное значение 150 МПа. Оно учитывает ручную пропитку, кр</w:t>
      </w:r>
      <w:r>
        <w:rPr>
          <w:sz w:val="22"/>
        </w:rPr>
        <w:t>иволинейную укладку, изменение направления нитей, нахлёсты и возможную неполную передачу нагрузки через эпоксидный интерфейс.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4 РАСЧЁТНЫЕ ЗАВИСИМОСТИ</w:t>
      </w:r>
    </w:p>
    <w:p w:rsidR="00643052" w:rsidRDefault="00151D51">
      <w:pPr>
        <w:spacing w:after="60" w:line="240" w:lineRule="auto"/>
      </w:pPr>
      <w:r>
        <w:rPr>
          <w:sz w:val="22"/>
        </w:rPr>
        <w:t>Угловая и окружная скорости определяются по формулам:</w:t>
      </w:r>
    </w:p>
    <w:tbl>
      <w:tblPr>
        <w:tblW w:w="9637" w:type="dxa"/>
        <w:tblInd w:w="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220"/>
        <w:gridCol w:w="1134"/>
      </w:tblGrid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</w:rPr>
                      <m:t>πn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(1)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eastAsia="Cambria Math" w:hAnsi="Cambria Math" w:cs="Cambria Math"/>
                  </w:rPr>
                  <m:t>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(2)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(3)</w:t>
            </w:r>
          </w:p>
        </w:tc>
      </w:tr>
    </w:tbl>
    <w:p w:rsidR="00643052" w:rsidRDefault="00151D51">
      <w:pPr>
        <w:spacing w:after="60" w:line="240" w:lineRule="auto"/>
      </w:pPr>
      <w:r>
        <w:rPr>
          <w:sz w:val="22"/>
        </w:rPr>
        <w:t>При D₂=0,200 м окружная скорость на радиусе 0,100 м составляет около 31,4 м/с при 3 000 мин⁻¹ и 125,7 м/с при 12 000 мин⁻¹.</w:t>
      </w:r>
    </w:p>
    <w:p w:rsidR="00643052" w:rsidRDefault="00151D51">
      <w:pPr>
        <w:spacing w:after="60" w:line="240" w:lineRule="auto"/>
      </w:pPr>
      <w:r>
        <w:rPr>
          <w:sz w:val="22"/>
        </w:rPr>
        <w:t>В пределах упругой постановки центробежная нагрузка, напряжения и деформации в первом приближении масштабируются пропорцион</w:t>
      </w:r>
      <w:r>
        <w:rPr>
          <w:sz w:val="22"/>
        </w:rPr>
        <w:t>ально квадрату частоты вращения:</w:t>
      </w:r>
    </w:p>
    <w:tbl>
      <w:tblPr>
        <w:tblW w:w="9637" w:type="dxa"/>
        <w:tblInd w:w="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220"/>
        <w:gridCol w:w="1134"/>
      </w:tblGrid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(4)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(5)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(6)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(7)</w:t>
            </w:r>
          </w:p>
        </w:tc>
      </w:tr>
    </w:tbl>
    <w:p w:rsidR="00643052" w:rsidRDefault="00151D51">
      <w:pPr>
        <w:keepNext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5220000" cy="27226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ad_fa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52" w:rsidRDefault="00151D51">
      <w:pPr>
        <w:spacing w:after="100"/>
        <w:jc w:val="center"/>
      </w:pPr>
      <w:r>
        <w:rPr>
          <w:sz w:val="20"/>
        </w:rPr>
        <w:t>Рисунок 1 — Рост центробежной нагрузки относительно режима 3 000 мин⁻¹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5 ПОСТАНОВКА ЧИСЛЕННОЙ ОЦЕНКИ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3969"/>
      </w:tblGrid>
      <w:tr w:rsidR="00643052">
        <w:trPr>
          <w:tblHeader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Элемент постановки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Принято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Ограничение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Тип</w:t>
            </w:r>
            <w:r>
              <w:rPr>
                <w:sz w:val="18"/>
              </w:rPr>
              <w:t xml:space="preserve"> анализа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статический, геометрическая нелинейность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не учитывает ресурс и динамику разгона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Геометрия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полимерное колесо и металлическая втулка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наружный слой М2 не моделировался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Контакт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трение, μ=0,2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клей, накатка и когезионное разрушение не воспроизведены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Сетка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около 70 тыс. элементов и 127 тыс. узлов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нет исследования сходимости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Нагрузка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вращение; температура 22 °C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аэродинамическое давление отключено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Материал PA12-CF10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изотропная упругая модель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не учитывает ориентацию FFF</w:t>
            </w:r>
          </w:p>
        </w:tc>
      </w:tr>
      <w:tr w:rsidR="00643052">
        <w:trPr>
          <w:cantSplit/>
        </w:trPr>
        <w:tc>
          <w:tcPr>
            <w:tcW w:w="238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Закрепление</w:t>
            </w:r>
          </w:p>
        </w:tc>
        <w:tc>
          <w:tcPr>
            <w:tcW w:w="328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внутренняя поверхнос</w:t>
            </w:r>
            <w:r>
              <w:rPr>
                <w:sz w:val="18"/>
              </w:rPr>
              <w:t>ть втулки</w:t>
            </w:r>
          </w:p>
        </w:tc>
        <w:tc>
          <w:tcPr>
            <w:tcW w:w="3969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требует проверки отсутствия переограничения</w:t>
            </w:r>
          </w:p>
        </w:tc>
      </w:tr>
    </w:tbl>
    <w:p w:rsidR="003225B1" w:rsidRDefault="003225B1">
      <w:pPr>
        <w:spacing w:after="60" w:line="240" w:lineRule="auto"/>
        <w:rPr>
          <w:sz w:val="22"/>
        </w:rPr>
      </w:pPr>
    </w:p>
    <w:p w:rsidR="00643052" w:rsidRDefault="00151D51">
      <w:pPr>
        <w:spacing w:after="60" w:line="240" w:lineRule="auto"/>
      </w:pPr>
      <w:r>
        <w:rPr>
          <w:sz w:val="22"/>
        </w:rPr>
        <w:t>Численная постановка пригодна для предварительного сравнения уровня напряжений на стендовой частоте. Она недостаточна для назначения предельной скорости, поскольку не содержит ортотропию печати, натяг,</w:t>
      </w:r>
      <w:r>
        <w:rPr>
          <w:sz w:val="22"/>
        </w:rPr>
        <w:t xml:space="preserve"> клеевой слой, усталость, ползучесть, дисбаланс, модальные формы и подтверждение независимости результата от сетки.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6 РЕЗУЛЬТАТЫ ПРИ 3 000 МИН⁻¹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3628"/>
        <w:gridCol w:w="2268"/>
        <w:gridCol w:w="3742"/>
      </w:tblGrid>
      <w:tr w:rsidR="00643052">
        <w:trPr>
          <w:tblHeader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Интерпретация</w:t>
            </w:r>
          </w:p>
        </w:tc>
      </w:tr>
      <w:tr w:rsidR="00643052">
        <w:trPr>
          <w:cantSplit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Максимальная суммарная деформация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0,0283 мм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мала относительно габарита</w:t>
            </w:r>
          </w:p>
        </w:tc>
      </w:tr>
      <w:tr w:rsidR="00643052">
        <w:trPr>
          <w:cantSplit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Максимальное напряжение в PA12-CF10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4,99 МПа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ниже 45 МПа</w:t>
            </w:r>
          </w:p>
        </w:tc>
      </w:tr>
      <w:tr w:rsidR="00643052">
        <w:trPr>
          <w:cantSplit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Коэффициент по PA12-CF10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≈9,02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скрининговый, не ресурсный</w:t>
            </w:r>
          </w:p>
        </w:tc>
      </w:tr>
      <w:tr w:rsidR="00643052">
        <w:trPr>
          <w:cantSplit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Максимальное напряжение в зоне втулки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39,3 МПа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локальная критическая зона</w:t>
            </w:r>
          </w:p>
        </w:tc>
      </w:tr>
      <w:tr w:rsidR="00643052">
        <w:trPr>
          <w:cantSplit/>
        </w:trPr>
        <w:tc>
          <w:tcPr>
            <w:tcW w:w="36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lastRenderedPageBreak/>
              <w:t>Масса расчётной сборки</w:t>
            </w:r>
          </w:p>
        </w:tc>
        <w:tc>
          <w:tcPr>
            <w:tcW w:w="226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≈0,826 кг</w:t>
            </w:r>
          </w:p>
        </w:tc>
        <w:tc>
          <w:tcPr>
            <w:tcW w:w="374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колесо и втулка</w:t>
            </w:r>
          </w:p>
        </w:tc>
      </w:tr>
    </w:tbl>
    <w:p w:rsidR="00643052" w:rsidRDefault="00151D51">
      <w:pPr>
        <w:spacing w:after="60" w:line="240" w:lineRule="auto"/>
      </w:pPr>
      <w:r>
        <w:rPr>
          <w:sz w:val="22"/>
        </w:rPr>
        <w:t xml:space="preserve">Полученные </w:t>
      </w:r>
      <w:r>
        <w:rPr>
          <w:sz w:val="22"/>
        </w:rPr>
        <w:t>значения подтверждают возможность перехода к стендовым испытаниям на частоте до 3 000 мин⁻¹ при условии контроля качества печати, запрессовки втулки, балансировки, измерения биения и применения закрытого защитного корпуса.</w:t>
      </w:r>
    </w:p>
    <w:p w:rsidR="00643052" w:rsidRDefault="00151D51">
      <w:pPr>
        <w:spacing w:after="60" w:line="240" w:lineRule="auto"/>
      </w:pPr>
      <w:r>
        <w:rPr>
          <w:sz w:val="22"/>
        </w:rPr>
        <w:t>Коэффициент 9,02 характеризует то</w:t>
      </w:r>
      <w:r>
        <w:rPr>
          <w:sz w:val="22"/>
        </w:rPr>
        <w:t>лько отношение принятой прочности 45 МПа к расчётному эквивалентному напряжению. Он не учитывает усталостное снижение, дефекты слоёв и повторяемость производства и поэтому не является коэффициентом эксплуатационного ресурса.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7 ОЦЕНКА ПРОЕКТНОЙ ЧАСТОТЫ 12 0</w:t>
      </w:r>
      <w:r>
        <w:rPr>
          <w:b/>
          <w:sz w:val="28"/>
        </w:rPr>
        <w:t>00 МИН⁻¹</w:t>
      </w:r>
    </w:p>
    <w:p w:rsidR="00643052" w:rsidRDefault="00151D51">
      <w:pPr>
        <w:spacing w:after="60" w:line="240" w:lineRule="auto"/>
      </w:pPr>
      <w:r>
        <w:rPr>
          <w:sz w:val="22"/>
        </w:rPr>
        <w:t>Переход от 3 000 к 12 000 мин⁻¹ увеличивает частоту в четыре раза и центробежную нагрузку приблизительно в шестнадцать раз. Масштабирование результата стендового режима даёт: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2608"/>
        <w:gridCol w:w="2154"/>
      </w:tblGrid>
      <w:tr w:rsidR="00643052">
        <w:trPr>
          <w:tblHeader/>
        </w:trPr>
        <w:tc>
          <w:tcPr>
            <w:tcW w:w="294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92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3 000 мин⁻¹</w:t>
            </w:r>
          </w:p>
        </w:tc>
        <w:tc>
          <w:tcPr>
            <w:tcW w:w="2608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12 000 мин⁻¹, оценка</w:t>
            </w:r>
          </w:p>
        </w:tc>
        <w:tc>
          <w:tcPr>
            <w:tcW w:w="2154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Вывод</w:t>
            </w:r>
          </w:p>
        </w:tc>
      </w:tr>
      <w:tr w:rsidR="00643052" w:rsidTr="003225B1">
        <w:trPr>
          <w:cantSplit/>
        </w:trPr>
        <w:tc>
          <w:tcPr>
            <w:tcW w:w="294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Напряжение PA12-CF10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4,99 МПа</w:t>
            </w:r>
          </w:p>
        </w:tc>
        <w:tc>
          <w:tcPr>
            <w:tcW w:w="260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≈79,8 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достигает или превышает типовую прочность</w:t>
            </w:r>
          </w:p>
        </w:tc>
      </w:tr>
      <w:tr w:rsidR="00643052" w:rsidTr="003225B1">
        <w:trPr>
          <w:cantSplit/>
        </w:trPr>
        <w:tc>
          <w:tcPr>
            <w:tcW w:w="294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Суммарная деформация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0,0283 мм</w:t>
            </w:r>
          </w:p>
        </w:tc>
        <w:tc>
          <w:tcPr>
            <w:tcW w:w="260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≈0,453 мм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может влиять на рабочие зазоры</w:t>
            </w:r>
          </w:p>
        </w:tc>
      </w:tr>
      <w:tr w:rsidR="00643052" w:rsidTr="003225B1">
        <w:trPr>
          <w:cantSplit/>
        </w:trPr>
        <w:tc>
          <w:tcPr>
            <w:tcW w:w="294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Напряжение зоны втулки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39,3 МПа</w:t>
            </w:r>
          </w:p>
        </w:tc>
        <w:tc>
          <w:tcPr>
            <w:tcW w:w="260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≈629 МПа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требуется модель стали 40Х и натяга</w:t>
            </w:r>
          </w:p>
        </w:tc>
      </w:tr>
      <w:tr w:rsidR="00643052" w:rsidTr="003225B1">
        <w:trPr>
          <w:cantSplit/>
        </w:trPr>
        <w:tc>
          <w:tcPr>
            <w:tcW w:w="294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Коэффициент нагрузки</w:t>
            </w:r>
          </w:p>
        </w:tc>
        <w:tc>
          <w:tcPr>
            <w:tcW w:w="192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154" w:type="dxa"/>
            <w:vAlign w:val="center"/>
          </w:tcPr>
          <w:p w:rsidR="00643052" w:rsidRDefault="00151D51" w:rsidP="003225B1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режим нельзя </w:t>
            </w:r>
            <w:r>
              <w:rPr>
                <w:sz w:val="18"/>
              </w:rPr>
              <w:t>подтверждать линейной экстраполяцией</w:t>
            </w:r>
          </w:p>
        </w:tc>
      </w:tr>
    </w:tbl>
    <w:p w:rsidR="00643052" w:rsidRDefault="00151D51">
      <w:pPr>
        <w:keepNext/>
        <w:jc w:val="center"/>
      </w:pPr>
      <w:r>
        <w:rPr>
          <w:noProof/>
          <w:lang w:bidi="ar-SA"/>
        </w:rPr>
        <w:drawing>
          <wp:inline distT="0" distB="0" distL="0" distR="0">
            <wp:extent cx="5220000" cy="3019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ress_scree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52" w:rsidRDefault="00151D51">
      <w:pPr>
        <w:spacing w:after="100"/>
        <w:jc w:val="center"/>
      </w:pPr>
      <w:r>
        <w:rPr>
          <w:sz w:val="20"/>
        </w:rPr>
        <w:t>Рисунок 2 — Предварительное масштабирование напряжения PA12-CF10</w:t>
      </w:r>
    </w:p>
    <w:p w:rsidR="00643052" w:rsidRDefault="00151D51">
      <w:pPr>
        <w:keepNext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5220000" cy="27250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formation_scree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52" w:rsidRDefault="00151D51">
      <w:pPr>
        <w:spacing w:after="100"/>
        <w:jc w:val="center"/>
      </w:pPr>
      <w:r>
        <w:rPr>
          <w:sz w:val="20"/>
        </w:rPr>
        <w:t>Рисунок 3 — Предварительное масштабирование суммарной деформации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Оценка показывает, что базовое исполнение М1 не имеет подтверждённого запаса для 12 </w:t>
      </w:r>
      <w:r>
        <w:rPr>
          <w:sz w:val="22"/>
        </w:rPr>
        <w:t>000 мин⁻¹. Полученные 79,8 МПа сопоставимы с типовой прочностью материала в плоскости печати и превышают более консервативные характеристики. Указанный режим не разрешается до уточнения модели и проведения испытаний.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8 ОЦЕНКА РАСЧЁТА ПРИ 11 000 МИН⁻¹</w:t>
      </w:r>
    </w:p>
    <w:p w:rsidR="00643052" w:rsidRDefault="00151D51">
      <w:pPr>
        <w:spacing w:after="60" w:line="240" w:lineRule="auto"/>
      </w:pPr>
      <w:r>
        <w:rPr>
          <w:sz w:val="22"/>
        </w:rPr>
        <w:t>В про</w:t>
      </w:r>
      <w:r>
        <w:rPr>
          <w:sz w:val="22"/>
        </w:rPr>
        <w:t>цессе расчётного разгона выявлен резкий переход от малых деформаций к значениям, несовместимым с геометрическими размерами изделия. Одновременно эквивалентные напряжения не демонстрируют физически согласованного роста до уровня разрушения материала.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Такое </w:t>
      </w:r>
      <w:r>
        <w:rPr>
          <w:sz w:val="22"/>
        </w:rPr>
        <w:t>сочетание признаков рассматривается как потеря корректности численного решения: возможное раскрытие контакта, недостаточное закрепление, движение тела как целого либо искажение сетки. Потеря сходимости сама по себе не подтверждает физический разрыв.</w:t>
      </w:r>
    </w:p>
    <w:p w:rsidR="00643052" w:rsidRDefault="00151D51">
      <w:pPr>
        <w:spacing w:after="60" w:line="240" w:lineRule="auto"/>
      </w:pPr>
      <w:r>
        <w:rPr>
          <w:sz w:val="22"/>
        </w:rPr>
        <w:t>Поэтом</w:t>
      </w:r>
      <w:r>
        <w:rPr>
          <w:sz w:val="22"/>
        </w:rPr>
        <w:t>у значения 9 700, 10 200 и 11 000 мин⁻¹ не назначаются в настоящем документе соответственно допустимой, предельной либо гарантированно разрушающей частотой.</w:t>
      </w:r>
    </w:p>
    <w:p w:rsidR="00643052" w:rsidRDefault="00151D51">
      <w:pPr>
        <w:keepNext/>
        <w:pageBreakBefore/>
        <w:spacing w:before="160" w:after="80"/>
      </w:pPr>
      <w:r>
        <w:rPr>
          <w:b/>
          <w:sz w:val="28"/>
        </w:rPr>
        <w:lastRenderedPageBreak/>
        <w:t>9 ПРЕДВАРИТЕЛЬНАЯ ОЦЕНКА ИСПОЛНЕНИЯ М2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Исполнение М2 отличается одним наружным слоем углеродной </w:t>
      </w:r>
      <w:r>
        <w:rPr>
          <w:sz w:val="22"/>
        </w:rPr>
        <w:t>ткани номинальной сухой толщиной 0,2 мм на эпоксидной системе. Слой рассматривается как локальный армирующий и удерживающий элемент заднего диска.</w:t>
      </w:r>
    </w:p>
    <w:tbl>
      <w:tblPr>
        <w:tblW w:w="9637" w:type="dxa"/>
        <w:tblInd w:w="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220"/>
        <w:gridCol w:w="1134"/>
      </w:tblGrid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arm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eastAsia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(8)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arm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eastAsia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150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</w:rPr>
                      <m:t>0.2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45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eastAsia="Cambria Math" w:hAnsi="Cambria Math" w:cs="Cambria Math"/>
                  </w:rPr>
                  <m:t>1.222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≈</m:t>
                </m:r>
                <m:r>
                  <w:rPr>
                    <w:rFonts w:ascii="Cambria Math" w:eastAsia="Cambria Math" w:hAnsi="Cambria Math" w:cs="Cambria Math"/>
                  </w:rPr>
                  <m:t>1.20</m:t>
                </m:r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(9)</w:t>
            </w:r>
          </w:p>
        </w:tc>
      </w:tr>
      <w:tr w:rsidR="00643052">
        <w:tc>
          <w:tcPr>
            <w:tcW w:w="283" w:type="dxa"/>
          </w:tcPr>
          <w:p w:rsidR="00643052" w:rsidRDefault="00643052"/>
        </w:tc>
        <w:tc>
          <w:tcPr>
            <w:tcW w:w="8220" w:type="dxa"/>
          </w:tcPr>
          <w:p w:rsidR="00643052" w:rsidRDefault="00151D51">
            <w:pPr>
              <w:ind w:left="0" w:right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M2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M1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arm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1.20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1.095</m:t>
                </m:r>
              </m:oMath>
            </m:oMathPara>
          </w:p>
        </w:tc>
        <w:tc>
          <w:tcPr>
            <w:tcW w:w="1134" w:type="dxa"/>
          </w:tcPr>
          <w:p w:rsidR="00643052" w:rsidRDefault="00151D51">
            <w:pPr>
              <w:ind w:left="0" w:right="0" w:firstLine="0"/>
              <w:jc w:val="right"/>
            </w:pPr>
            <w:r>
              <w:rPr>
                <w:sz w:val="22"/>
              </w:rPr>
              <w:t>(10)</w:t>
            </w:r>
          </w:p>
        </w:tc>
      </w:tr>
    </w:tbl>
    <w:p w:rsidR="00643052" w:rsidRDefault="00151D51">
      <w:pPr>
        <w:spacing w:after="60" w:line="240" w:lineRule="auto"/>
      </w:pPr>
      <w:r>
        <w:rPr>
          <w:sz w:val="22"/>
        </w:rPr>
        <w:t xml:space="preserve">По </w:t>
      </w:r>
      <w:r>
        <w:rPr>
          <w:sz w:val="22"/>
        </w:rPr>
        <w:t>расчёту совмещённого сечения получено 22,2 %. С учётом неравномерности ручной укладки для сравнительной оценки принят округлённый коэффициент Karm=1,20, то есть ориентировочное повышение несущей способности армированного участка на 20 %.</w:t>
      </w:r>
    </w:p>
    <w:p w:rsidR="00643052" w:rsidRDefault="00151D51">
      <w:pPr>
        <w:spacing w:after="60" w:line="240" w:lineRule="auto"/>
      </w:pPr>
      <w:r>
        <w:rPr>
          <w:sz w:val="22"/>
        </w:rPr>
        <w:t>Коэффициент 1,20 я</w:t>
      </w:r>
      <w:r>
        <w:rPr>
          <w:sz w:val="22"/>
        </w:rPr>
        <w:t>вляется проектной расчётной гипотезой, а не результатом испытания. Он не означает увеличение допустимой частоты на 20 %: теоретический прирост частоты при неизменной схеме нагружения составляет около 9,5 %. Одного слоя недостаточно, чтобы подтвердить перех</w:t>
      </w:r>
      <w:r>
        <w:rPr>
          <w:sz w:val="22"/>
        </w:rPr>
        <w:t>од базового исполнения к 12 000 мин⁻¹.</w:t>
      </w:r>
    </w:p>
    <w:p w:rsidR="00643052" w:rsidRDefault="00151D51">
      <w:pPr>
        <w:spacing w:after="60" w:line="240" w:lineRule="auto"/>
      </w:pPr>
      <w:r>
        <w:rPr>
          <w:sz w:val="22"/>
        </w:rPr>
        <w:t>Практический эффект М2 ожидается в снижении локальных деформаций, перераспределении поверхностной нагрузки, торможении развития трещин и дополнительном удержании фрагментов. Эффект должен подтверждаться контрольными о</w:t>
      </w:r>
      <w:r>
        <w:rPr>
          <w:sz w:val="22"/>
        </w:rPr>
        <w:t>бразцами, проверкой адгезии и разгонным испытанием.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10 ОБЛАСТИ ПРИМЕНЕНИЯ</w:t>
      </w:r>
    </w:p>
    <w:tbl>
      <w:tblPr>
        <w:tblStyle w:val="aff0"/>
        <w:tblW w:w="9638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2721"/>
        <w:gridCol w:w="4082"/>
        <w:gridCol w:w="2835"/>
      </w:tblGrid>
      <w:tr w:rsidR="00643052">
        <w:trPr>
          <w:tblHeader/>
        </w:trPr>
        <w:tc>
          <w:tcPr>
            <w:tcW w:w="2721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Область</w:t>
            </w:r>
          </w:p>
        </w:tc>
        <w:tc>
          <w:tcPr>
            <w:tcW w:w="4082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Допустимое позиционирование</w:t>
            </w:r>
          </w:p>
        </w:tc>
        <w:tc>
          <w:tcPr>
            <w:tcW w:w="2835" w:type="dxa"/>
            <w:vAlign w:val="center"/>
          </w:tcPr>
          <w:p w:rsidR="00643052" w:rsidRDefault="00151D51">
            <w:pPr>
              <w:keepLines/>
              <w:spacing w:line="240" w:lineRule="auto"/>
              <w:jc w:val="center"/>
            </w:pPr>
            <w:r>
              <w:rPr>
                <w:b/>
                <w:sz w:val="18"/>
              </w:rPr>
              <w:t>Условия</w:t>
            </w:r>
          </w:p>
        </w:tc>
      </w:tr>
      <w:tr w:rsidR="00643052" w:rsidTr="00861230">
        <w:trPr>
          <w:cantSplit/>
        </w:trPr>
        <w:tc>
          <w:tcPr>
            <w:tcW w:w="2721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Конкурсный демонстратор</w:t>
            </w:r>
          </w:p>
        </w:tc>
        <w:tc>
          <w:tcPr>
            <w:tcW w:w="4082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подтверждение архитектуры и программной генерации</w:t>
            </w:r>
          </w:p>
        </w:tc>
        <w:tc>
          <w:tcPr>
            <w:tcW w:w="2835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до 3 000 мин⁻¹; защитный корпус</w:t>
            </w:r>
          </w:p>
        </w:tc>
      </w:tr>
      <w:tr w:rsidR="00643052" w:rsidTr="00861230">
        <w:trPr>
          <w:cantSplit/>
        </w:trPr>
        <w:tc>
          <w:tcPr>
            <w:tcW w:w="2721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Исследовательский стенд</w:t>
            </w:r>
          </w:p>
        </w:tc>
        <w:tc>
          <w:tcPr>
            <w:tcW w:w="4082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сравнение геометрии, вибрации и аэродинамики</w:t>
            </w:r>
          </w:p>
        </w:tc>
        <w:tc>
          <w:tcPr>
            <w:tcW w:w="2835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ступенчатый разгон и инструментальный контроль</w:t>
            </w:r>
          </w:p>
        </w:tc>
      </w:tr>
      <w:tr w:rsidR="00643052" w:rsidTr="00861230">
        <w:trPr>
          <w:cantSplit/>
        </w:trPr>
        <w:tc>
          <w:tcPr>
            <w:tcW w:w="2721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Учебная лаборатория</w:t>
            </w:r>
          </w:p>
        </w:tc>
        <w:tc>
          <w:tcPr>
            <w:tcW w:w="4082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демонстрация центробежной машины и аддитивного производства</w:t>
            </w:r>
          </w:p>
        </w:tc>
        <w:tc>
          <w:tcPr>
            <w:tcW w:w="2835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ограничение энергии и закрытый корпус</w:t>
            </w:r>
          </w:p>
        </w:tc>
      </w:tr>
      <w:tr w:rsidR="00643052" w:rsidTr="00861230">
        <w:trPr>
          <w:cantSplit/>
        </w:trPr>
        <w:tc>
          <w:tcPr>
            <w:tcW w:w="2721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Низкоэнергетическое оборудование</w:t>
            </w:r>
          </w:p>
        </w:tc>
        <w:tc>
          <w:tcPr>
            <w:tcW w:w="4082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опытное при</w:t>
            </w:r>
            <w:r>
              <w:rPr>
                <w:sz w:val="18"/>
              </w:rPr>
              <w:t>менение после отдельной проверки</w:t>
            </w:r>
          </w:p>
        </w:tc>
        <w:tc>
          <w:tcPr>
            <w:tcW w:w="2835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индивидуальный расчёт режима и ресурса</w:t>
            </w:r>
          </w:p>
        </w:tc>
      </w:tr>
      <w:tr w:rsidR="00643052" w:rsidTr="00861230">
        <w:trPr>
          <w:cantSplit/>
        </w:trPr>
        <w:tc>
          <w:tcPr>
            <w:tcW w:w="2721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Высоконапорный компрессор</w:t>
            </w:r>
          </w:p>
        </w:tc>
        <w:tc>
          <w:tcPr>
            <w:tcW w:w="4082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8"/>
              </w:rPr>
              <w:t>целевая область НИОКР</w:t>
            </w:r>
          </w:p>
        </w:tc>
        <w:tc>
          <w:tcPr>
            <w:tcW w:w="2835" w:type="dxa"/>
            <w:vAlign w:val="center"/>
          </w:tcPr>
          <w:p w:rsidR="00643052" w:rsidRDefault="00151D51" w:rsidP="00861230">
            <w:pPr>
              <w:keepLines/>
              <w:spacing w:line="240" w:lineRule="auto"/>
              <w:ind w:firstLine="0"/>
              <w:jc w:val="center"/>
            </w:pPr>
            <w:r>
              <w:rPr>
                <w:sz w:val="18"/>
              </w:rPr>
              <w:t>М1 при 12 000 мин⁻¹ не подтверждено</w:t>
            </w:r>
          </w:p>
        </w:tc>
      </w:tr>
    </w:tbl>
    <w:p w:rsidR="00861230" w:rsidRDefault="00861230">
      <w:pPr>
        <w:spacing w:after="60" w:line="240" w:lineRule="auto"/>
        <w:rPr>
          <w:sz w:val="22"/>
        </w:rPr>
      </w:pPr>
    </w:p>
    <w:p w:rsidR="00643052" w:rsidRDefault="00151D51">
      <w:pPr>
        <w:spacing w:after="60" w:line="240" w:lineRule="auto"/>
      </w:pPr>
      <w:r>
        <w:rPr>
          <w:sz w:val="22"/>
        </w:rPr>
        <w:t xml:space="preserve">Если изготовленное колесо не выдерживает целевую частоту, оно сохраняет ценность как </w:t>
      </w:r>
      <w:r>
        <w:rPr>
          <w:sz w:val="22"/>
        </w:rPr>
        <w:t>низкоскоростной стендовый и исследовательский образец. Рабочий диапазон при этом назначается по результатам контролируемого испытания, а не по факту единичного разрушения.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11 ПЕРСПЕКТИВНОЕ ИСПОЛНЕНИЕ ИЗ PEEK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PEEK и армированный CF-PEEK рассматриваются как </w:t>
      </w:r>
      <w:r>
        <w:rPr>
          <w:sz w:val="22"/>
        </w:rPr>
        <w:t>материалы следующего этапа НИОКР для повышенных температур, химически активных сред и временного восстановления отдельных деталей оборудования. Для вращающегося колеса предпочтительным направлением является армированный CF-PEEK вследствие повышенной жёстко</w:t>
      </w:r>
      <w:r>
        <w:rPr>
          <w:sz w:val="22"/>
        </w:rPr>
        <w:t>сти.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Напечатанное колесо из PEEK не объявляется прямой заменой серийной детали без проверки. Временное применение допускается только в неответственном узле с ограниченными последствиями </w:t>
      </w:r>
      <w:r>
        <w:rPr>
          <w:sz w:val="22"/>
        </w:rPr>
        <w:lastRenderedPageBreak/>
        <w:t>отказа после подтверждения размеров, температуры, среды, посадки, бала</w:t>
      </w:r>
      <w:r>
        <w:rPr>
          <w:sz w:val="22"/>
        </w:rPr>
        <w:t>нсировки, прочности, усталости и работы в защитном корпусе.</w:t>
      </w:r>
    </w:p>
    <w:p w:rsidR="00643052" w:rsidRDefault="00151D51">
      <w:pPr>
        <w:spacing w:after="60" w:line="240" w:lineRule="auto"/>
      </w:pPr>
      <w:r>
        <w:rPr>
          <w:sz w:val="22"/>
        </w:rPr>
        <w:t>Конкурсная формулировка проекта: программный комплекс формирует геометрию под заданный режим, после чего выбирается материальное исполнение — PA12-CF10 для быстрого стендового образца, наружное ар</w:t>
      </w:r>
      <w:r>
        <w:rPr>
          <w:sz w:val="22"/>
        </w:rPr>
        <w:t>мирование для опытной доводки либо высокотемпературный полимер для функциональной временной детали.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12 ПРОГРАММА ДАЛЬНЕЙШЕЙ ВЕРИФИКАЦИИ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создать ортотропную модель PA12-CF10 с локальными осями, соответствующими траекториям печати;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использовать единый на</w:t>
      </w:r>
      <w:r>
        <w:rPr>
          <w:sz w:val="22"/>
        </w:rPr>
        <w:t>бор характеристик сухого и кондиционированного материала;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ввести сталь 40Х, геометрию паза, натяг, накатку и эпоксидный интерфейс;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выполнить не менее трёх уровней сетки и подтвердить сходимость напряжений и перемещений;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провести расчёты на 3 000, 6 0</w:t>
      </w:r>
      <w:r>
        <w:rPr>
          <w:sz w:val="22"/>
        </w:rPr>
        <w:t>00, 9 000 и 12 000 мин⁻¹ без переноса некорректного решения;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выполнить модальный анализ с учётом втулки, вала и условий закрепления;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изготовить контрольные образцы XY и Z совместно с колесом и проверить их прочность;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 xml:space="preserve">— выполнить статическую и </w:t>
      </w:r>
      <w:r>
        <w:rPr>
          <w:sz w:val="22"/>
        </w:rPr>
        <w:t>динамическую балансировку сборки;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проводить разгон ступенями в защитном корпусе с контролем вибрации, температуры и биения;</w:t>
      </w:r>
    </w:p>
    <w:p w:rsidR="00643052" w:rsidRDefault="00151D51">
      <w:pPr>
        <w:spacing w:after="40"/>
        <w:ind w:left="454" w:hanging="283"/>
      </w:pPr>
      <w:r>
        <w:rPr>
          <w:sz w:val="22"/>
        </w:rPr>
        <w:t>— после каждого разгона выполнять осмотр корней лопаток, диска и зоны втулки.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13 ИТОГОВЫЕ ВЫВОДЫ</w:t>
      </w:r>
    </w:p>
    <w:p w:rsidR="00643052" w:rsidRDefault="00151D51">
      <w:pPr>
        <w:spacing w:after="60" w:line="240" w:lineRule="auto"/>
      </w:pPr>
      <w:r>
        <w:rPr>
          <w:sz w:val="22"/>
        </w:rPr>
        <w:t>1. Исполнение РК-200-Э-М1 предвар</w:t>
      </w:r>
      <w:r>
        <w:rPr>
          <w:sz w:val="22"/>
        </w:rPr>
        <w:t>ительно подтверждено для перехода к стендовым испытаниям на частоте до 3 000 мин⁻¹ при выполнении требований безопасности и контроля изготовления.</w:t>
      </w:r>
    </w:p>
    <w:p w:rsidR="00643052" w:rsidRDefault="00151D51">
      <w:pPr>
        <w:spacing w:after="60" w:line="240" w:lineRule="auto"/>
      </w:pPr>
      <w:r>
        <w:rPr>
          <w:sz w:val="22"/>
        </w:rPr>
        <w:t>2. Расчётное напряжение PA12-CF10 при 3 000 мин⁻¹ составляет около 4,99 МПа, суммарная деформация — около 0,0</w:t>
      </w:r>
      <w:r>
        <w:rPr>
          <w:sz w:val="22"/>
        </w:rPr>
        <w:t>28 мм. Наиболее ответственная зона расположена у втулки.</w:t>
      </w:r>
    </w:p>
    <w:p w:rsidR="00643052" w:rsidRDefault="00151D51">
      <w:pPr>
        <w:spacing w:after="60" w:line="240" w:lineRule="auto"/>
      </w:pPr>
      <w:r>
        <w:rPr>
          <w:sz w:val="22"/>
        </w:rPr>
        <w:t>3. Простое масштабирование к 12 000 мин⁻¹ даёт около 79,8 МПа в полимерном теле и не подтверждает требуемый запас базового исполнения М1.</w:t>
      </w:r>
    </w:p>
    <w:p w:rsidR="00643052" w:rsidRDefault="00151D51">
      <w:pPr>
        <w:spacing w:after="60" w:line="240" w:lineRule="auto"/>
      </w:pPr>
      <w:r>
        <w:rPr>
          <w:sz w:val="22"/>
        </w:rPr>
        <w:t>4. Расчёт с нефизически большой деформацией не используется д</w:t>
      </w:r>
      <w:r>
        <w:rPr>
          <w:sz w:val="22"/>
        </w:rPr>
        <w:t>ля назначения предельной скорости. Точное значение разрушающей частоты в настоящем документе не устанавливается.</w:t>
      </w:r>
    </w:p>
    <w:p w:rsidR="00643052" w:rsidRDefault="00151D51">
      <w:pPr>
        <w:spacing w:after="60" w:line="240" w:lineRule="auto"/>
      </w:pPr>
      <w:r>
        <w:rPr>
          <w:sz w:val="22"/>
        </w:rPr>
        <w:t xml:space="preserve">5. Для М2 принят предварительный коэффициент армирования Karm=1,20. Он характеризует ориентировочное повышение несущей способности </w:t>
      </w:r>
      <w:r>
        <w:rPr>
          <w:sz w:val="22"/>
        </w:rPr>
        <w:t>армированного участка на 20 % и требует экспериментального подтверждения.</w:t>
      </w:r>
    </w:p>
    <w:p w:rsidR="00643052" w:rsidRDefault="00151D51">
      <w:pPr>
        <w:spacing w:after="60" w:line="240" w:lineRule="auto"/>
      </w:pPr>
      <w:r>
        <w:rPr>
          <w:sz w:val="22"/>
        </w:rPr>
        <w:t>6. PA12-CF10 является рациональным материалом для демонстрационных и исследовательских колёс. Для функциональной временной замены при повышенных требованиях перспективны CF-PEEK и др</w:t>
      </w:r>
      <w:r>
        <w:rPr>
          <w:sz w:val="22"/>
        </w:rPr>
        <w:t>угие высокотемпературные армированные полимеры после отдельной верификации.</w:t>
      </w:r>
    </w:p>
    <w:p w:rsidR="00643052" w:rsidRDefault="00151D51">
      <w:pPr>
        <w:keepNext/>
        <w:spacing w:before="160" w:after="80"/>
      </w:pPr>
      <w:r>
        <w:rPr>
          <w:b/>
          <w:sz w:val="28"/>
        </w:rPr>
        <w:t>14 НОРМАТИВНЫЕ И СПРАВОЧНЫЕ ДАННЫЕ</w:t>
      </w:r>
    </w:p>
    <w:p w:rsidR="00643052" w:rsidRDefault="00151D51">
      <w:pPr>
        <w:spacing w:after="60" w:line="240" w:lineRule="auto"/>
      </w:pPr>
      <w:r>
        <w:rPr>
          <w:sz w:val="22"/>
        </w:rPr>
        <w:t>Документ оформлен с учётом ГОСТ Р 2.105—2019, ГОСТ 2.106—2019, ГОСТ 2.104—2006 и ГОСТ 2.301—68. Типовые характеристики PA12-CF10 использованы тол</w:t>
      </w:r>
      <w:r>
        <w:rPr>
          <w:sz w:val="22"/>
        </w:rPr>
        <w:t>ько для предварительной инженерной оценки. После выбора углеродной ткани и эпоксидной системы в комплект включают их паспорта, карту укладки и протоколы испытаний контрольных образцов.</w:t>
      </w:r>
    </w:p>
    <w:sectPr w:rsidR="00643052" w:rsidSect="0003461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D51" w:rsidRDefault="00151D51">
      <w:pPr>
        <w:spacing w:line="240" w:lineRule="auto"/>
      </w:pPr>
      <w:r>
        <w:separator/>
      </w:r>
    </w:p>
  </w:endnote>
  <w:endnote w:type="continuationSeparator" w:id="0">
    <w:p w:rsidR="00151D51" w:rsidRDefault="00151D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643052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t>EMTH.19.01.02.59.00.000.0018 РР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643052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861230">
            <w:rPr>
              <w:noProof/>
              <w:sz w:val="11"/>
            </w:rPr>
            <w:t>8</w:t>
          </w:r>
          <w:r>
            <w:rPr>
              <w:sz w:val="11"/>
            </w:rPr>
            <w:fldChar w:fldCharType="end"/>
          </w:r>
        </w:p>
      </w:tc>
    </w:tr>
    <w:tr w:rsidR="00643052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</w:tr>
    <w:tr w:rsidR="00643052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:rsidR="00643052" w:rsidRDefault="00643052">
    <w:pPr>
      <w:spacing w:line="20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643052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</w:tr>
    <w:tr w:rsidR="00643052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Разраб.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t>EMTH.19.01.02.59.00.000.0018 РР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t>Рабочее колесо РК-200-Э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861230">
            <w:rPr>
              <w:noProof/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 w:rsidR="00861230">
            <w:rPr>
              <w:noProof/>
              <w:sz w:val="11"/>
            </w:rPr>
            <w:t>8</w:t>
          </w:r>
          <w:r>
            <w:rPr>
              <w:sz w:val="11"/>
            </w:rPr>
            <w:fldChar w:fldCharType="end"/>
          </w:r>
        </w:p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643052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643052"/>
      </w:tc>
    </w:tr>
    <w:tr w:rsidR="00643052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:rsidR="00643052" w:rsidRDefault="00151D51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:rsidR="00643052" w:rsidRDefault="00643052">
    <w:pPr>
      <w:spacing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D51" w:rsidRDefault="00151D51">
      <w:pPr>
        <w:spacing w:line="240" w:lineRule="auto"/>
      </w:pPr>
      <w:r>
        <w:separator/>
      </w:r>
    </w:p>
  </w:footnote>
  <w:footnote w:type="continuationSeparator" w:id="0">
    <w:p w:rsidR="00151D51" w:rsidRDefault="00151D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052" w:rsidRDefault="0064305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65693D"/>
    <w:multiLevelType w:val="multilevel"/>
    <w:tmpl w:val="1D38692E"/>
    <w:lvl w:ilvl="0">
      <w:start w:val="1"/>
      <w:numFmt w:val="decimal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16F6FA9"/>
    <w:multiLevelType w:val="multilevel"/>
    <w:tmpl w:val="CDB8831E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1D51"/>
    <w:rsid w:val="0029639D"/>
    <w:rsid w:val="003225B1"/>
    <w:rsid w:val="00326F90"/>
    <w:rsid w:val="00643052"/>
    <w:rsid w:val="008612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0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1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  <w:style w:type="paragraph" w:styleId="aff8">
    <w:name w:val="Balloon Text"/>
    <w:basedOn w:val="a"/>
    <w:link w:val="aff9"/>
    <w:uiPriority w:val="99"/>
    <w:semiHidden/>
    <w:unhideWhenUsed/>
    <w:rsid w:val="003225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3225B1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0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1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  <w:style w:type="paragraph" w:styleId="aff8">
    <w:name w:val="Balloon Text"/>
    <w:basedOn w:val="a"/>
    <w:link w:val="aff9"/>
    <w:uiPriority w:val="99"/>
    <w:semiHidden/>
    <w:unhideWhenUsed/>
    <w:rsid w:val="003225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3225B1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7A1840-6AF6-4E0E-9D28-309751151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1894</Words>
  <Characters>10796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ТЕХНИЧЕСКИЕ УСЛОВИЯ</vt:lpstr>
      <vt:lpstr/>
    </vt:vector>
  </TitlesOfParts>
  <Manager/>
  <Company/>
  <LinksUpToDate>false</LinksUpToDate>
  <CharactersWithSpaces>12665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>Рабочие колёса РК-200-Э и РК-200-Д диаметром 200 мм</dc:subject>
  <dc:creator>Команда МИТК-РК</dc:creator>
  <cp:keywords/>
  <dc:description>generated by python-docx</dc:description>
  <cp:lastModifiedBy>Bifrost</cp:lastModifiedBy>
  <cp:revision>2</cp:revision>
  <dcterms:created xsi:type="dcterms:W3CDTF">2013-12-23T23:15:00Z</dcterms:created>
  <dcterms:modified xsi:type="dcterms:W3CDTF">2026-07-23T08:21:00Z</dcterms:modified>
  <cp:category/>
</cp:coreProperties>
</file>