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Calibri" w:hAnsi="Calibri" w:eastAsia="Calibri"/>
          <w:b/>
          <w:color w:val="2F91A3"/>
          <w:sz w:val="20"/>
        </w:rPr>
        <w:t>RESEARCH PAPER  |  16 AUGUST 2026</w:t>
      </w:r>
    </w:p>
    <w:p>
      <w:pPr>
        <w:spacing w:after="200"/>
        <w:jc w:val="center"/>
      </w:pPr>
      <w:r>
        <w:rPr>
          <w:rFonts w:ascii="Calibri" w:hAnsi="Calibri" w:eastAsia="Calibri"/>
          <w:b/>
          <w:color w:val="17324D"/>
          <w:sz w:val="60"/>
        </w:rPr>
        <w:t>Semantic Particle Theory for ConstellationOS</w:t>
      </w:r>
    </w:p>
    <w:p>
      <w:pPr>
        <w:spacing w:after="360" w:line="276" w:lineRule="auto"/>
        <w:jc w:val="center"/>
      </w:pPr>
      <w:r>
        <w:rPr>
          <w:rFonts w:ascii="Calibri" w:hAnsi="Calibri" w:eastAsia="Calibri"/>
          <w:b w:val="0"/>
          <w:color w:val="1F4D78"/>
          <w:sz w:val="30"/>
        </w:rPr>
        <w:t>Ten Falsifiable Mechanisms for Compositional Parsing, Ambiguity Resolution, and Safe Grammar Discovery</w:t>
      </w:r>
    </w:p>
    <w:p>
      <w:pPr>
        <w:spacing w:after="1080" w:line="300" w:lineRule="auto"/>
        <w:ind w:left="648" w:right="648"/>
        <w:jc w:val="center"/>
      </w:pPr>
      <w:r>
        <w:rPr>
          <w:rFonts w:ascii="Calibri" w:hAnsi="Calibri" w:eastAsia="Calibri"/>
          <w:i/>
          <w:color w:val="627180"/>
          <w:sz w:val="23"/>
        </w:rPr>
        <w:t>A research synthesis and preregistration blueprint grounded in typed feature structures, selectional preference, packed-hypergraph inference, causal probing, information theory, and provenance analysis</w:t>
      </w:r>
    </w:p>
    <w:p>
      <w:pPr>
        <w:spacing w:after="100"/>
        <w:jc w:val="center"/>
      </w:pPr>
      <w:r>
        <w:rPr>
          <w:rFonts w:ascii="Calibri" w:hAnsi="Calibri" w:eastAsia="Calibri"/>
          <w:b/>
          <w:color w:val="17324D"/>
          <w:sz w:val="23"/>
        </w:rPr>
        <w:t>Prepared for Vaelrix</w:t>
      </w:r>
    </w:p>
    <w:p>
      <w:pPr>
        <w:jc w:val="center"/>
      </w:pPr>
      <w:r>
        <w:rPr>
          <w:rFonts w:ascii="Calibri" w:hAnsi="Calibri" w:eastAsia="Calibri"/>
          <w:color w:val="627180"/>
          <w:sz w:val="20"/>
        </w:rPr>
        <w:t>ConstellationOS Research Program</w:t>
      </w:r>
    </w:p>
    <w:p>
      <w:r>
        <w:br w:type="page"/>
      </w:r>
    </w:p>
    <w:p>
      <w:pPr>
        <w:pStyle w:val="Heading1"/>
      </w:pPr>
      <w:r>
        <w:t>Abstract</w:t>
      </w:r>
    </w:p>
    <w:p>
      <w:r>
        <w:rPr>
          <w:rFonts w:ascii="Calibri" w:hAnsi="Calibri" w:eastAsia="Calibri"/>
        </w:rPr>
        <w:t>ConstellationOS already demonstrates three properties that make a semantic-particle program scientifically testable. First, its grammar is explicit: atoms emit typed categories, bonds are licensed by a Grimoire, and the packed parser preserves derivational alternatives. Second, the system is instrumented: chart events, recursive-preservative reactions, provenance, containment, head accuracy, token ambiguity, and seeded controls can be measured. Third, the project has retained negative results. In particular, silicone-to-carbon 'transmutation' failed because a deranged placebo generated more apparent carbon products than the real substrate; occupancy entropy increased unique molecules by 85% without raising the intrinsic-energy ceiling; and the resonance beacon improved ambiguous-token UPOS selection while failing at clause-level parse choice. These findings constrain rather than weaken the next research program.</w:t>
      </w:r>
    </w:p>
    <w:p>
      <w:r>
        <w:rPr>
          <w:rFonts w:ascii="Calibri" w:hAnsi="Calibri" w:eastAsia="Calibri"/>
        </w:rPr>
        <w:t>This paper defines a semantic particle as a minimal, typed, immutable, evidence-bearing annotation attached to a lexical atom, chart node, derivation, or Cyclotron candidate. A particle may support, inhibit, bind, identify, or record provenance; it may not silently create grammar. Ten theories are ranked using research support, causal specificity, fit to the existing architecture, falsifiability, safety, and implementation tractability. The highest-priority proposals are a typed semantic microfeature lattice, bidirectional selectional-preference charges, packed-forest inside-outside particles, and provenance-typed recursive privileges. Additional theories cover exact root-reachability light, contrastive spectral fingerprints, role-filler binding, information-bottleneck purification, Bayesian valence-vacancy discovery, and determinantal diversity for Cyclotron search.</w:t>
      </w:r>
    </w:p>
    <w:p>
      <w:r>
        <w:rPr>
          <w:rFonts w:ascii="Calibri" w:hAnsi="Calibri" w:eastAsia="Calibri"/>
        </w:rPr>
        <w:t>The paper does not claim that the physical metaphors are causal mechanisms, that Cyclotron search authors linguistic law, or that any proposed theory has already improved the parser. Each proposal is translated into an operational mechanism, a primary endpoint, controls, failure criteria, and a staged implementation surface. The central recommendation is a jurisdictional architecture: grammar remains authoritative; semantic particles first annotate, then rank derivations only after they survive derangement, shuffle, contrast-set, held-out, determinism, and homeostasis gates; promotion to the Grimoire remains a human act.</w:t>
      </w:r>
    </w:p>
    <w:p>
      <w:r>
        <w:rPr>
          <w:rFonts w:ascii="Calibri" w:hAnsi="Calibri" w:eastAsia="Calibri"/>
          <w:b/>
          <w:i w:val="0"/>
        </w:rPr>
        <w:t xml:space="preserve">Keywords: </w:t>
      </w:r>
      <w:r>
        <w:rPr>
          <w:rFonts w:ascii="Calibri" w:hAnsi="Calibri" w:eastAsia="Calibri"/>
          <w:b w:val="0"/>
          <w:i w:val="0"/>
        </w:rPr>
        <w:t>ConstellationOS; semantic particles; semantic valence; selectional preference; packed parsing; derivation forests; provenance; grammar induction; information bottleneck; Cyclotron.</w:t>
      </w:r>
    </w:p>
    <w:p>
      <w:pPr>
        <w:pStyle w:val="Heading1"/>
      </w:pPr>
      <w:r>
        <w:t>Executive conclusion</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Highest-confidence conclusion. </w:t>
      </w:r>
      <w:r>
        <w:rPr>
          <w:rFonts w:ascii="Calibri" w:hAnsi="Calibri" w:eastAsia="Calibri"/>
          <w:color w:val="202A34"/>
          <w:sz w:val="21"/>
        </w:rPr>
        <w:t>The next useful layer is not a stronger metaphor and not a wider bond table. It is a small, typed particle contract that carries relation-specific evidence through the packed forest while remaining incapable of licensing a bond. This directly targets the observed local-to-global gap: the beacon can improve token readings, but projected subject-verb pairs are not concrete derivations.</w:t>
      </w:r>
    </w:p>
    <w:p>
      <w:r>
        <w:rPr>
          <w:rFonts w:ascii="Calibri" w:hAnsi="Calibri" w:eastAsia="Calibri"/>
        </w:rPr>
        <w:t>The best first research sequence is: (1) formalize particle types and provenance; (2) implement exact root-reachability annotation; (3) add a sparse semantic microfeature inventory; (4) learn soft bidirectional selectional preferences; and (5) compute derivation-level inside-outside scores over the packed forest. This order reduces risk because the safety and observability layers land before semantic scores are consumed. The expected benefit is not guaranteed coverage growth. The more defensible target is improved discrimination among already-licensed readings and derivations, with reduced false attachment and no recursive privilege expansion.</w:t>
      </w:r>
    </w:p>
    <w:p>
      <w:r>
        <w:rPr>
          <w:rFonts w:ascii="Calibri" w:hAnsi="Calibri" w:eastAsia="Calibri"/>
        </w:rPr>
        <w:t>The proposal with the largest theoretical upside is packed-forest semantic inference. The proposal with the strongest proof of safety is root-reachability identity light. The proposal most likely to improve local ambiguity quickly is bidirectional selectional preference. The proposal most important for preventing another Uranium-class cascade is provenance-typed privilege. The proposal least likely to improve quality by itself is diversity-only search; it is ranked tenth because the occupancy-entropy experiment already showed that more unique molecules need not produce a better ceiling.</w:t>
      </w:r>
    </w:p>
    <w:p>
      <w:pPr>
        <w:pStyle w:val="Heading1"/>
      </w:pPr>
      <w:r>
        <w:t>Contents</w:t>
      </w:r>
    </w:p>
    <w:p>
      <w:pPr>
        <w:numPr>
          <w:ilvl w:val="0"/>
          <w:numId w:val="10"/>
        </w:numPr>
      </w:pPr>
      <w:r>
        <w:rPr>
          <w:rFonts w:ascii="Calibri" w:hAnsi="Calibri" w:eastAsia="Calibri"/>
        </w:rPr>
        <w:t>1. Research question and claim boundaries</w:t>
      </w:r>
    </w:p>
    <w:p>
      <w:pPr>
        <w:numPr>
          <w:ilvl w:val="0"/>
          <w:numId w:val="10"/>
        </w:numPr>
      </w:pPr>
      <w:r>
        <w:rPr>
          <w:rFonts w:ascii="Calibri" w:hAnsi="Calibri" w:eastAsia="Calibri"/>
        </w:rPr>
        <w:t>2. Operational definition of a semantic particle</w:t>
      </w:r>
    </w:p>
    <w:p>
      <w:pPr>
        <w:numPr>
          <w:ilvl w:val="0"/>
          <w:numId w:val="10"/>
        </w:numPr>
      </w:pPr>
      <w:r>
        <w:rPr>
          <w:rFonts w:ascii="Calibri" w:hAnsi="Calibri" w:eastAsia="Calibri"/>
        </w:rPr>
        <w:t>3. ConstellationOS evidence base</w:t>
      </w:r>
    </w:p>
    <w:p>
      <w:pPr>
        <w:numPr>
          <w:ilvl w:val="0"/>
          <w:numId w:val="10"/>
        </w:numPr>
      </w:pPr>
      <w:r>
        <w:rPr>
          <w:rFonts w:ascii="Calibri" w:hAnsi="Calibri" w:eastAsia="Calibri"/>
        </w:rPr>
        <w:t>4. Research synthesis and ranking method</w:t>
      </w:r>
    </w:p>
    <w:p>
      <w:pPr>
        <w:numPr>
          <w:ilvl w:val="0"/>
          <w:numId w:val="10"/>
        </w:numPr>
      </w:pPr>
      <w:r>
        <w:rPr>
          <w:rFonts w:ascii="Calibri" w:hAnsi="Calibri" w:eastAsia="Calibri"/>
        </w:rPr>
        <w:t>5. Ranked top ten theories</w:t>
      </w:r>
    </w:p>
    <w:p>
      <w:pPr>
        <w:numPr>
          <w:ilvl w:val="0"/>
          <w:numId w:val="10"/>
        </w:numPr>
      </w:pPr>
      <w:r>
        <w:rPr>
          <w:rFonts w:ascii="Calibri" w:hAnsi="Calibri" w:eastAsia="Calibri"/>
        </w:rPr>
        <w:t>6. Integrated architecture and experimental program</w:t>
      </w:r>
    </w:p>
    <w:p>
      <w:pPr>
        <w:numPr>
          <w:ilvl w:val="0"/>
          <w:numId w:val="10"/>
        </w:numPr>
      </w:pPr>
      <w:r>
        <w:rPr>
          <w:rFonts w:ascii="Calibri" w:hAnsi="Calibri" w:eastAsia="Calibri"/>
        </w:rPr>
        <w:t>7. Statistical protocol and preregistration requirements</w:t>
      </w:r>
    </w:p>
    <w:p>
      <w:pPr>
        <w:numPr>
          <w:ilvl w:val="0"/>
          <w:numId w:val="10"/>
        </w:numPr>
      </w:pPr>
      <w:r>
        <w:rPr>
          <w:rFonts w:ascii="Calibri" w:hAnsi="Calibri" w:eastAsia="Calibri"/>
        </w:rPr>
        <w:t>8. Implementation roadmap, QA, and risks</w:t>
      </w:r>
    </w:p>
    <w:p>
      <w:pPr>
        <w:numPr>
          <w:ilvl w:val="0"/>
          <w:numId w:val="10"/>
        </w:numPr>
      </w:pPr>
      <w:r>
        <w:rPr>
          <w:rFonts w:ascii="Calibri" w:hAnsi="Calibri" w:eastAsia="Calibri"/>
        </w:rPr>
        <w:t>9. Threats to validity and conclusion</w:t>
      </w:r>
    </w:p>
    <w:p>
      <w:pPr>
        <w:numPr>
          <w:ilvl w:val="0"/>
          <w:numId w:val="10"/>
        </w:numPr>
      </w:pPr>
      <w:r>
        <w:rPr>
          <w:rFonts w:ascii="Calibri" w:hAnsi="Calibri" w:eastAsia="Calibri"/>
        </w:rPr>
        <w:t>Appendices and references</w:t>
      </w:r>
    </w:p>
    <w:p>
      <w:r>
        <w:br w:type="page"/>
      </w:r>
    </w:p>
    <w:p>
      <w:pPr>
        <w:pStyle w:val="Heading1"/>
      </w:pPr>
      <w:r>
        <w:t>1. Research question and claim boundaries</w:t>
      </w:r>
    </w:p>
    <w:p>
      <w:pPr>
        <w:pStyle w:val="Heading2"/>
      </w:pPr>
      <w:r>
        <w:t>1.1 Primary research question</w:t>
      </w:r>
    </w:p>
    <w:p>
      <w:r>
        <w:rPr>
          <w:rFonts w:ascii="Calibri" w:hAnsi="Calibri" w:eastAsia="Calibri"/>
        </w:rPr>
        <w:t>Which minimal semantic annotations can improve ConstellationOS's selection among lexical readings, licensed derivations, and architectural candidates without expanding the grammar's legal bond set, introducing nondeterminism, or reviving recursive-preservative cascades?</w:t>
      </w:r>
    </w:p>
    <w:p>
      <w:r>
        <w:rPr>
          <w:rFonts w:ascii="Calibri" w:hAnsi="Calibri" w:eastAsia="Calibri"/>
        </w:rPr>
        <w:t>This wording is deliberate. It asks about discrimination inside an existing hypothesis space before it asks about enlarging that space. The internal record shows that an upstream lexical correction can yield broad parser gains, while broad late-stage glue bonds can raise coverage yet remain impure. It also shows that local token ranking and sentence-level parse ranking are different problems. Theories are therefore evaluated at the layer they actually affect: lexical emission, bond compatibility evidence, derivation ranking, provenance safety, discovery, or Cyclotron search.</w:t>
      </w:r>
    </w:p>
    <w:p>
      <w:pPr>
        <w:pStyle w:val="Heading2"/>
      </w:pPr>
      <w:r>
        <w:t>1.2 Narrow central claim</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Claim. </w:t>
      </w:r>
      <w:r>
        <w:rPr>
          <w:rFonts w:ascii="Calibri" w:hAnsi="Calibri" w:eastAsia="Calibri"/>
          <w:color w:val="202A34"/>
          <w:sz w:val="21"/>
        </w:rPr>
        <w:t>Typed, provenance-carrying semantic particles can make ConstellationOS more discriminating and more diagnosable if they are applied as soft evidence over existing atoms and derivations, evaluated against adversarial controls, and prevented from acquiring grammar or recursive privileges by themselves.</w:t>
      </w:r>
    </w:p>
    <w:p>
      <w:r>
        <w:rPr>
          <w:rFonts w:ascii="Calibri" w:hAnsi="Calibri" w:eastAsia="Calibri"/>
        </w:rPr>
        <w:t>The claim is intentionally narrower than 'semantic particles make the parser understand language.' A successful experiment would show a measurable change in a declared endpoint under a controlled intervention. It would not establish human-like semantics, causal understanding, or universal linguistic validity.</w:t>
      </w:r>
    </w:p>
    <w:p>
      <w:pPr>
        <w:pStyle w:val="Heading2"/>
      </w:pPr>
      <w:r>
        <w:t>1.3 Claims explicitly excluded</w:t>
      </w:r>
    </w:p>
    <w:p>
      <w:pPr>
        <w:numPr>
          <w:ilvl w:val="0"/>
          <w:numId w:val="10"/>
        </w:numPr>
      </w:pPr>
      <w:r>
        <w:rPr>
          <w:rFonts w:ascii="Calibri" w:hAnsi="Calibri" w:eastAsia="Calibri"/>
        </w:rPr>
        <w:t>No physical claim: carbon, silicone, photons, voltage, magnetism, chloroplasts, macrophages, DMT, and superposition are internal engineering metaphors unless and until translated into algorithms and measurements.</w:t>
      </w:r>
    </w:p>
    <w:p>
      <w:pPr>
        <w:numPr>
          <w:ilvl w:val="0"/>
          <w:numId w:val="10"/>
        </w:numPr>
      </w:pPr>
      <w:r>
        <w:rPr>
          <w:rFonts w:ascii="Calibri" w:hAnsi="Calibri" w:eastAsia="Calibri"/>
        </w:rPr>
        <w:t>No automatic law: Cyclotron output, particle scores, or gap recurrence may propose evidence, but only a reviewed Grimoire change can author grammar.</w:t>
      </w:r>
    </w:p>
    <w:p>
      <w:pPr>
        <w:numPr>
          <w:ilvl w:val="0"/>
          <w:numId w:val="10"/>
        </w:numPr>
      </w:pPr>
      <w:r>
        <w:rPr>
          <w:rFonts w:ascii="Calibri" w:hAnsi="Calibri" w:eastAsia="Calibri"/>
        </w:rPr>
        <w:t>No coverage-only success: a wider spanning rate is not improvement if gold containment, head accuracy, forest purity, or event pressure worsens.</w:t>
      </w:r>
    </w:p>
    <w:p>
      <w:pPr>
        <w:numPr>
          <w:ilvl w:val="0"/>
          <w:numId w:val="10"/>
        </w:numPr>
      </w:pPr>
      <w:r>
        <w:rPr>
          <w:rFonts w:ascii="Calibri" w:hAnsi="Calibri" w:eastAsia="Calibri"/>
        </w:rPr>
        <w:t>No post-hoc threshold movement: every meaningful treatment requires a frozen baseline, seed policy, primary endpoint, control, and failure boundary.</w:t>
      </w:r>
    </w:p>
    <w:p>
      <w:pPr>
        <w:numPr>
          <w:ilvl w:val="0"/>
          <w:numId w:val="10"/>
        </w:numPr>
      </w:pPr>
      <w:r>
        <w:rPr>
          <w:rFonts w:ascii="Calibri" w:hAnsi="Calibri" w:eastAsia="Calibri"/>
        </w:rPr>
        <w:t>No conflation of token and derivation accuracy: a token can receive a better category while a sentence still receives a worse parse.</w:t>
      </w:r>
    </w:p>
    <w:p>
      <w:pPr>
        <w:numPr>
          <w:ilvl w:val="0"/>
          <w:numId w:val="10"/>
        </w:numPr>
      </w:pPr>
      <w:r>
        <w:rPr>
          <w:rFonts w:ascii="Calibri" w:hAnsi="Calibri" w:eastAsia="Calibri"/>
        </w:rPr>
        <w:t>No label-only semantics: a semantic mechanism must distinguish true label-structure correspondence from a deranged bank, not merely process fluent names.</w:t>
      </w:r>
    </w:p>
    <w:p>
      <w:pPr>
        <w:pStyle w:val="Heading1"/>
      </w:pPr>
      <w:r>
        <w:t>2. Operational definition of a semantic particle</w:t>
      </w:r>
    </w:p>
    <w:p>
      <w:pPr>
        <w:pStyle w:val="Heading2"/>
      </w:pPr>
      <w:r>
        <w:t>2.1 Definition</w:t>
      </w:r>
    </w:p>
    <w:p>
      <w:r>
        <w:rPr>
          <w:rFonts w:ascii="Calibri" w:hAnsi="Calibri" w:eastAsia="Calibri"/>
        </w:rPr>
        <w:t>In this paper, semantic particle is a ConstellationOS engineering term, not a claim about linguistic discourse particles. It denotes the smallest independently testable unit of semantic evidence or semantic control that can be attached to a system object. A particle is smaller than an atom because an atom remains the parser's category-bearing unit; a particle qualifies how that atom, span, derivation, or candidate should be interpreted.</w:t>
      </w:r>
    </w:p>
    <w:p>
      <w:pPr>
        <w:pStyle w:val="Equation"/>
        <w:jc w:val="center"/>
      </w:pPr>
      <w:r>
        <w:rPr>
          <w:rFonts w:ascii="Consolas" w:hAnsi="Consolas" w:eastAsia="Consolas"/>
          <w:color w:val="17324D"/>
          <w:sz w:val="19"/>
        </w:rPr>
        <w:t>p = &lt;id, scope, kind, value, polarity, confidence, evidence, provenance, permissions, version&gt;</w:t>
      </w:r>
    </w:p>
    <w:p>
      <w:r>
        <w:rPr>
          <w:rFonts w:ascii="Calibri" w:hAnsi="Calibri" w:eastAsia="Calibri"/>
        </w:rPr>
        <w:t>Scope is one of lexical atom, span node, derivation edge, root hypothesis, or Cyclotron molecule. Kind names a bounded schema such as animacy, motion, Agent, root-reachable, imperative-origin, or semantic-family. Polarity is support, inhibit, bind, identify, or observe. Confidence is calibrated and may be absent. Evidence points to a corpus count, lexical resource, derivation path, perturbation response, or authored rule. Provenance records how the particle was created. Permissions state what the particle may affect. Version seals the ontology and evidence substrate.</w:t>
      </w:r>
    </w:p>
    <w:p>
      <w:pPr>
        <w:pStyle w:val="Heading2"/>
      </w:pPr>
      <w:r>
        <w:t>2.2 Five invariants</w:t>
      </w:r>
    </w:p>
    <w:p>
      <w:r>
        <w:rPr>
          <w:rFonts w:ascii="Calibri" w:hAnsi="Calibri" w:eastAsia="Calibri"/>
          <w:b/>
          <w:i w:val="0"/>
        </w:rPr>
        <w:t xml:space="preserve">I1 - Grammar sovereignty. </w:t>
      </w:r>
      <w:r>
        <w:rPr>
          <w:rFonts w:ascii="Calibri" w:hAnsi="Calibri" w:eastAsia="Calibri"/>
          <w:b w:val="0"/>
          <w:i w:val="0"/>
        </w:rPr>
        <w:t>A particle cannot make an unlicensed pair legal. Bond admission continues to depend on the Grimoire and its centralized receptor.</w:t>
      </w:r>
    </w:p>
    <w:p>
      <w:r>
        <w:rPr>
          <w:rFonts w:ascii="Calibri" w:hAnsi="Calibri" w:eastAsia="Calibri"/>
          <w:b/>
          <w:i w:val="0"/>
        </w:rPr>
        <w:t xml:space="preserve">I2 - Monotone provenance. </w:t>
      </w:r>
      <w:r>
        <w:rPr>
          <w:rFonts w:ascii="Calibri" w:hAnsi="Calibri" w:eastAsia="Calibri"/>
          <w:b w:val="0"/>
          <w:i w:val="0"/>
        </w:rPr>
        <w:t>A derivation may retain or lose privileges according to explicit rules, but lexical ambiguity or category preservation may not mint new recursive, adjunct, or root privileges.</w:t>
      </w:r>
    </w:p>
    <w:p>
      <w:r>
        <w:rPr>
          <w:rFonts w:ascii="Calibri" w:hAnsi="Calibri" w:eastAsia="Calibri"/>
          <w:b/>
          <w:i w:val="0"/>
        </w:rPr>
        <w:t xml:space="preserve">I3 - Evidence abstention. </w:t>
      </w:r>
      <w:r>
        <w:rPr>
          <w:rFonts w:ascii="Calibri" w:hAnsi="Calibri" w:eastAsia="Calibri"/>
          <w:b w:val="0"/>
          <w:i w:val="0"/>
        </w:rPr>
        <w:t>When a channel lacks evidence, it contributes no pseudo-neutral constant. Its weight is redistributed or the system abstains, repeating the successful Concept Chemistry repair.</w:t>
      </w:r>
    </w:p>
    <w:p>
      <w:r>
        <w:rPr>
          <w:rFonts w:ascii="Calibri" w:hAnsi="Calibri" w:eastAsia="Calibri"/>
          <w:b/>
          <w:i w:val="0"/>
        </w:rPr>
        <w:t xml:space="preserve">I4 - Frozen-chart first. </w:t>
      </w:r>
      <w:r>
        <w:rPr>
          <w:rFonts w:ascii="Calibri" w:hAnsi="Calibri" w:eastAsia="Calibri"/>
          <w:b w:val="0"/>
          <w:i w:val="0"/>
        </w:rPr>
        <w:t>Every new particle class begins as annotation over a completed chart. Consumption is a separate preregistered phase.</w:t>
      </w:r>
    </w:p>
    <w:p>
      <w:r>
        <w:rPr>
          <w:rFonts w:ascii="Calibri" w:hAnsi="Calibri" w:eastAsia="Calibri"/>
          <w:b/>
          <w:i w:val="0"/>
        </w:rPr>
        <w:t xml:space="preserve">I5 - Deterministic identity. </w:t>
      </w:r>
      <w:r>
        <w:rPr>
          <w:rFonts w:ascii="Calibri" w:hAnsi="Calibri" w:eastAsia="Calibri"/>
          <w:b w:val="0"/>
          <w:i w:val="0"/>
        </w:rPr>
        <w:t>Particle IDs, evidence hashes, ordering, and scoring must be replayable; wall-clock time, random iteration order, or UI state may not enter computation.</w:t>
      </w:r>
    </w:p>
    <w:p>
      <w:pPr>
        <w:pStyle w:val="Heading2"/>
      </w:pPr>
      <w:r>
        <w:t>2.3 Particle classes and jurisdiction</w:t>
      </w:r>
    </w:p>
    <w:p>
      <w:pPr>
        <w:spacing w:before="120" w:after="40"/>
        <w:jc w:val="center"/>
      </w:pPr>
      <w:r>
        <w:drawing>
          <wp:inline xmlns:a="http://schemas.openxmlformats.org/drawingml/2006/main" xmlns:pic="http://schemas.openxmlformats.org/drawingml/2006/picture">
            <wp:extent cx="5943600" cy="3428867"/>
            <wp:docPr id="1" name="Picture 1" title="Semantic particle jurisdictions" descr="Diagram of lexical atoms, grammar-only bond admission, packed forest, semantic field, and projection. It separates evidence, capability, identity, and discovery particles and states that semantic particles cannot alter grammar during measurement."/>
            <wp:cNvGraphicFramePr>
              <a:graphicFrameLocks noChangeAspect="1"/>
            </wp:cNvGraphicFramePr>
            <a:graphic>
              <a:graphicData uri="http://schemas.openxmlformats.org/drawingml/2006/picture">
                <pic:pic>
                  <pic:nvPicPr>
                    <pic:cNvPr id="0" name="particle_jurisdictions.png"/>
                    <pic:cNvPicPr/>
                  </pic:nvPicPr>
                  <pic:blipFill>
                    <a:blip r:embed="rId11"/>
                    <a:stretch>
                      <a:fillRect/>
                    </a:stretch>
                  </pic:blipFill>
                  <pic:spPr>
                    <a:xfrm>
                      <a:off x="0" y="0"/>
                      <a:ext cx="5943600" cy="3428867"/>
                    </a:xfrm>
                    <a:prstGeom prst="rect"/>
                  </pic:spPr>
                </pic:pic>
              </a:graphicData>
            </a:graphic>
          </wp:inline>
        </w:drawing>
      </w:r>
    </w:p>
    <w:p>
      <w:pPr>
        <w:pStyle w:val="CaptionCustom"/>
      </w:pPr>
      <w:r>
        <w:rPr>
          <w:rFonts w:ascii="Calibri" w:hAnsi="Calibri" w:eastAsia="Calibri"/>
          <w:i/>
          <w:color w:val="627180"/>
          <w:sz w:val="18"/>
        </w:rPr>
        <w:t>Figure 1. Proposed particle jurisdictions. The red boundary is architectural, not merely procedural: particle evidence is downstream of legal bond admission unless a separately reviewed Grimoire change is made.</w:t>
      </w:r>
    </w:p>
    <w:p>
      <w:r>
        <w:rPr>
          <w:rFonts w:ascii="Calibri" w:hAnsi="Calibri" w:eastAsia="Calibri"/>
        </w:rPr>
        <w:t>The separation is the paper's most important architectural recommendation. The earlier light and electromagnetic modules were safe precisely because the field ranked and annotated rather than admitted bonds. Conversely, the failed aura-shield suppression illustrates why a mechanism that reports fewer recursive-preservative events can still be harmful if spanning collapses. A jurisdictional schema makes those distinctions machine-checkable.</w:t>
      </w:r>
    </w:p>
    <w:p>
      <w:pPr>
        <w:pStyle w:val="Heading2"/>
      </w:pPr>
      <w:r>
        <w:t>2.4 Metaphor discipline</w:t>
      </w:r>
    </w:p>
    <w:p>
      <w:r>
        <w:rPr>
          <w:rFonts w:ascii="Calibri" w:hAnsi="Calibri" w:eastAsia="Calibri"/>
        </w:rPr>
        <w:t>The project's metaphors are productive design heuristics, but scientific rigor requires a translation table. 'Electron' becomes an offered semantic constraint; 'proton' becomes a required or role-specific constraint; 'neutron' becomes an uncertainty, inhibition, or redundancy-control particle; 'photon' becomes a message emitted along a graph edge; 'magnetic potential' becomes a factor score; 'purification' becomes feature selection under a held-out objective; and 'superposition' becomes preservation of alternative derivations in a packed forest. Once translated, each mechanism can be implemented, falsified, and compared. Without that translation, the metaphor cannot count as evidence.</w:t>
      </w:r>
    </w:p>
    <w:p>
      <w:pPr>
        <w:pStyle w:val="Heading1"/>
      </w:pPr>
      <w:r>
        <w:t>3. ConstellationOS evidence base</w:t>
      </w:r>
    </w:p>
    <w:p>
      <w:pPr>
        <w:pStyle w:val="Heading2"/>
      </w:pPr>
      <w:r>
        <w:t>3.1 Evidence tiers</w:t>
      </w:r>
    </w:p>
    <w:p>
      <w:r>
        <w:rPr>
          <w:rFonts w:ascii="Calibri" w:hAnsi="Calibri" w:eastAsia="Calibri"/>
        </w:rPr>
        <w:t>ConstellationOS findings are internal engineering evidence, not peer-reviewed external results. They nevertheless vary in strength. Tier A records include a stored preregistration plus a stored result or machine report, fixed seeds or checksums, and an explicit control. Tier B records are stored result or design documents with reproducible code paths but incomplete independent replication in the materials reviewed for this paper. Tier C observations are conversational or exploratory and may motivate a hypothesis but cannot establish an effect. External papers supply mechanism plausibility, not proof that a mechanism will work in ConstellationOS.</w:t>
      </w:r>
    </w:p>
    <w:tbl>
      <w:tblPr>
        <w:tblStyle w:val="TableGrid"/>
        <w:tblW w:type="dxa" w:w="9360"/>
        <w:jc w:val="left"/>
        <w:tblLayout w:type="fixed"/>
        <w:tblLook w:firstColumn="1" w:firstRow="1" w:lastColumn="0" w:lastRow="0" w:noHBand="0" w:noVBand="1" w:val="04A0"/>
        <w:tblInd w:w="120" w:type="dxa"/>
        <w:tblCaption w:val="ConstellationOS research table 1"/>
      </w:tblPr>
      <w:tblGrid>
        <w:gridCol w:w="1700"/>
        <w:gridCol w:w="2750"/>
        <w:gridCol w:w="3650"/>
        <w:gridCol w:w="1260"/>
      </w:tblGrid>
      <w:tr>
        <w:trPr>
          <w:tblHeader w:val="true"/>
          <w:cantSplit w:val="true"/>
        </w:trPr>
        <w:tc>
          <w:tcPr>
            <w:tcW w:type="dxa" w:w="17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Record</w:t>
            </w:r>
          </w:p>
        </w:tc>
        <w:tc>
          <w:tcPr>
            <w:tcW w:type="dxa" w:w="275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Observed result</w:t>
            </w:r>
          </w:p>
        </w:tc>
        <w:tc>
          <w:tcPr>
            <w:tcW w:type="dxa" w:w="365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What it licenses us to infer</w:t>
            </w:r>
          </w:p>
        </w:tc>
        <w:tc>
          <w:tcPr>
            <w:tcW w:type="dxa" w:w="126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Tier</w:t>
            </w:r>
          </w:p>
        </w:tc>
      </w:tr>
      <w:tr>
        <w:trPr>
          <w:cantSplit w:val="true"/>
        </w:trPr>
        <w:tc>
          <w:tcPr>
            <w:tcW w:type="dxa" w:w="1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Atom/port graph</w:t>
            </w:r>
          </w:p>
        </w:tc>
        <w:tc>
          <w:tcPr>
            <w:tcW w:type="dxa" w:w="27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44 atoms; 98 port edges; 94 of 946 pairs connected (9.9%).</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The grammar is sparse; adding broad glue is high-risk.</w:t>
            </w:r>
          </w:p>
        </w:tc>
        <w:tc>
          <w:tcPr>
            <w:tcW w:type="dxa" w:w="12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A/B</w:t>
            </w:r>
          </w:p>
        </w:tc>
      </w:tr>
      <w:tr>
        <w:trPr>
          <w:cantSplit w:val="true"/>
        </w:trPr>
        <w:tc>
          <w:tcPr>
            <w:tcW w:type="dxa" w:w="1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Occupancy entropy</w:t>
            </w:r>
          </w:p>
        </w:tc>
        <w:tc>
          <w:tcPr>
            <w:tcW w:type="dxa" w:w="27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100k trials: 46,471 vs 25,167 unique molecules (+85%); same max intrinsic energy 0.826574.</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Exploration rose; quality ceiling did not.</w:t>
            </w:r>
          </w:p>
        </w:tc>
        <w:tc>
          <w:tcPr>
            <w:tcW w:type="dxa" w:w="12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w:t>
            </w:r>
          </w:p>
        </w:tc>
      </w:tr>
      <w:tr>
        <w:trPr>
          <w:cantSplit w:val="true"/>
        </w:trPr>
        <w:tc>
          <w:tcPr>
            <w:tcW w:type="dxa" w:w="1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Null-substrate repair</w:t>
            </w:r>
          </w:p>
        </w:tc>
        <w:tc>
          <w:tcPr>
            <w:tcW w:type="dxa" w:w="27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Relational chemistry moved deranged-minus-true final score from +0.002990 to -0.059224; 26 true-bank nuclei, 0 deranged.</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Relation-specific evidence can discriminate substrate correspondence.</w:t>
            </w:r>
          </w:p>
        </w:tc>
        <w:tc>
          <w:tcPr>
            <w:tcW w:type="dxa" w:w="12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w:t>
            </w:r>
          </w:p>
        </w:tc>
      </w:tr>
      <w:tr>
        <w:trPr>
          <w:cantSplit w:val="true"/>
        </w:trPr>
        <w:tc>
          <w:tcPr>
            <w:tcW w:type="dxa" w:w="1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Grammar valence</w:t>
            </w:r>
          </w:p>
        </w:tc>
        <w:tc>
          <w:tcPr>
            <w:tcW w:type="dxa" w:w="27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Adding dual P and TO emission for 'to' gave +35 DEV and +43 TEST complete parses; TEST max events stayed 832.</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Lexical-particle repair can outperform late broad bonds.</w:t>
            </w:r>
          </w:p>
        </w:tc>
        <w:tc>
          <w:tcPr>
            <w:tcW w:type="dxa" w:w="12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w:t>
            </w:r>
          </w:p>
        </w:tc>
      </w:tr>
      <w:tr>
        <w:trPr>
          <w:cantSplit w:val="true"/>
        </w:trPr>
        <w:tc>
          <w:tcPr>
            <w:tcW w:type="dxa" w:w="1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Silicone/carbon</w:t>
            </w:r>
          </w:p>
        </w:tc>
        <w:tc>
          <w:tcPr>
            <w:tcW w:type="dxa" w:w="27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Treatment transmutation rate 0.226 vs placebo 0.317; F1 fired.</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Cyclotron assembly did not author axioms.</w:t>
            </w:r>
          </w:p>
        </w:tc>
        <w:tc>
          <w:tcPr>
            <w:tcW w:type="dxa" w:w="12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w:t>
            </w:r>
          </w:p>
        </w:tc>
      </w:tr>
      <w:tr>
        <w:trPr>
          <w:cantSplit w:val="true"/>
        </w:trPr>
        <w:tc>
          <w:tcPr>
            <w:tcW w:type="dxa" w:w="1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Resonance beacon</w:t>
            </w:r>
          </w:p>
        </w:tc>
        <w:tc>
          <w:tcPr>
            <w:tcW w:type="dxa" w:w="27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Ambiguous-token UPOS 55.8% to 60.6% (+70); ambiguous parsed answers 30.8% to 23.1% (-2).</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Local semantic ranking did not transfer to derivation choice.</w:t>
            </w:r>
          </w:p>
        </w:tc>
        <w:tc>
          <w:tcPr>
            <w:tcW w:type="dxa" w:w="12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B</w:t>
            </w:r>
          </w:p>
        </w:tc>
      </w:tr>
      <w:tr>
        <w:trPr>
          <w:cantSplit w:val="true"/>
        </w:trPr>
        <w:tc>
          <w:tcPr>
            <w:tcW w:type="dxa" w:w="1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Recursive cascade</w:t>
            </w:r>
          </w:p>
        </w:tc>
        <w:tc>
          <w:tcPr>
            <w:tcW w:type="dxa" w:w="27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Four recursive paths removed: 25% CPU-pressure drop; macrophage reportedly suppressed 645 of 1,041 events on one sentinel.</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Privileges and cycles require explicit homeostasis.</w:t>
            </w:r>
          </w:p>
        </w:tc>
        <w:tc>
          <w:tcPr>
            <w:tcW w:type="dxa" w:w="12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w:t>
            </w:r>
          </w:p>
        </w:tc>
      </w:tr>
      <w:tr>
        <w:trPr>
          <w:cantSplit w:val="true"/>
        </w:trPr>
        <w:tc>
          <w:tcPr>
            <w:tcW w:type="dxa" w:w="1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Descending light design</w:t>
            </w:r>
          </w:p>
        </w:tc>
        <w:tc>
          <w:tcPr>
            <w:tcW w:type="dxa" w:w="27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Approx. 469 stable readings per parsed sentence; exact root-reachability walk proposed, not yet established as effective.</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There is a large support-identification target, but no measured benefit yet.</w:t>
            </w:r>
          </w:p>
        </w:tc>
        <w:tc>
          <w:tcPr>
            <w:tcW w:type="dxa" w:w="12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B/design</w:t>
            </w:r>
          </w:p>
        </w:tc>
      </w:tr>
    </w:tbl>
    <w:p>
      <w:pPr>
        <w:spacing w:after="40"/>
      </w:pPr>
    </w:p>
    <w:p>
      <w:pPr>
        <w:pStyle w:val="CaptionCustom"/>
      </w:pPr>
      <w:r>
        <w:rPr>
          <w:rFonts w:ascii="Calibri" w:hAnsi="Calibri" w:eastAsia="Calibri"/>
          <w:i/>
          <w:color w:val="627180"/>
          <w:sz w:val="18"/>
        </w:rPr>
        <w:t>Table 1. Internal evidence ledger. Tier labels describe reproducibility status, not scientific truth. Configuration changes across dates mean rows should not be combined as one continuous benchmark.</w:t>
      </w:r>
    </w:p>
    <w:p>
      <w:pPr>
        <w:pStyle w:val="Heading2"/>
      </w:pPr>
      <w:r>
        <w:t>3.2 What the evidence supports</w:t>
      </w:r>
    </w:p>
    <w:p>
      <w:pPr>
        <w:numPr>
          <w:ilvl w:val="0"/>
          <w:numId w:val="10"/>
        </w:numPr>
      </w:pPr>
      <w:r>
        <w:rPr>
          <w:rFonts w:ascii="Calibri" w:hAnsi="Calibri" w:eastAsia="Calibri"/>
        </w:rPr>
        <w:t>The system can benefit from upstream lexical differentiation. The 'to' result is the clearest example: adding a missing reading activated existing grammar rather than inventing a new binary rule.</w:t>
      </w:r>
    </w:p>
    <w:p>
      <w:pPr>
        <w:numPr>
          <w:ilvl w:val="0"/>
          <w:numId w:val="10"/>
        </w:numPr>
      </w:pPr>
      <w:r>
        <w:rPr>
          <w:rFonts w:ascii="Calibri" w:hAnsi="Calibri" w:eastAsia="Calibri"/>
        </w:rPr>
        <w:t>Semantic content becomes useful when it is relational. Concept Chemistry v2 succeeded because corpus co-occurrence was folded into a relation score and unsupported channels abstained.</w:t>
      </w:r>
    </w:p>
    <w:p>
      <w:pPr>
        <w:numPr>
          <w:ilvl w:val="0"/>
          <w:numId w:val="10"/>
        </w:numPr>
      </w:pPr>
      <w:r>
        <w:rPr>
          <w:rFonts w:ascii="Calibri" w:hAnsi="Calibri" w:eastAsia="Calibri"/>
        </w:rPr>
        <w:t>Packed forests preserve ambiguity but create an inference problem. Scoring a projected pair after packing is not equivalent to scoring a concrete derivation in the forest.</w:t>
      </w:r>
    </w:p>
    <w:p>
      <w:pPr>
        <w:numPr>
          <w:ilvl w:val="0"/>
          <w:numId w:val="10"/>
        </w:numPr>
      </w:pPr>
      <w:r>
        <w:rPr>
          <w:rFonts w:ascii="Calibri" w:hAnsi="Calibri" w:eastAsia="Calibri"/>
        </w:rPr>
        <w:t>Diversity and semantic value are distinct. Occupancy entropy increased yield, while the maximum intrinsic-energy ceiling remained fixed.</w:t>
      </w:r>
    </w:p>
    <w:p>
      <w:pPr>
        <w:numPr>
          <w:ilvl w:val="0"/>
          <w:numId w:val="10"/>
        </w:numPr>
      </w:pPr>
      <w:r>
        <w:rPr>
          <w:rFonts w:ascii="Calibri" w:hAnsi="Calibri" w:eastAsia="Calibri"/>
        </w:rPr>
        <w:t>Safety improvements can be measured independently from linguistic improvements. Agenda-direction parity, centralized bond admission, and provenance-sensitive VP-to-S demonstrate that explicit laws can eliminate privilege leaks without deleting legitimate roots.</w:t>
      </w:r>
    </w:p>
    <w:p>
      <w:pPr>
        <w:pStyle w:val="Heading2"/>
      </w:pPr>
      <w:r>
        <w:t>3.3 What the evidence does not support</w:t>
      </w:r>
    </w:p>
    <w:p>
      <w:pPr>
        <w:numPr>
          <w:ilvl w:val="0"/>
          <w:numId w:val="10"/>
        </w:numPr>
      </w:pPr>
      <w:r>
        <w:rPr>
          <w:rFonts w:ascii="Calibri" w:hAnsi="Calibri" w:eastAsia="Calibri"/>
        </w:rPr>
        <w:t>It does not support automatic conversion of approximations into grammar. The silicone/carbon placebo performed better than treatment.</w:t>
      </w:r>
    </w:p>
    <w:p>
      <w:pPr>
        <w:numPr>
          <w:ilvl w:val="0"/>
          <w:numId w:val="10"/>
        </w:numPr>
      </w:pPr>
      <w:r>
        <w:rPr>
          <w:rFonts w:ascii="Calibri" w:hAnsi="Calibri" w:eastAsia="Calibri"/>
        </w:rPr>
        <w:t>It does not support the claim that resonance or local neighbor locks currently choose better clause-level parses.</w:t>
      </w:r>
    </w:p>
    <w:p>
      <w:pPr>
        <w:numPr>
          <w:ilvl w:val="0"/>
          <w:numId w:val="10"/>
        </w:numPr>
      </w:pPr>
      <w:r>
        <w:rPr>
          <w:rFonts w:ascii="Calibri" w:hAnsi="Calibri" w:eastAsia="Calibri"/>
        </w:rPr>
        <w:t>It does not show that more particles, more bonds, or more molecules improve correctness.</w:t>
      </w:r>
    </w:p>
    <w:p>
      <w:pPr>
        <w:numPr>
          <w:ilvl w:val="0"/>
          <w:numId w:val="10"/>
        </w:numPr>
      </w:pPr>
      <w:r>
        <w:rPr>
          <w:rFonts w:ascii="Calibri" w:hAnsi="Calibri" w:eastAsia="Calibri"/>
        </w:rPr>
        <w:t>It does not show that suppression is safe merely because event counts fall. Spanning and containment are mandatory co-endpoints.</w:t>
      </w:r>
    </w:p>
    <w:p>
      <w:pPr>
        <w:numPr>
          <w:ilvl w:val="0"/>
          <w:numId w:val="10"/>
        </w:numPr>
      </w:pPr>
      <w:r>
        <w:rPr>
          <w:rFonts w:ascii="Calibri" w:hAnsi="Calibri" w:eastAsia="Calibri"/>
        </w:rPr>
        <w:t>It does not establish cross-domain or cross-linguistic generalization. Most evidence is drawn from a frozen English Web Treebank-derived gate and repository-specific architectural banks.</w:t>
      </w:r>
    </w:p>
    <w:p>
      <w:pPr>
        <w:pStyle w:val="Heading1"/>
      </w:pPr>
      <w:r>
        <w:t>4. Research synthesis and ranking method</w:t>
      </w:r>
    </w:p>
    <w:p>
      <w:pPr>
        <w:pStyle w:val="Heading2"/>
      </w:pPr>
      <w:r>
        <w:t>4.1 Established research lines</w:t>
      </w:r>
    </w:p>
    <w:p>
      <w:r>
        <w:rPr>
          <w:rFonts w:ascii="Calibri" w:hAnsi="Calibri" w:eastAsia="Calibri"/>
        </w:rPr>
        <w:t>The proposed particle program is a synthesis of six mature research traditions. Typed feature structures and unification grammars show how linguistic objects can carry declarative, partially specified features (Carpenter, Pollard, and Franz, 1991). FrameNet and PropBank demonstrate corpus-grounded links among lexical units, frames, predicates, and semantic roles (Baker, Fillmore, and Lowe, 1998; Palmer, Gildea, and Kingsbury, 2005). Selectional-preference research models how predicates prefer some argument classes or headwords over others, including inverse preferences from arguments back to predicates (Resnik, 1996; Erk, Pado, and Pado, 2010).</w:t>
      </w:r>
    </w:p>
    <w:p>
      <w:r>
        <w:rPr>
          <w:rFonts w:ascii="Calibri" w:hAnsi="Calibri" w:eastAsia="Calibri"/>
        </w:rPr>
        <w:t>Semiring parsing, packed-forest reranking, expectation semirings, and belief propagation show how many derivations can be represented compactly and scored through local factors or non-local features (Goodman, 1999; Huang, 2008; Li and Eisner, 2009; Smith and Eisner, 2008). Provenance semirings, abstract interpretation, effect systems, and size-change termination show how annotations can carry derivational history and enforce conservative safety properties (Cousot and Cousot, 1977; Gifford and Lucassen, 1986; Lee, Jones, and Ben-Amram, 2001; Green, Karvounarakis, and Tannen, 2007).</w:t>
      </w:r>
    </w:p>
    <w:p>
      <w:r>
        <w:rPr>
          <w:rFonts w:ascii="Calibri" w:hAnsi="Calibri" w:eastAsia="Calibri"/>
        </w:rPr>
        <w:t>Tensor-product and holographic representations provide methods for binding fillers to roles without discarding compositional structure (Smolensky, 1990; Plate, 1995). Information bottleneck and minimum description length formalize the trade-off between retaining task-relevant information and compressing redundant structure (Rissanen, 1978; Tishby, Pereira, and Bialek, 1999). Control tasks, contrast sets, behavioral testing, invariant prediction, Bayesian experimental design, and determinantal point processes provide tools for falsifying feature claims, selecting informative experiments, and diversifying candidate sets (Chaloner and Verdinelli, 1995; Hewitt and Liang, 2019; Ribeiro et al., 2020; Gardner et al., 2020; Kulesza and Taskar, 2012).</w:t>
      </w:r>
    </w:p>
    <w:p>
      <w:pPr>
        <w:pStyle w:val="Heading2"/>
      </w:pPr>
      <w:r>
        <w:t>4.2 Ranking criteria</w:t>
      </w:r>
    </w:p>
    <w:p>
      <w:r>
        <w:rPr>
          <w:rFonts w:ascii="Calibri" w:hAnsi="Calibri" w:eastAsia="Calibri"/>
        </w:rPr>
        <w:t>Each theory receives an ordinal priority score from 0 to 100. The score is not a probability of success and is not fitted to parser results. It is a decision aid built from six declared dimensions: research support (25%), causal specificity (20%), fit to the current architecture (20%), falsifiability (15%), safety and reversibility (10%), and implementation tractability (10%). A high score means 'test earlier,' not 'believe more strongly.'</w:t>
      </w:r>
    </w:p>
    <w:p>
      <w:pPr>
        <w:pStyle w:val="Equation"/>
        <w:jc w:val="center"/>
      </w:pPr>
      <w:r>
        <w:rPr>
          <w:rFonts w:ascii="Consolas" w:hAnsi="Consolas" w:eastAsia="Consolas"/>
          <w:color w:val="17324D"/>
          <w:sz w:val="19"/>
        </w:rPr>
        <w:t>Priority = .25 Research + .20 Causal + .20 Fit + .15 Falsifiable + .10 Safe + .10 Tractable</w:t>
      </w:r>
    </w:p>
    <w:p>
      <w:r>
        <w:rPr>
          <w:rFonts w:ascii="Calibri" w:hAnsi="Calibri" w:eastAsia="Calibri"/>
        </w:rPr>
        <w:t>Expected payoff is described qualitatively rather than assigned a numeric effect size because the current gate contains only 26 ambiguous parsed sentences in the beacon report. That slice is too small to justify precise sentence-level forecasts. Where a minimum meaningful difference is specified, it is a promotion threshold, not a prediction.</w:t>
      </w:r>
    </w:p>
    <w:p>
      <w:pPr>
        <w:pStyle w:val="Heading1"/>
      </w:pPr>
      <w:r>
        <w:t>5. Ranked top ten theories</w:t>
      </w:r>
    </w:p>
    <w:tbl>
      <w:tblPr>
        <w:tblStyle w:val="TableGrid"/>
        <w:tblW w:type="dxa" w:w="9360"/>
        <w:jc w:val="left"/>
        <w:tblLayout w:type="fixed"/>
        <w:tblLook w:firstColumn="1" w:firstRow="1" w:lastColumn="0" w:lastRow="0" w:noHBand="0" w:noVBand="1" w:val="04A0"/>
        <w:tblInd w:w="120" w:type="dxa"/>
        <w:tblCaption w:val="ConstellationOS research table 2"/>
      </w:tblPr>
      <w:tblGrid>
        <w:gridCol w:w="600"/>
        <w:gridCol w:w="2900"/>
        <w:gridCol w:w="1500"/>
        <w:gridCol w:w="800"/>
        <w:gridCol w:w="3560"/>
      </w:tblGrid>
      <w:tr>
        <w:trPr>
          <w:tblHeader w:val="true"/>
          <w:cantSplit w:val="true"/>
        </w:trPr>
        <w:tc>
          <w:tcPr>
            <w:tcW w:type="dxa" w:w="6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Rank</w:t>
            </w:r>
          </w:p>
        </w:tc>
        <w:tc>
          <w:tcPr>
            <w:tcW w:type="dxa" w:w="29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Theory</w:t>
            </w:r>
          </w:p>
        </w:tc>
        <w:tc>
          <w:tcPr>
            <w:tcW w:type="dxa" w:w="15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Primary layer</w:t>
            </w:r>
          </w:p>
        </w:tc>
        <w:tc>
          <w:tcPr>
            <w:tcW w:type="dxa" w:w="8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Score</w:t>
            </w:r>
          </w:p>
        </w:tc>
        <w:tc>
          <w:tcPr>
            <w:tcW w:type="dxa" w:w="356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Core objective</w:t>
            </w:r>
          </w:p>
        </w:tc>
      </w:tr>
      <w:tr>
        <w:trPr>
          <w:cantSplit w:val="true"/>
        </w:trPr>
        <w:tc>
          <w:tcPr>
            <w:tcW w:type="dxa" w:w="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1</w:t>
            </w:r>
          </w:p>
        </w:tc>
        <w:tc>
          <w:tcPr>
            <w:tcW w:type="dxa" w:w="29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Typed Semantic Microfeature Lattice</w:t>
            </w:r>
          </w:p>
        </w:tc>
        <w:tc>
          <w:tcPr>
            <w:tcW w:type="dxa" w:w="15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Lexical atoms</w:t>
            </w:r>
          </w:p>
        </w:tc>
        <w:tc>
          <w:tcPr>
            <w:tcW w:type="dxa" w:w="8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92</w:t>
            </w:r>
          </w:p>
        </w:tc>
        <w:tc>
          <w:tcPr>
            <w:tcW w:type="dxa" w:w="35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Create a sparse, interpretable semantic substrate without changing grammar.</w:t>
            </w:r>
          </w:p>
        </w:tc>
      </w:tr>
      <w:tr>
        <w:trPr>
          <w:cantSplit w:val="true"/>
        </w:trPr>
        <w:tc>
          <w:tcPr>
            <w:tcW w:type="dxa" w:w="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2</w:t>
            </w:r>
          </w:p>
        </w:tc>
        <w:tc>
          <w:tcPr>
            <w:tcW w:type="dxa" w:w="29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Bidirectional Selectional-Preference Charges</w:t>
            </w:r>
          </w:p>
        </w:tc>
        <w:tc>
          <w:tcPr>
            <w:tcW w:type="dxa" w:w="15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Local compatibility</w:t>
            </w:r>
          </w:p>
        </w:tc>
        <w:tc>
          <w:tcPr>
            <w:tcW w:type="dxa" w:w="8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90</w:t>
            </w:r>
          </w:p>
        </w:tc>
        <w:tc>
          <w:tcPr>
            <w:tcW w:type="dxa" w:w="35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Improve ambiguous readings and attachments using relation-specific soft evidence.</w:t>
            </w:r>
          </w:p>
        </w:tc>
      </w:tr>
      <w:tr>
        <w:trPr>
          <w:cantSplit w:val="true"/>
        </w:trPr>
        <w:tc>
          <w:tcPr>
            <w:tcW w:type="dxa" w:w="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3</w:t>
            </w:r>
          </w:p>
        </w:tc>
        <w:tc>
          <w:tcPr>
            <w:tcW w:type="dxa" w:w="29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Packed-Forest Inside-Outside Particles</w:t>
            </w:r>
          </w:p>
        </w:tc>
        <w:tc>
          <w:tcPr>
            <w:tcW w:type="dxa" w:w="15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Derivation ranking</w:t>
            </w:r>
          </w:p>
        </w:tc>
        <w:tc>
          <w:tcPr>
            <w:tcW w:type="dxa" w:w="8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89</w:t>
            </w:r>
          </w:p>
        </w:tc>
        <w:tc>
          <w:tcPr>
            <w:tcW w:type="dxa" w:w="35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Score concrete derivations instead of projected pairs; attack beacon's global failure.</w:t>
            </w:r>
          </w:p>
        </w:tc>
      </w:tr>
      <w:tr>
        <w:trPr>
          <w:cantSplit w:val="true"/>
        </w:trPr>
        <w:tc>
          <w:tcPr>
            <w:tcW w:type="dxa" w:w="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4</w:t>
            </w:r>
          </w:p>
        </w:tc>
        <w:tc>
          <w:tcPr>
            <w:tcW w:type="dxa" w:w="29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Provenance and Recursive-Privilege Isotopes</w:t>
            </w:r>
          </w:p>
        </w:tc>
        <w:tc>
          <w:tcPr>
            <w:tcW w:type="dxa" w:w="15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Safety/control</w:t>
            </w:r>
          </w:p>
        </w:tc>
        <w:tc>
          <w:tcPr>
            <w:tcW w:type="dxa" w:w="8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87</w:t>
            </w:r>
          </w:p>
        </w:tc>
        <w:tc>
          <w:tcPr>
            <w:tcW w:type="dxa" w:w="35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Prevent ambiguity or preservative cycles from minting recursive privileges.</w:t>
            </w:r>
          </w:p>
        </w:tc>
      </w:tr>
      <w:tr>
        <w:trPr>
          <w:cantSplit w:val="true"/>
        </w:trPr>
        <w:tc>
          <w:tcPr>
            <w:tcW w:type="dxa" w:w="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5</w:t>
            </w:r>
          </w:p>
        </w:tc>
        <w:tc>
          <w:tcPr>
            <w:tcW w:type="dxa" w:w="29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Root-Reachability Identity Photons</w:t>
            </w:r>
          </w:p>
        </w:tc>
        <w:tc>
          <w:tcPr>
            <w:tcW w:type="dxa" w:w="15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Exact support</w:t>
            </w:r>
          </w:p>
        </w:tc>
        <w:tc>
          <w:tcPr>
            <w:tcW w:type="dxa" w:w="8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84</w:t>
            </w:r>
          </w:p>
        </w:tc>
        <w:tc>
          <w:tcPr>
            <w:tcW w:type="dxa" w:w="35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Identify dead readings after parsing with a provably parse-preserving graph walk.</w:t>
            </w:r>
          </w:p>
        </w:tc>
      </w:tr>
      <w:tr>
        <w:trPr>
          <w:cantSplit w:val="true"/>
        </w:trPr>
        <w:tc>
          <w:tcPr>
            <w:tcW w:type="dxa" w:w="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6</w:t>
            </w:r>
          </w:p>
        </w:tc>
        <w:tc>
          <w:tcPr>
            <w:tcW w:type="dxa" w:w="29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Contrastive Spectral Response Particles</w:t>
            </w:r>
          </w:p>
        </w:tc>
        <w:tc>
          <w:tcPr>
            <w:tcW w:type="dxa" w:w="15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Diagnostics</w:t>
            </w:r>
          </w:p>
        </w:tc>
        <w:tc>
          <w:tcPr>
            <w:tcW w:type="dxa" w:w="8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81</w:t>
            </w:r>
          </w:p>
        </w:tc>
        <w:tc>
          <w:tcPr>
            <w:tcW w:type="dxa" w:w="35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Define meaning by stable causal response to controlled perturbations, not labels.</w:t>
            </w:r>
          </w:p>
        </w:tc>
      </w:tr>
      <w:tr>
        <w:trPr>
          <w:cantSplit w:val="true"/>
        </w:trPr>
        <w:tc>
          <w:tcPr>
            <w:tcW w:type="dxa" w:w="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7</w:t>
            </w:r>
          </w:p>
        </w:tc>
        <w:tc>
          <w:tcPr>
            <w:tcW w:type="dxa" w:w="29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Role-Filler Binding Particles</w:t>
            </w:r>
          </w:p>
        </w:tc>
        <w:tc>
          <w:tcPr>
            <w:tcW w:type="dxa" w:w="15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Compositional meaning</w:t>
            </w:r>
          </w:p>
        </w:tc>
        <w:tc>
          <w:tcPr>
            <w:tcW w:type="dxa" w:w="8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78</w:t>
            </w:r>
          </w:p>
        </w:tc>
        <w:tc>
          <w:tcPr>
            <w:tcW w:type="dxa" w:w="35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Preserve who-did-what-to-whom information inside packed alternatives.</w:t>
            </w:r>
          </w:p>
        </w:tc>
      </w:tr>
      <w:tr>
        <w:trPr>
          <w:cantSplit w:val="true"/>
        </w:trPr>
        <w:tc>
          <w:tcPr>
            <w:tcW w:type="dxa" w:w="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8</w:t>
            </w:r>
          </w:p>
        </w:tc>
        <w:tc>
          <w:tcPr>
            <w:tcW w:type="dxa" w:w="29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Information-Bottleneck Neutrons</w:t>
            </w:r>
          </w:p>
        </w:tc>
        <w:tc>
          <w:tcPr>
            <w:tcW w:type="dxa" w:w="15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Purification</w:t>
            </w:r>
          </w:p>
        </w:tc>
        <w:tc>
          <w:tcPr>
            <w:tcW w:type="dxa" w:w="8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76</w:t>
            </w:r>
          </w:p>
        </w:tc>
        <w:tc>
          <w:tcPr>
            <w:tcW w:type="dxa" w:w="35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Compress particle inventory while preserving held-out linguistic value.</w:t>
            </w:r>
          </w:p>
        </w:tc>
      </w:tr>
      <w:tr>
        <w:trPr>
          <w:cantSplit w:val="true"/>
        </w:trPr>
        <w:tc>
          <w:tcPr>
            <w:tcW w:type="dxa" w:w="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9</w:t>
            </w:r>
          </w:p>
        </w:tc>
        <w:tc>
          <w:tcPr>
            <w:tcW w:type="dxa" w:w="29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Bayesian Valence-Vacancy Catalysts</w:t>
            </w:r>
          </w:p>
        </w:tc>
        <w:tc>
          <w:tcPr>
            <w:tcW w:type="dxa" w:w="15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Discovery</w:t>
            </w:r>
          </w:p>
        </w:tc>
        <w:tc>
          <w:tcPr>
            <w:tcW w:type="dxa" w:w="8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74</w:t>
            </w:r>
          </w:p>
        </w:tc>
        <w:tc>
          <w:tcPr>
            <w:tcW w:type="dxa" w:w="35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Choose the next lexical or grammar experiment by expected information gain.</w:t>
            </w:r>
          </w:p>
        </w:tc>
      </w:tr>
      <w:tr>
        <w:trPr>
          <w:cantSplit w:val="true"/>
        </w:trPr>
        <w:tc>
          <w:tcPr>
            <w:tcW w:type="dxa" w:w="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10</w:t>
            </w:r>
          </w:p>
        </w:tc>
        <w:tc>
          <w:tcPr>
            <w:tcW w:type="dxa" w:w="29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Determinantal Diversity Particles</w:t>
            </w:r>
          </w:p>
        </w:tc>
        <w:tc>
          <w:tcPr>
            <w:tcW w:type="dxa" w:w="15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Cyclotron search</w:t>
            </w:r>
          </w:p>
        </w:tc>
        <w:tc>
          <w:tcPr>
            <w:tcW w:type="dxa" w:w="8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70</w:t>
            </w:r>
          </w:p>
        </w:tc>
        <w:tc>
          <w:tcPr>
            <w:tcW w:type="dxa" w:w="35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Diversify high-quality candidates, not merely the count of unique molecules.</w:t>
            </w:r>
          </w:p>
        </w:tc>
      </w:tr>
    </w:tbl>
    <w:p>
      <w:pPr>
        <w:spacing w:after="40"/>
      </w:pPr>
    </w:p>
    <w:p>
      <w:pPr>
        <w:pStyle w:val="CaptionCustom"/>
      </w:pPr>
      <w:r>
        <w:rPr>
          <w:rFonts w:ascii="Calibri" w:hAnsi="Calibri" w:eastAsia="Calibri"/>
          <w:i/>
          <w:color w:val="627180"/>
          <w:sz w:val="18"/>
        </w:rPr>
        <w:t>Table 2. Ordinal research priority. Scores rank experiments; they do not estimate accuracy gains or posterior probabilities.</w:t>
      </w:r>
    </w:p>
    <w:p>
      <w:pPr>
        <w:pStyle w:val="Heading2"/>
      </w:pPr>
      <w:r>
        <w:t>5.1 Theory 1 - Typed Semantic Microfeature Lattice</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A small lattice of typed semantic microfeatures attached to lexical atoms will improve downstream discrimination more reliably than free-form labels or dense semantic vectors because it supports explicit compatibility, inheritance, abstention, and audit.</w:t>
      </w:r>
    </w:p>
    <w:p>
      <w:pPr>
        <w:pStyle w:val="Heading3"/>
      </w:pPr>
      <w:r>
        <w:t>Mechanism and research basis</w:t>
      </w:r>
    </w:p>
    <w:p>
      <w:r>
        <w:rPr>
          <w:rFonts w:ascii="Calibri" w:hAnsi="Calibri" w:eastAsia="Calibri"/>
        </w:rPr>
        <w:t>Typed feature structures represent linguistic objects as partial descriptions whose values can be shared, inherited, and constrained. The practical lesson for ConstellationOS is not to rebuild HPSG. It is to give atoms a bounded feature schema that can state information such as entity.animacy=animate, entity.concreteness=abstract, event.motion=true, event.changeOfState=true, property.dimension=color, or role.capacity=Agent. FrameNet, PropBank, and VerbNet provide evidence that lexical semantics and argument roles can be represented in structured, corpus-grounded inventories rather than a single opaque similarity score.</w:t>
      </w:r>
    </w:p>
    <w:p>
      <w:pPr>
        <w:pStyle w:val="Equation"/>
        <w:jc w:val="center"/>
      </w:pPr>
      <w:r>
        <w:rPr>
          <w:rFonts w:ascii="Consolas" w:hAnsi="Consolas" w:eastAsia="Consolas"/>
          <w:color w:val="17324D"/>
          <w:sz w:val="19"/>
        </w:rPr>
        <w:t>atom.features = {dimension -&gt; value, confidence, evidenceRef}; unknown != false</w:t>
      </w:r>
    </w:p>
    <w:p>
      <w:r>
        <w:rPr>
          <w:rFonts w:ascii="Calibri" w:hAnsi="Calibri" w:eastAsia="Calibri"/>
        </w:rPr>
        <w:t>The lattice must distinguish unknown, compatible, incompatible, and contested values. Unknown evidence abstains. Contradictions may lower a derivation score, but they cannot reject a bond in Phase 1. Inheritance should be shallow and named: animate implies entity; motion implies event; color implies property. The system should begin with approximately 24 to 40 high-coverage microfeatures rather than hundreds of WordNet-derived labels. The target is discriminative sufficiency, not encyclopedic completeness.</w:t>
      </w:r>
    </w:p>
    <w:p>
      <w:pPr>
        <w:pStyle w:val="Heading3"/>
      </w:pPr>
      <w:r>
        <w:t>ConstellationOS fit</w:t>
      </w:r>
    </w:p>
    <w:p>
      <w:r>
        <w:rPr>
          <w:rFonts w:ascii="Calibri" w:hAnsi="Calibri" w:eastAsia="Calibri"/>
        </w:rPr>
        <w:t>This theory formalizes the user's earlier proposal for atoms such as ADJ[quality:dark], V[motion], and N[abstract]. It also explains why the beacon helped token choices: local context can distinguish semantic dimensions. Unlike the beacon's current aura, however, the feature lattice gives each contribution a human-readable type and evidence source. It can reuse existing Leximancy, WordNet-distance, adjective substrate, and corpus-frequency channels without importing their outputs directly into grammar.</w:t>
      </w:r>
    </w:p>
    <w:p>
      <w:pPr>
        <w:pStyle w:val="Heading3"/>
      </w:pPr>
      <w:r>
        <w:t>Minimal implementation</w:t>
      </w:r>
    </w:p>
    <w:p>
      <w:pPr>
        <w:numPr>
          <w:ilvl w:val="0"/>
          <w:numId w:val="10"/>
        </w:numPr>
      </w:pPr>
      <w:r>
        <w:rPr>
          <w:rFonts w:ascii="Calibri" w:hAnsi="Calibri" w:eastAsia="Calibri"/>
        </w:rPr>
        <w:t>Add a versioned SemanticFeatureSchema with explicit dimensions, allowed values, inheritance, and an UNKNOWN value.</w:t>
      </w:r>
    </w:p>
    <w:p>
      <w:pPr>
        <w:numPr>
          <w:ilvl w:val="0"/>
          <w:numId w:val="10"/>
        </w:numPr>
      </w:pPr>
      <w:r>
        <w:rPr>
          <w:rFonts w:ascii="Calibri" w:hAnsi="Calibri" w:eastAsia="Calibri"/>
        </w:rPr>
        <w:t>Attach features to emitted lexical atoms as immutable arrays sorted by feature ID. No I/O occurs inside composePacked; the atomizer receives a preloaded feature provider.</w:t>
      </w:r>
    </w:p>
    <w:p>
      <w:pPr>
        <w:numPr>
          <w:ilvl w:val="0"/>
          <w:numId w:val="10"/>
        </w:numPr>
      </w:pPr>
      <w:r>
        <w:rPr>
          <w:rFonts w:ascii="Calibri" w:hAnsi="Calibri" w:eastAsia="Calibri"/>
        </w:rPr>
        <w:t>Emit evidence provenance: source, resource version, corpus checksum, extraction rule, and confidence.</w:t>
      </w:r>
    </w:p>
    <w:p>
      <w:pPr>
        <w:numPr>
          <w:ilvl w:val="0"/>
          <w:numId w:val="10"/>
        </w:numPr>
      </w:pPr>
      <w:r>
        <w:rPr>
          <w:rFonts w:ascii="Calibri" w:hAnsi="Calibri" w:eastAsia="Calibri"/>
        </w:rPr>
        <w:t>Add a compatibility observer that reports feature agreement, contradiction, and abstention for every licensed derivation, but cannot affect admission.</w:t>
      </w:r>
    </w:p>
    <w:p>
      <w:pPr>
        <w:numPr>
          <w:ilvl w:val="0"/>
          <w:numId w:val="10"/>
        </w:numPr>
      </w:pPr>
      <w:r>
        <w:rPr>
          <w:rFonts w:ascii="Calibri" w:hAnsi="Calibri" w:eastAsia="Calibri"/>
        </w:rPr>
        <w:t>Freeze a particle-schema checksum into the bytecode packet so UI and server cannot silently disagree about meanings.</w:t>
      </w:r>
    </w:p>
    <w:p>
      <w:pPr>
        <w:pStyle w:val="Heading3"/>
      </w:pPr>
      <w:r>
        <w:t>Preregistered experiment</w:t>
      </w:r>
    </w:p>
    <w:p>
      <w:r>
        <w:rPr>
          <w:rFonts w:ascii="Calibri" w:hAnsi="Calibri" w:eastAsia="Calibri"/>
        </w:rPr>
        <w:t>Primary endpoint: accuracy on ambiguous emitted UPOS readings and attachment-family purity on a sealed TEST set. Secondary endpoints: gold containment, top-1 head accuracy, mean and maximum events, and feature coverage. Treatment is the real feature mapping. Controls are (a) feature-value derangement within each dimension while preserving marginal frequencies, (b) label-only features with identical dimensionality, and (c) a null arm in which all particles abstain.</w:t>
      </w:r>
    </w:p>
    <w:p>
      <w:r>
        <w:rPr>
          <w:rFonts w:ascii="Calibri" w:hAnsi="Calibri" w:eastAsia="Calibri"/>
        </w:rPr>
        <w:t>Promotion threshold: at least +2.0 absolute points on ambiguous-token accuracy or a statistically supported improvement in attachment-family purity, with no reduction in coverage, containment, or protected garden-path pins and no event increase above the declared compute ceiling. The theory is falsified for the initial inventory if real features do not beat the deranged arm, if gains occur only on already-unambiguous tokens, or if more than half of scored derivations use UNKNOWN for every semantic dimension.</w:t>
      </w:r>
    </w:p>
    <w:p>
      <w:pPr>
        <w:pStyle w:val="Heading3"/>
      </w:pPr>
      <w:r>
        <w:t>Risks</w:t>
      </w:r>
    </w:p>
    <w:p>
      <w:r>
        <w:rPr>
          <w:rFonts w:ascii="Calibri" w:hAnsi="Calibri" w:eastAsia="Calibri"/>
        </w:rPr>
        <w:t>The largest risk is ontology overreach: features can become hand-authored answers. Gold dependency labels must never be encoded as lexical particles for the same evaluation examples. A second risk is lexical coverage bias: well-resourced words may receive stronger evidence. Report results by frequency, genre, and known/unknown status. A third risk is double counting if WordNet, corpus PMI, and Leximancy features all derive from the same evidence. Provenance grouping should cap correlated channels.</w:t>
      </w:r>
    </w:p>
    <w:p>
      <w:pPr>
        <w:pStyle w:val="Heading2"/>
      </w:pPr>
      <w:r>
        <w:t>5.2 Theory 2 - Bidirectional Selectional-Preference Charges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Predicates and argument candidates can exchange soft, bidirectional compatibility charges learned from corpus roles. These charges should improve local ambiguity and attachments while abstaining on unseen relations.</w:t>
      </w:r>
    </w:p>
    <w:p>
      <w:pPr>
        <w:pStyle w:val="Heading3"/>
      </w:pPr>
      <w:r>
        <w:t>Mechanism and research basis</w:t>
      </w:r>
    </w:p>
    <w:p>
      <w:r>
        <w:rPr>
          <w:rFonts w:ascii="Calibri" w:hAnsi="Calibri" w:eastAsia="Calibri"/>
        </w:rPr>
        <w:t>Selectional preference models estimate how strongly a predicate favors an argument class or headword. Resnik's information-theoretic formulation quantified the strength of a predicate's selectional constraints. Erk, Pado, and Pado extended the idea with corpus-driven vector-space models that score regular preferences (predicate to argument) and inverse preferences (argument to predicate). That bidirectionality maps directly onto ConstellationOS offers and seeks: an atom can broadcast what semantic filler it expects and what predicates it plausibly satisfies.</w:t>
      </w:r>
    </w:p>
    <w:p>
      <w:pPr>
        <w:pStyle w:val="Equation"/>
        <w:jc w:val="center"/>
      </w:pPr>
      <w:r>
        <w:rPr>
          <w:rFonts w:ascii="Consolas" w:hAnsi="Consolas" w:eastAsia="Consolas"/>
          <w:color w:val="17324D"/>
          <w:sz w:val="19"/>
        </w:rPr>
        <w:t>charge(a, role, b) = log P(b | a, role) - log P(b)</w:t>
      </w:r>
    </w:p>
    <w:p>
      <w:pPr>
        <w:pStyle w:val="Equation"/>
        <w:jc w:val="center"/>
      </w:pPr>
      <w:r>
        <w:rPr>
          <w:rFonts w:ascii="Consolas" w:hAnsi="Consolas" w:eastAsia="Consolas"/>
          <w:color w:val="17324D"/>
          <w:sz w:val="19"/>
        </w:rPr>
        <w:t>phi_sel = w_fwd * charge(predicate, role, filler) + w_inv * charge(filler, inverseRole, predicate)</w:t>
      </w:r>
    </w:p>
    <w:p>
      <w:r>
        <w:rPr>
          <w:rFonts w:ascii="Calibri" w:hAnsi="Calibri" w:eastAsia="Calibri"/>
        </w:rPr>
        <w:t>Counts should be smoothed and backed off through the microfeature lattice. A known verb with an unseen noun may score the noun's semantic class. A low-count relation abstains rather than contributing a default 0.5. Charges are local factors over licensed derivations. Negative charge lowers a score; it does not delete a derivation. This is critical because metaphor, coercion, and creative language legitimately violate typical selectional preferences.</w:t>
      </w:r>
    </w:p>
    <w:p>
      <w:pPr>
        <w:pStyle w:val="Heading3"/>
      </w:pPr>
      <w:r>
        <w:t>ConstellationOS fit</w:t>
      </w:r>
    </w:p>
    <w:p>
      <w:r>
        <w:rPr>
          <w:rFonts w:ascii="Calibri" w:hAnsi="Calibri" w:eastAsia="Calibri"/>
        </w:rPr>
        <w:t>The existing Concept Chemistry result is unusually relevant. Its v2 repair became discriminating only after it incorporated relational corpus PMI and allowed missing channels to abstain. Selectional charges extend the same principle from architecture labels to predicate-argument relations. They also offer a more principled version of 'electromagnetic pull': potential is the log compatibility of a concrete relation, not a global voltage that rearranges molecules.</w:t>
      </w:r>
    </w:p>
    <w:p>
      <w:pPr>
        <w:pStyle w:val="Heading3"/>
      </w:pPr>
      <w:r>
        <w:t>Minimal implementation</w:t>
      </w:r>
    </w:p>
    <w:p>
      <w:pPr>
        <w:numPr>
          <w:ilvl w:val="0"/>
          <w:numId w:val="10"/>
        </w:numPr>
      </w:pPr>
      <w:r>
        <w:rPr>
          <w:rFonts w:ascii="Calibri" w:hAnsi="Calibri" w:eastAsia="Calibri"/>
        </w:rPr>
        <w:t>Build a frozen selectional index keyed by predicate lemma, coarse role, filler lemma or semantic class, corpus version, and count.</w:t>
      </w:r>
    </w:p>
    <w:p>
      <w:pPr>
        <w:numPr>
          <w:ilvl w:val="0"/>
          <w:numId w:val="10"/>
        </w:numPr>
      </w:pPr>
      <w:r>
        <w:rPr>
          <w:rFonts w:ascii="Calibri" w:hAnsi="Calibri" w:eastAsia="Calibri"/>
        </w:rPr>
        <w:t>Start with roles that ConstellationOS can project reliably: subject-like, object-like, PP complement, copular complement, modifier, and particle/complementizer context.</w:t>
      </w:r>
    </w:p>
    <w:p>
      <w:pPr>
        <w:numPr>
          <w:ilvl w:val="0"/>
          <w:numId w:val="10"/>
        </w:numPr>
      </w:pPr>
      <w:r>
        <w:rPr>
          <w:rFonts w:ascii="Calibri" w:hAnsi="Calibri" w:eastAsia="Calibri"/>
        </w:rPr>
        <w:t>Expose a pure function selectionalCharge(leftNode, rightNode, bond, index) returning score, confidence, support count, and abstention reason.</w:t>
      </w:r>
    </w:p>
    <w:p>
      <w:pPr>
        <w:numPr>
          <w:ilvl w:val="0"/>
          <w:numId w:val="10"/>
        </w:numPr>
      </w:pPr>
      <w:r>
        <w:rPr>
          <w:rFonts w:ascii="Calibri" w:hAnsi="Calibri" w:eastAsia="Calibri"/>
        </w:rPr>
        <w:t>Cache charges by immutable node/bond signature; do not perform database I/O during chart composition.</w:t>
      </w:r>
    </w:p>
    <w:p>
      <w:pPr>
        <w:numPr>
          <w:ilvl w:val="0"/>
          <w:numId w:val="10"/>
        </w:numPr>
      </w:pPr>
      <w:r>
        <w:rPr>
          <w:rFonts w:ascii="Calibri" w:hAnsi="Calibri" w:eastAsia="Calibri"/>
        </w:rPr>
        <w:t>Record forward and inverse contributions separately so a future autopsy can determine which direction carried the result.</w:t>
      </w:r>
    </w:p>
    <w:p>
      <w:pPr>
        <w:pStyle w:val="Heading3"/>
      </w:pPr>
      <w:r>
        <w:t>Preregistered experiment</w:t>
      </w:r>
    </w:p>
    <w:p>
      <w:r>
        <w:rPr>
          <w:rFonts w:ascii="Calibri" w:hAnsi="Calibri" w:eastAsia="Calibri"/>
        </w:rPr>
        <w:t>Primary endpoint: gold derivation or gold head rank within sentences that already have at least two complete projected answers. The 26-case beacon slice is inadequate for stable inference, so the experiment must first construct a larger frozen ambiguity set from full EWT DEV and a sealed TEST partition. Secondary endpoints are ambiguous-token UPOS, PP attachment, subject/verb projection, and calibration. Controls are relation-preserving label derangement, argument-role shuffle, unigram frequency only, and charge sign reversal.</w:t>
      </w:r>
    </w:p>
    <w:p>
      <w:r>
        <w:rPr>
          <w:rFonts w:ascii="Calibri" w:hAnsi="Calibri" w:eastAsia="Calibri"/>
        </w:rPr>
        <w:t>The theory survives if real bidirectional charges beat all controls on the held-out ambiguity set, the paired confidence interval excludes zero, and performance replicates by genre. It fails if forward and inverse scores are indistinguishable from unigram frequency, if gains disappear under lemma-disjoint evaluation, or if the system systematically rejects figurative or low-frequency sentences.</w:t>
      </w:r>
    </w:p>
    <w:p>
      <w:pPr>
        <w:pStyle w:val="Heading3"/>
      </w:pPr>
      <w:r>
        <w:t>Risks</w:t>
      </w:r>
    </w:p>
    <w:p>
      <w:r>
        <w:rPr>
          <w:rFonts w:ascii="Calibri" w:hAnsi="Calibri" w:eastAsia="Calibri"/>
        </w:rPr>
        <w:t>Selectional preference is a preference, not a law. Using it as a hard membrane would encode corpus stereotypes and suppress productive language. The score must be calibrated, capped, and decomposable. Because the index may reflect parser errors in the source corpus, evidence should be trained from gold or high-confidence roles and evaluated on disjoint documents.</w:t>
      </w:r>
    </w:p>
    <w:p>
      <w:pPr>
        <w:pStyle w:val="Heading2"/>
      </w:pPr>
      <w:r>
        <w:t>5.3 Theory 3 - Packed-Forest Inside-Outside Particles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The resonance beacon's sentence-level null is primarily an inference mismatch: it scores projected answer pairs rather than the concrete derivations inside a packed node. Propagating semantic evidence through the derivation hypergraph should improve global ranking without enumerating every parse.</w:t>
      </w:r>
    </w:p>
    <w:p>
      <w:pPr>
        <w:pStyle w:val="Heading3"/>
      </w:pPr>
      <w:r>
        <w:t>Mechanism and research basis</w:t>
      </w:r>
    </w:p>
    <w:p>
      <w:r>
        <w:rPr>
          <w:rFonts w:ascii="Calibri" w:hAnsi="Calibri" w:eastAsia="Calibri"/>
        </w:rPr>
        <w:t>Goodman's semiring framework shows that recognition, Viterbi decoding, derivation forests, parse counts, and outside values can be expressed through algebra over a chart. Li and Eisner describe expectation semirings over hypergraphs, while Huang demonstrates forest reranking with non-local features. Smith and Eisner show that factor-graph belief propagation can incorporate higher-order parsing interactions. ConstellationOS already has the essential substrate: packed nodes with binary and unary derivations and direct child references.</w:t>
      </w:r>
    </w:p>
    <w:p>
      <w:pPr>
        <w:pStyle w:val="Equation"/>
        <w:jc w:val="center"/>
      </w:pPr>
      <w:r>
        <w:rPr>
          <w:rFonts w:ascii="Consolas" w:hAnsi="Consolas" w:eastAsia="Consolas"/>
          <w:color w:val="17324D"/>
          <w:sz w:val="19"/>
        </w:rPr>
        <w:t>local(e) = theta_syntax * syntax(e) + theta_sem * particles(e) + theta_prov * provenance(e)</w:t>
      </w:r>
    </w:p>
    <w:p>
      <w:pPr>
        <w:pStyle w:val="Equation"/>
        <w:jc w:val="center"/>
      </w:pPr>
      <w:r>
        <w:rPr>
          <w:rFonts w:ascii="Consolas" w:hAnsi="Consolas" w:eastAsia="Consolas"/>
          <w:color w:val="17324D"/>
          <w:sz w:val="19"/>
        </w:rPr>
        <w:t>inside(v) = logsumexp_{e -&gt; v} [ local(e) + sum_{u in children(e)} inside(u) ]</w:t>
      </w:r>
    </w:p>
    <w:p>
      <w:pPr>
        <w:pStyle w:val="Equation"/>
        <w:jc w:val="center"/>
      </w:pPr>
      <w:r>
        <w:rPr>
          <w:rFonts w:ascii="Consolas" w:hAnsi="Consolas" w:eastAsia="Consolas"/>
          <w:color w:val="17324D"/>
          <w:sz w:val="19"/>
        </w:rPr>
        <w:t>outside(u) = aggregate support reaching u from spanning roots through parent derivations</w:t>
      </w:r>
    </w:p>
    <w:p>
      <w:r>
        <w:rPr>
          <w:rFonts w:ascii="Calibri" w:hAnsi="Calibri" w:eastAsia="Calibri"/>
        </w:rPr>
        <w:t>The simplest first implementation is max-sum Viterbi scoring over an acyclic derivation hypergraph. If unary or category-preserving loops create strongly connected components, the graph must be condensed or evaluated with a closed semiring that has a proven termination policy. Each derivation edge receives the particles from Theories 1, 2, 4, and 7. The resulting top derivation is projected once; projected pairs are not scored independently of how they were derived.</w:t>
      </w:r>
    </w:p>
    <w:p>
      <w:pPr>
        <w:pStyle w:val="Heading3"/>
      </w:pPr>
      <w:r>
        <w:t>Why this directly addresses the observed failure</w:t>
      </w:r>
    </w:p>
    <w:p>
      <w:r>
        <w:rPr>
          <w:rFonts w:ascii="Calibri" w:hAnsi="Calibri" w:eastAsia="Calibri"/>
        </w:rPr>
        <w:t>The beacon report found real token-level improvement (+70 correct ambiguous-token readings) but worse selection among 26 ambiguous parsed sentences. Its own reading explains the mismatch: a packed S node contains many trees, while the current scorer evaluates the projected subject/verb pair against local neighbor locks. Two trees can yield the same projection, and one packed node can hide derivations with very different semantic compatibility. Derivation particles solve the object mismatch.</w:t>
      </w:r>
    </w:p>
    <w:p>
      <w:pPr>
        <w:pStyle w:val="Heading3"/>
      </w:pPr>
      <w:r>
        <w:t>Minimal implementation</w:t>
      </w:r>
    </w:p>
    <w:p>
      <w:pPr>
        <w:numPr>
          <w:ilvl w:val="0"/>
          <w:numId w:val="10"/>
        </w:numPr>
      </w:pPr>
      <w:r>
        <w:rPr>
          <w:rFonts w:ascii="Calibri" w:hAnsi="Calibri" w:eastAsia="Calibri"/>
        </w:rPr>
        <w:t>Assign a deterministic derivation ID from bond/lift ID, child node IDs, and provenance; do not key only by result type and span.</w:t>
      </w:r>
    </w:p>
    <w:p>
      <w:pPr>
        <w:numPr>
          <w:ilvl w:val="0"/>
          <w:numId w:val="10"/>
        </w:numPr>
      </w:pPr>
      <w:r>
        <w:rPr>
          <w:rFonts w:ascii="Calibri" w:hAnsi="Calibri" w:eastAsia="Calibri"/>
        </w:rPr>
        <w:t>Compute local factor vectors after the chart freezes. Initial factors are existing syntactic score, selectional charge, provenance permissions, and optional role bindings.</w:t>
      </w:r>
    </w:p>
    <w:p>
      <w:pPr>
        <w:numPr>
          <w:ilvl w:val="0"/>
          <w:numId w:val="10"/>
        </w:numPr>
      </w:pPr>
      <w:r>
        <w:rPr>
          <w:rFonts w:ascii="Calibri" w:hAnsi="Calibri" w:eastAsia="Calibri"/>
        </w:rPr>
        <w:t>Run Viterbi and log-sum inside passes over the same packed forest; expose both best derivation and uncertainty mass.</w:t>
      </w:r>
    </w:p>
    <w:p>
      <w:pPr>
        <w:numPr>
          <w:ilvl w:val="0"/>
          <w:numId w:val="10"/>
        </w:numPr>
      </w:pPr>
      <w:r>
        <w:rPr>
          <w:rFonts w:ascii="Calibri" w:hAnsi="Calibri" w:eastAsia="Calibri"/>
        </w:rPr>
        <w:t>Add an outside/support pass from stable roots so token readings can be scored by global derivational support rather than local context alone.</w:t>
      </w:r>
    </w:p>
    <w:p>
      <w:pPr>
        <w:numPr>
          <w:ilvl w:val="0"/>
          <w:numId w:val="10"/>
        </w:numPr>
      </w:pPr>
      <w:r>
        <w:rPr>
          <w:rFonts w:ascii="Calibri" w:hAnsi="Calibri" w:eastAsia="Calibri"/>
        </w:rPr>
        <w:t>Return a ranked derivation reference with the projected answer, preserving the complete audit path to lexical atoms and bonds.</w:t>
      </w:r>
    </w:p>
    <w:p>
      <w:pPr>
        <w:pStyle w:val="Heading3"/>
      </w:pPr>
      <w:r>
        <w:t>Preregistered experiment</w:t>
      </w:r>
    </w:p>
    <w:p>
      <w:r>
        <w:rPr>
          <w:rFonts w:ascii="Calibri" w:hAnsi="Calibri" w:eastAsia="Calibri"/>
        </w:rPr>
        <w:t>Primary endpoint: top-1 gold head or gold projected answer among ambiguous spanning sentences. Secondary endpoints: mean reciprocal rank, negative log likelihood or Brier score where probabilities are available, oracle containment, ranking latency, and memory. Controls include current first-answer order, current beacon projection scorer, syntactic-only forest scoring, deranged semantic particles, and a k-best enumerated oracle on a bounded subset to verify that packed inference agrees with explicit derivations.</w:t>
      </w:r>
    </w:p>
    <w:p>
      <w:r>
        <w:rPr>
          <w:rFonts w:ascii="Calibri" w:hAnsi="Calibri" w:eastAsia="Calibri"/>
        </w:rPr>
        <w:t>The theory survives if derivation-level scoring produces a held-out gain of at least 3 absolute points on a sufficiently large ambiguous set, beats the syntactic-only and deranged arms, and preserves byte-identical forest structure. It fails if top-1 changes are driven by agenda order, if packed and bounded enumeration disagree, if scoring requires uncontrolled forest expansion, or if the semantic model improves calibration while reducing gold rank.</w:t>
      </w:r>
    </w:p>
    <w:p>
      <w:pPr>
        <w:pStyle w:val="Heading3"/>
      </w:pPr>
      <w:r>
        <w:t>Risks</w:t>
      </w:r>
    </w:p>
    <w:p>
      <w:r>
        <w:rPr>
          <w:rFonts w:ascii="Calibri" w:hAnsi="Calibri" w:eastAsia="Calibri"/>
        </w:rPr>
        <w:t>The principal risk is double counting evidence along shared packed paths. Semiring factorization must define whether a particle belongs to a lexical node, edge, or whole derivation and include it exactly once. The second risk is cyclic support. No iterative message passing should ship without convergence and parity tests. The third risk is hidden complexity: forest reranking can be computationally expensive with non-local features. Start with local decomposable factors and measure 50th, 95th, and worst-case latency.</w:t>
      </w:r>
    </w:p>
    <w:p>
      <w:pPr>
        <w:pStyle w:val="Heading2"/>
      </w:pPr>
      <w:r>
        <w:t>5.4 Theory 4 - Provenance and Recursive-Privilege Isotopes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Root, adjunct, preservation, and recursive privileges should be represented as explicit capability particles whose transfer is governed by a monotone effect system. This will prevent lexical ambiguity and preservative cycles from acquiring permissions they did not earn.</w:t>
      </w:r>
    </w:p>
    <w:p>
      <w:pPr>
        <w:pStyle w:val="Heading3"/>
      </w:pPr>
      <w:r>
        <w:t>Mechanism and research basis</w:t>
      </w:r>
    </w:p>
    <w:p>
      <w:r>
        <w:rPr>
          <w:rFonts w:ascii="Calibri" w:hAnsi="Calibri" w:eastAsia="Calibri"/>
        </w:rPr>
        <w:t>The successful VP-to-S repair already implements a local version of this theory: an imperative lift stamps clauseOrigin, rootEligible, and adjunctEligible instead of gating on a token's POS inventory. Type-and-effect systems make computational effects explicit; abstract interpretation computes conservative properties over lattices; provenance semirings carry the origin of derived results; and size-change termination proves that every infinite call sequence would require impossible infinite descent. Together these ideas suggest a capability algebra for chart derivations.</w:t>
      </w:r>
    </w:p>
    <w:p>
      <w:pPr>
        <w:pStyle w:val="Equation"/>
        <w:jc w:val="center"/>
      </w:pPr>
      <w:r>
        <w:rPr>
          <w:rFonts w:ascii="Consolas" w:hAnsi="Consolas" w:eastAsia="Consolas"/>
          <w:color w:val="17324D"/>
          <w:sz w:val="19"/>
        </w:rPr>
        <w:t>cap(v) = transfer(rule, cap(left), cap(right), origin(rule))</w:t>
      </w:r>
    </w:p>
    <w:p>
      <w:pPr>
        <w:pStyle w:val="Equation"/>
        <w:jc w:val="center"/>
      </w:pPr>
      <w:r>
        <w:rPr>
          <w:rFonts w:ascii="Consolas" w:hAnsi="Consolas" w:eastAsia="Consolas"/>
          <w:color w:val="17324D"/>
          <w:sz w:val="19"/>
        </w:rPr>
        <w:t>Law: a preservative edge may preserve or reduce privilege; it may not create root, adjunct, or recursive privilege.</w:t>
      </w:r>
    </w:p>
    <w:p>
      <w:pPr>
        <w:pStyle w:val="Equation"/>
        <w:jc w:val="center"/>
      </w:pPr>
      <w:r>
        <w:rPr>
          <w:rFonts w:ascii="Consolas" w:hAnsi="Consolas" w:eastAsia="Consolas"/>
          <w:color w:val="17324D"/>
          <w:sz w:val="19"/>
        </w:rPr>
        <w:t>Termination witness R = &lt;unconsumed span growth, constructive depth, recursive budget&gt;; every admitted cycle must strictly decrease one well-founded component.</w:t>
      </w:r>
    </w:p>
    <w:p>
      <w:r>
        <w:rPr>
          <w:rFonts w:ascii="Calibri" w:hAnsi="Calibri" w:eastAsia="Calibri"/>
        </w:rPr>
        <w:t>Capabilities should include at least rootEligible, adjunctEligible, recursiveEligible, matrixHeadEligible, clauseOrigin, semanticSource, and promotionEvidence. A node may have multiple derivations with different capability sets. Packed promotion then becomes explicit: if any eligible derivation arrives, the node gains an eligible alternative and wakes once under a counted promotion event. The node does not retroactively rewrite other derivations.</w:t>
      </w:r>
    </w:p>
    <w:p>
      <w:pPr>
        <w:pStyle w:val="Heading3"/>
      </w:pPr>
      <w:r>
        <w:t>Minimal implementation</w:t>
      </w:r>
    </w:p>
    <w:p>
      <w:pPr>
        <w:numPr>
          <w:ilvl w:val="0"/>
          <w:numId w:val="10"/>
        </w:numPr>
      </w:pPr>
      <w:r>
        <w:rPr>
          <w:rFonts w:ascii="Calibri" w:hAnsi="Calibri" w:eastAsia="Calibri"/>
        </w:rPr>
        <w:t>Define a CapabilityParticle schema and a transfer table keyed by bond/lift ID, never by surface POS density.</w:t>
      </w:r>
    </w:p>
    <w:p>
      <w:pPr>
        <w:numPr>
          <w:ilvl w:val="0"/>
          <w:numId w:val="10"/>
        </w:numPr>
      </w:pPr>
      <w:r>
        <w:rPr>
          <w:rFonts w:ascii="Calibri" w:hAnsi="Calibri" w:eastAsia="Calibri"/>
        </w:rPr>
        <w:t>Move all privilege decisions into the centralized bond-admission/provenance layer used by packed and classic paths.</w:t>
      </w:r>
    </w:p>
    <w:p>
      <w:pPr>
        <w:numPr>
          <w:ilvl w:val="0"/>
          <w:numId w:val="10"/>
        </w:numPr>
      </w:pPr>
      <w:r>
        <w:rPr>
          <w:rFonts w:ascii="Calibri" w:hAnsi="Calibri" w:eastAsia="Calibri"/>
        </w:rPr>
        <w:t>Classify every rule as constructive, preservative, recursive-preservative, or lift; require an authored transfer function for recursive-preservative rules.</w:t>
      </w:r>
    </w:p>
    <w:p>
      <w:pPr>
        <w:numPr>
          <w:ilvl w:val="0"/>
          <w:numId w:val="10"/>
        </w:numPr>
      </w:pPr>
      <w:r>
        <w:rPr>
          <w:rFonts w:ascii="Calibri" w:hAnsi="Calibri" w:eastAsia="Calibri"/>
        </w:rPr>
        <w:t>Compute a static cycle census over category and capability transitions. Reject a grammar build whose strongly connected privilege graph can increase capability without constructive evidence.</w:t>
      </w:r>
    </w:p>
    <w:p>
      <w:pPr>
        <w:numPr>
          <w:ilvl w:val="0"/>
          <w:numId w:val="10"/>
        </w:numPr>
      </w:pPr>
      <w:r>
        <w:rPr>
          <w:rFonts w:ascii="Calibri" w:hAnsi="Calibri" w:eastAsia="Calibri"/>
        </w:rPr>
        <w:t>Add queue/stack, packed/classic, and lexical-ambiguity metamorphic tests to the standing cyclotron laws.</w:t>
      </w:r>
    </w:p>
    <w:p>
      <w:pPr>
        <w:pStyle w:val="Heading3"/>
      </w:pPr>
      <w:r>
        <w:t>Preregistered experiment</w:t>
      </w:r>
    </w:p>
    <w:p>
      <w:r>
        <w:rPr>
          <w:rFonts w:ascii="Calibri" w:hAnsi="Calibri" w:eastAsia="Calibri"/>
        </w:rPr>
        <w:t>Primary endpoint: recursive-preservative firings and total events on the Uranium, George Bush, Moscovium, garden-path, and ordinary EWT sentinel suites. Protection endpoints are identical stable roots, gold containment, head projection, and agenda-direction parity. The treatment is explicit capability transfer. Controls are the current boolean behavior, shuffled transfer tables that preserve privilege frequencies, and a permissive arm in which every S is adjunct-eligible.</w:t>
      </w:r>
    </w:p>
    <w:p>
      <w:r>
        <w:rPr>
          <w:rFonts w:ascii="Calibri" w:hAnsi="Calibri" w:eastAsia="Calibri"/>
        </w:rPr>
        <w:t>Success requires zero new privilege-from-ambiguity violations, no loss of legitimate imperative roots such as Round!, and a material reduction in worst-case recursive-preservative pressure or a proof that the current pressure is already bounded. The theory fails if a legitimate derivation needs a privilege path the type system cannot express, if transfer depends on agenda order, or if capability joins cause repeated wake storms.</w:t>
      </w:r>
    </w:p>
    <w:p>
      <w:pPr>
        <w:pStyle w:val="Heading3"/>
      </w:pPr>
      <w:r>
        <w:t>Risks</w:t>
      </w:r>
    </w:p>
    <w:p>
      <w:r>
        <w:rPr>
          <w:rFonts w:ascii="Calibri" w:hAnsi="Calibri" w:eastAsia="Calibri"/>
        </w:rPr>
        <w:t>An overly strict effect system can become an autoimmune parser. The correct design is derivation-sensitive, not node-global: one unsafe derivation must not poison a safe alternative, and one safe derivation must not launder every unsafe alternative. Static cycle analysis must be conservative; 'unknown' should trigger review, not silent rejection.</w:t>
      </w:r>
    </w:p>
    <w:p>
      <w:pPr>
        <w:pStyle w:val="Heading2"/>
      </w:pPr>
      <w:r>
        <w:t>5.5 Theory 5 - Root-Reachability Identity Photons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After the packed chart freezes, an exact downward reachability pass from every spanning root can identify which token readings participate in at least one complete parse. This can remove support ambiguity without changing the set of parses.</w:t>
      </w:r>
    </w:p>
    <w:p>
      <w:pPr>
        <w:pStyle w:val="Heading3"/>
      </w:pPr>
      <w:r>
        <w:t>Mechanism and research basis</w:t>
      </w:r>
    </w:p>
    <w:p>
      <w:r>
        <w:rPr>
          <w:rFonts w:ascii="Calibri" w:hAnsi="Calibri" w:eastAsia="Calibri"/>
        </w:rPr>
        <w:t>This theory operationalizes the existing encrypted descending-light design. It is a graph property, closely related to outside support in parsing: start from stable root nodes, traverse every unary and binary derivation, and mark every reachable node. A lexical atom is lit if it belongs to at least one complete derivation. If exactly one reading of a token is lit, root support resolves that token relative to the current grammar. If several readings are lit, the ambiguity is genuine under the forest and remains.</w:t>
      </w:r>
    </w:p>
    <w:p>
      <w:pPr>
        <w:pStyle w:val="Equation"/>
        <w:jc w:val="center"/>
      </w:pPr>
      <w:r>
        <w:rPr>
          <w:rFonts w:ascii="Consolas" w:hAnsi="Consolas" w:eastAsia="Consolas"/>
          <w:color w:val="17324D"/>
          <w:sz w:val="19"/>
        </w:rPr>
        <w:t>L = { v in V | exists stable root r such that r -&gt;* v through derivation edges }</w:t>
      </w:r>
    </w:p>
    <w:p>
      <w:r>
        <w:rPr>
          <w:rFonts w:ascii="Calibri" w:hAnsi="Calibri" w:eastAsia="Calibri"/>
        </w:rPr>
        <w:t>The operation is O(|V| + |E|) and cannot lose a parse when implemented as annotation: membership in L is defined by participation in a root derivation. The transport key may reuse auras for display, but correctness must use node identity or the collision-free tuple (type, from, to, derivation ID). The stored design estimates a non-zero birthday-collision risk for 32-bit auras, so aura equality cannot be the proof layer.</w:t>
      </w:r>
    </w:p>
    <w:p>
      <w:pPr>
        <w:pStyle w:val="Heading3"/>
      </w:pPr>
      <w:r>
        <w:t>Minimal implementation</w:t>
      </w:r>
    </w:p>
    <w:p>
      <w:pPr>
        <w:numPr>
          <w:ilvl w:val="0"/>
          <w:numId w:val="10"/>
        </w:numPr>
      </w:pPr>
      <w:r>
        <w:rPr>
          <w:rFonts w:ascii="Calibri" w:hAnsi="Calibri" w:eastAsia="Calibri"/>
        </w:rPr>
        <w:t>Implement descendFromRoots(chart) after the agenda drains and stable roots are computed.</w:t>
      </w:r>
    </w:p>
    <w:p>
      <w:pPr>
        <w:numPr>
          <w:ilvl w:val="0"/>
          <w:numId w:val="10"/>
        </w:numPr>
      </w:pPr>
      <w:r>
        <w:rPr>
          <w:rFonts w:ascii="Calibri" w:hAnsi="Calibri" w:eastAsia="Calibri"/>
        </w:rPr>
        <w:t>Return lit/unlit on nodes and lexical readings; do not delete or reorder anything in Phase 1.</w:t>
      </w:r>
    </w:p>
    <w:p>
      <w:pPr>
        <w:numPr>
          <w:ilvl w:val="0"/>
          <w:numId w:val="10"/>
        </w:numPr>
      </w:pPr>
      <w:r>
        <w:rPr>
          <w:rFonts w:ascii="Calibri" w:hAnsi="Calibri" w:eastAsia="Calibri"/>
        </w:rPr>
        <w:t>Measure per-root reachability in addition to the union across roots on a bounded experiment. Per-root identity is more informative for genuine ambiguity.</w:t>
      </w:r>
    </w:p>
    <w:p>
      <w:pPr>
        <w:numPr>
          <w:ilvl w:val="0"/>
          <w:numId w:val="10"/>
        </w:numPr>
      </w:pPr>
      <w:r>
        <w:rPr>
          <w:rFonts w:ascii="Calibri" w:hAnsi="Calibri" w:eastAsia="Calibri"/>
        </w:rPr>
        <w:t>Separate transport identity from display aura; run a collision census and fall back deterministically when collisions exist.</w:t>
      </w:r>
    </w:p>
    <w:p>
      <w:pPr>
        <w:numPr>
          <w:ilvl w:val="0"/>
          <w:numId w:val="10"/>
        </w:numPr>
      </w:pPr>
      <w:r>
        <w:rPr>
          <w:rFonts w:ascii="Calibri" w:hAnsi="Calibri" w:eastAsia="Calibri"/>
        </w:rPr>
        <w:t>Join reachability with refusal ledgers so 'unlit because never bonded' and 'unlit because refused' remain distinct diagnoses.</w:t>
      </w:r>
    </w:p>
    <w:p>
      <w:pPr>
        <w:pStyle w:val="Heading3"/>
      </w:pPr>
      <w:r>
        <w:t>Preregistered experiment</w:t>
      </w:r>
    </w:p>
    <w:p>
      <w:r>
        <w:rPr>
          <w:rFonts w:ascii="Calibri" w:hAnsi="Calibri" w:eastAsia="Calibri"/>
        </w:rPr>
        <w:t>Primary endpoint: fraction of tokens with at least two emitted readings that collapse to exactly one root-reachable reading. Secondary endpoints: unlit fraction of the chart, mean stable readings per parsed sentence, and runtime. Phase 1 requires byte-identical coverage, containment, stable roots, and projections. The shuffled control preserves the number and span-width distribution of lit nodes but assigns marks randomly; real reachability must beat the control's 95th percentile over at least 100 deterministic shuffles.</w:t>
      </w:r>
    </w:p>
    <w:p>
      <w:r>
        <w:rPr>
          <w:rFonts w:ascii="Calibri" w:hAnsi="Calibri" w:eastAsia="Calibri"/>
        </w:rPr>
        <w:t>The theory is falsified as a disambiguator if ambiguous-token collapse does not exceed the shuffled control, if collapse occurs only on already-unambiguous tokens, or if most parsed sentences leave every competing reading lit. A Phase 2 ranked-last consumer is considered only after Phase 1 succeeds. Hard deletion is not the first consumer because three earlier suppression mechanisms reduced events while destroying spanning.</w:t>
      </w:r>
    </w:p>
    <w:p>
      <w:pPr>
        <w:pStyle w:val="Heading3"/>
      </w:pPr>
      <w:r>
        <w:t>Risks</w:t>
      </w:r>
    </w:p>
    <w:p>
      <w:r>
        <w:rPr>
          <w:rFonts w:ascii="Calibri" w:hAnsi="Calibri" w:eastAsia="Calibri"/>
        </w:rPr>
        <w:t>Reachability can only explain sentences that span. The stored design reports 275 of 395 sentences failing on grammar rather than tagging; those sentences have no root light. The mechanism also cannot choose between two valid complete parses. Its likely value is chart-garbage identification, provenance, and search reduction, not final parse selection.</w:t>
      </w:r>
    </w:p>
    <w:p>
      <w:pPr>
        <w:pStyle w:val="Heading2"/>
      </w:pPr>
      <w:r>
        <w:t>5.6 Theory 6 - Contrastive Spectral Response Particles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A semantic particle should be defined partly by how a token, span, or derivation responds to controlled interventions. Stable response fingerprints can distinguish real semantic structure from labels, topology, or probe capacity.</w:t>
      </w:r>
    </w:p>
    <w:p>
      <w:pPr>
        <w:pStyle w:val="Heading3"/>
      </w:pPr>
      <w:r>
        <w:t>Mechanism and research basis</w:t>
      </w:r>
    </w:p>
    <w:p>
      <w:r>
        <w:rPr>
          <w:rFonts w:ascii="Calibri" w:hAnsi="Calibri" w:eastAsia="Calibri"/>
        </w:rPr>
        <w:t>Control tasks test whether a probe reads information from a representation or learns the target by itself. Contrast sets perturb an example locally to reveal decision boundaries. Behavioral testing separates capabilities from aggregate accuracy, and invariant prediction looks for relationships stable across environments and interventions. These principles fit the project's meaning-agnostic light requirement: colors or bands should encode measured response channels, not semantic answers.</w:t>
      </w:r>
    </w:p>
    <w:p>
      <w:pPr>
        <w:pStyle w:val="Equation"/>
        <w:jc w:val="center"/>
      </w:pPr>
      <w:r>
        <w:rPr>
          <w:rFonts w:ascii="Consolas" w:hAnsi="Consolas" w:eastAsia="Consolas"/>
          <w:color w:val="17324D"/>
          <w:sz w:val="19"/>
        </w:rPr>
        <w:t>R(x) = [Delta coverage, Delta root, Delta containment, Delta rank, Delta events, Delta recPres] across probes</w:t>
      </w:r>
    </w:p>
    <w:p>
      <w:r>
        <w:rPr>
          <w:rFonts w:ascii="Calibri" w:hAnsi="Calibri" w:eastAsia="Calibri"/>
        </w:rPr>
        <w:t>A probe family might mask a lemma, substitute a same-POS word, swap an argument with a semantically plausible or implausible filler, remove punctuation, preserve topology while deranging labels, or perturb one lexical feature. The response vector becomes a spectral particle attached to the affected node or rule. Clustering response vectors can reveal recurring obstruction families without embedding an interpretation in the dye. Human or downstream analysis may label a cluster after it forms.</w:t>
      </w:r>
    </w:p>
    <w:p>
      <w:pPr>
        <w:pStyle w:val="Heading3"/>
      </w:pPr>
      <w:r>
        <w:t>Minimal implementation</w:t>
      </w:r>
    </w:p>
    <w:p>
      <w:pPr>
        <w:numPr>
          <w:ilvl w:val="0"/>
          <w:numId w:val="10"/>
        </w:numPr>
      </w:pPr>
      <w:r>
        <w:rPr>
          <w:rFonts w:ascii="Calibri" w:hAnsi="Calibri" w:eastAsia="Calibri"/>
        </w:rPr>
        <w:t>Define a fixed perturbation registry with IDs, invariance expectations, and legality checks. Do not generate probes adaptively on the TEST set.</w:t>
      </w:r>
    </w:p>
    <w:p>
      <w:pPr>
        <w:numPr>
          <w:ilvl w:val="0"/>
          <w:numId w:val="10"/>
        </w:numPr>
      </w:pPr>
      <w:r>
        <w:rPr>
          <w:rFonts w:ascii="Calibri" w:hAnsi="Calibri" w:eastAsia="Calibri"/>
        </w:rPr>
        <w:t>Compute response vectors from frozen before/after charts and record exact node correspondences, not aggregate sentence metrics alone.</w:t>
      </w:r>
    </w:p>
    <w:p>
      <w:pPr>
        <w:numPr>
          <w:ilvl w:val="0"/>
          <w:numId w:val="10"/>
        </w:numPr>
      </w:pPr>
      <w:r>
        <w:rPr>
          <w:rFonts w:ascii="Calibri" w:hAnsi="Calibri" w:eastAsia="Calibri"/>
        </w:rPr>
        <w:t>Keep spectral bands opaque in the parser; interpretation belongs in reports and versioned mappings.</w:t>
      </w:r>
    </w:p>
    <w:p>
      <w:pPr>
        <w:numPr>
          <w:ilvl w:val="0"/>
          <w:numId w:val="10"/>
        </w:numPr>
      </w:pPr>
      <w:r>
        <w:rPr>
          <w:rFonts w:ascii="Calibri" w:hAnsi="Calibri" w:eastAsia="Calibri"/>
        </w:rPr>
        <w:t>Use matched controls: same edit distance, same POS distribution, same span widths, and degree-preserving shuffles where appropriate.</w:t>
      </w:r>
    </w:p>
    <w:p>
      <w:pPr>
        <w:numPr>
          <w:ilvl w:val="0"/>
          <w:numId w:val="10"/>
        </w:numPr>
      </w:pPr>
      <w:r>
        <w:rPr>
          <w:rFonts w:ascii="Calibri" w:hAnsi="Calibri" w:eastAsia="Calibri"/>
        </w:rPr>
        <w:t>Cache bond lookups and bound painted molecules, preserving the performance lesson from the initial O(n^2) spectral stall.</w:t>
      </w:r>
    </w:p>
    <w:p>
      <w:pPr>
        <w:pStyle w:val="Heading3"/>
      </w:pPr>
      <w:r>
        <w:t>Preregistered experiment</w:t>
      </w:r>
    </w:p>
    <w:p>
      <w:r>
        <w:rPr>
          <w:rFonts w:ascii="Calibri" w:hAnsi="Calibri" w:eastAsia="Calibri"/>
        </w:rPr>
        <w:t>Primary endpoint: selectivity, defined as separation between linguistically targeted probes and matched random controls on a sealed contrast set. Secondary endpoints are cross-genre stability, obstruction-cluster purity, and prediction of which intervention repairs a failing sentence. The particle is useful only if its response profile predicts an independent outcome - for example, whether adding a missing lexical reading helps - rather than merely describing the same metric used to construct it.</w:t>
      </w:r>
    </w:p>
    <w:p>
      <w:r>
        <w:rPr>
          <w:rFonts w:ascii="Calibri" w:hAnsi="Calibri" w:eastAsia="Calibri"/>
        </w:rPr>
        <w:t>The theory fails if random labels or topology-preserving perturbations yield equivalent clusters, if response bands encode gold outcomes directly, if cluster identities change materially across seeds, or if the instrument consumes more computation than the bounded reactor it is meant to diagnose.</w:t>
      </w:r>
    </w:p>
    <w:p>
      <w:pPr>
        <w:pStyle w:val="Heading3"/>
      </w:pPr>
      <w:r>
        <w:t>Risks</w:t>
      </w:r>
    </w:p>
    <w:p>
      <w:r>
        <w:rPr>
          <w:rFonts w:ascii="Calibri" w:hAnsi="Calibri" w:eastAsia="Calibri"/>
        </w:rPr>
        <w:t>Perturbations can create unnatural language, making a model look sensitive for the wrong reason. Every probe needs a minimality and validity check. Causal language must remain local: a perturbation demonstrates response under that intervention, not the true cause of linguistic behavior in general.</w:t>
      </w:r>
    </w:p>
    <w:p>
      <w:pPr>
        <w:pStyle w:val="Heading2"/>
      </w:pPr>
      <w:r>
        <w:t>5.7 Theory 7 - Role-Filler Binding Particles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Binding semantic fillers to explicit roles inside each derivation will preserve relational structure that is lost when molecule features are treated as unordered bags or projected pairs.</w:t>
      </w:r>
    </w:p>
    <w:p>
      <w:pPr>
        <w:pStyle w:val="Heading3"/>
      </w:pPr>
      <w:r>
        <w:t>Mechanism and research basis</w:t>
      </w:r>
    </w:p>
    <w:p>
      <w:r>
        <w:rPr>
          <w:rFonts w:ascii="Calibri" w:hAnsi="Calibri" w:eastAsia="Calibri"/>
        </w:rPr>
        <w:t>Tensor product representations encode a binding between a role vector and a filler vector; holographic reduced representations approximate such bindings in fixed width using circular convolution. The relevance to ConstellationOS is concrete. Earlier Concept Chemistry was order-blind, and the current beacon evaluates a reduced subject/verb projection. A role-filler particle can distinguish dog-as-Agent from dog-as-Theme and can preserve which PP modifies which head within a derivation.</w:t>
      </w:r>
    </w:p>
    <w:p>
      <w:pPr>
        <w:pStyle w:val="Equation"/>
        <w:jc w:val="center"/>
      </w:pPr>
      <w:r>
        <w:rPr>
          <w:rFonts w:ascii="Consolas" w:hAnsi="Consolas" w:eastAsia="Consolas"/>
          <w:color w:val="17324D"/>
          <w:sz w:val="19"/>
        </w:rPr>
        <w:t>z_exact = sum_i role_i tensor filler_i</w:t>
      </w:r>
    </w:p>
    <w:p>
      <w:pPr>
        <w:pStyle w:val="Equation"/>
        <w:jc w:val="center"/>
      </w:pPr>
      <w:r>
        <w:rPr>
          <w:rFonts w:ascii="Consolas" w:hAnsi="Consolas" w:eastAsia="Consolas"/>
          <w:color w:val="17324D"/>
          <w:sz w:val="19"/>
        </w:rPr>
        <w:t>z_fixed = sum_i bind(role_i, filler_i);  filler_hat = unbind(z_fixed, role_i)</w:t>
      </w:r>
    </w:p>
    <w:p>
      <w:r>
        <w:rPr>
          <w:rFonts w:ascii="Calibri" w:hAnsi="Calibri" w:eastAsia="Calibri"/>
        </w:rPr>
        <w:t>For the first experiment, exact symbolic bindings should be the truth layer. Fixed-width vectors are optional scoring features. Each derivation emits bindings such as Agent=headLemma, Theme=headLemma, Modifier=headLemma, Source, Goal, and ClauseHead. Roles come from authored bond head declarations and conservative projection rules, not a neural guess. A learned similarity model may compare bindings after they are constructed.</w:t>
      </w:r>
    </w:p>
    <w:p>
      <w:pPr>
        <w:pStyle w:val="Heading3"/>
      </w:pPr>
      <w:r>
        <w:t>Minimal implementation</w:t>
      </w:r>
    </w:p>
    <w:p>
      <w:pPr>
        <w:numPr>
          <w:ilvl w:val="0"/>
          <w:numId w:val="10"/>
        </w:numPr>
      </w:pPr>
      <w:r>
        <w:rPr>
          <w:rFonts w:ascii="Calibri" w:hAnsi="Calibri" w:eastAsia="Calibri"/>
        </w:rPr>
        <w:t>Extend derivation metadata with a sorted list of role-filler bindings and provenance to the bond or lift that created each role.</w:t>
      </w:r>
    </w:p>
    <w:p>
      <w:pPr>
        <w:numPr>
          <w:ilvl w:val="0"/>
          <w:numId w:val="10"/>
        </w:numPr>
      </w:pPr>
      <w:r>
        <w:rPr>
          <w:rFonts w:ascii="Calibri" w:hAnsi="Calibri" w:eastAsia="Calibri"/>
        </w:rPr>
        <w:t>Create exact binding signatures for audit and optional fixed-width HRR/TPR vectors for similarity scoring.</w:t>
      </w:r>
    </w:p>
    <w:p>
      <w:pPr>
        <w:numPr>
          <w:ilvl w:val="0"/>
          <w:numId w:val="10"/>
        </w:numPr>
      </w:pPr>
      <w:r>
        <w:rPr>
          <w:rFonts w:ascii="Calibri" w:hAnsi="Calibri" w:eastAsia="Calibri"/>
        </w:rPr>
        <w:t>Define composition rules that retain matrix-clause roles across adjunct attachment and distinguish complement from modifier.</w:t>
      </w:r>
    </w:p>
    <w:p>
      <w:pPr>
        <w:numPr>
          <w:ilvl w:val="0"/>
          <w:numId w:val="10"/>
        </w:numPr>
      </w:pPr>
      <w:r>
        <w:rPr>
          <w:rFonts w:ascii="Calibri" w:hAnsi="Calibri" w:eastAsia="Calibri"/>
        </w:rPr>
        <w:t>Include head-declaration tests and projection parity; a wrong head must produce an explicit binding mismatch, not a silent vector change.</w:t>
      </w:r>
    </w:p>
    <w:p>
      <w:pPr>
        <w:numPr>
          <w:ilvl w:val="0"/>
          <w:numId w:val="10"/>
        </w:numPr>
      </w:pPr>
      <w:r>
        <w:rPr>
          <w:rFonts w:ascii="Calibri" w:hAnsi="Calibri" w:eastAsia="Calibri"/>
        </w:rPr>
        <w:t>Measure cross-talk and collision error before using reduced vectors in ranking.</w:t>
      </w:r>
    </w:p>
    <w:p>
      <w:pPr>
        <w:pStyle w:val="Heading3"/>
      </w:pPr>
      <w:r>
        <w:t>Preregistered experiment</w:t>
      </w:r>
    </w:p>
    <w:p>
      <w:r>
        <w:rPr>
          <w:rFonts w:ascii="Calibri" w:hAnsi="Calibri" w:eastAsia="Calibri"/>
        </w:rPr>
        <w:t>Primary endpoint: correct gold head and relation ranking on PP attachment, copular complements, subject/object ambiguity, and particle/complementizer traps. Controls include shuffled role labels with fillers fixed, shuffled fillers with roles fixed, unordered bag-of-fillers, and exact bindings versus reduced bindings. The theory survives only if relational binding beats the unordered representation and reduced vectors approximate exact decisions within a preregistered error tolerance.</w:t>
      </w:r>
    </w:p>
    <w:p>
      <w:pPr>
        <w:pStyle w:val="Heading3"/>
      </w:pPr>
      <w:r>
        <w:t>Risks</w:t>
      </w:r>
    </w:p>
    <w:p>
      <w:r>
        <w:rPr>
          <w:rFonts w:ascii="Calibri" w:hAnsi="Calibri" w:eastAsia="Calibri"/>
        </w:rPr>
        <w:t>Role inventories can smuggle in answers, and reduced representations introduce cross-talk. The system should begin with a coarse role set supported by existing bonds and UD projections. If exact symbolic bindings do not improve ranking, vector binding has no justification.</w:t>
      </w:r>
    </w:p>
    <w:p>
      <w:pPr>
        <w:pStyle w:val="Heading2"/>
      </w:pPr>
      <w:r>
        <w:t>5.8 Theory 8 - Information-Bottleneck Neutrons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Semantic purification should be formulated as compression under a relevance constraint: retain the smallest particle inventory that preserves held-out linguistic value and safety, rather than trying to self-destruct 'impure' atoms by weight.</w:t>
      </w:r>
    </w:p>
    <w:p>
      <w:pPr>
        <w:pStyle w:val="Heading3"/>
      </w:pPr>
      <w:r>
        <w:t>Mechanism and research basis</w:t>
      </w:r>
    </w:p>
    <w:p>
      <w:r>
        <w:rPr>
          <w:rFonts w:ascii="Calibri" w:hAnsi="Calibri" w:eastAsia="Calibri"/>
        </w:rPr>
        <w:t>Minimum description length selects a model that jointly compresses the model and the data it fails to explain. The information bottleneck seeks a compressed representation that preserves information about a relevant target. These frameworks provide a rigorous translation of the purification and superposition intuition. The packed forest already represents alternatives simultaneously; purification is an offline selection problem over particle channels, not a destructive reaction inside parsing.</w:t>
      </w:r>
    </w:p>
    <w:p>
      <w:pPr>
        <w:pStyle w:val="Equation"/>
        <w:jc w:val="center"/>
      </w:pPr>
      <w:r>
        <w:rPr>
          <w:rFonts w:ascii="Consolas" w:hAnsi="Consolas" w:eastAsia="Consolas"/>
          <w:color w:val="17324D"/>
          <w:sz w:val="19"/>
        </w:rPr>
        <w:t>IB objective:  minimize I(P; X) - beta * I(P; Y)</w:t>
      </w:r>
    </w:p>
    <w:p>
      <w:pPr>
        <w:pStyle w:val="Equation"/>
        <w:jc w:val="center"/>
      </w:pPr>
      <w:r>
        <w:rPr>
          <w:rFonts w:ascii="Consolas" w:hAnsi="Consolas" w:eastAsia="Consolas"/>
          <w:color w:val="17324D"/>
          <w:sz w:val="19"/>
        </w:rPr>
        <w:t>MDL objective: minimize L(particle schema) + L(held-out errors | schema)</w:t>
      </w:r>
    </w:p>
    <w:p>
      <w:r>
        <w:rPr>
          <w:rFonts w:ascii="Calibri" w:hAnsi="Calibri" w:eastAsia="Calibri"/>
        </w:rPr>
        <w:t>X is the candidate particle inventory and its raw evidence. Y is a vector of protected outcomes: ambiguous-token correctness, gold derivation rank, containment, head accuracy, event pressure, and recursive-preservative safety. A particle is redundant if removing it does not worsen held-out Y beyond a declared equivalence bound. A particle is harmful if removing it improves Y. Correlated particles are grouped by provenance before ablation so the test does not reward duplicated evidence.</w:t>
      </w:r>
    </w:p>
    <w:p>
      <w:pPr>
        <w:pStyle w:val="Heading3"/>
      </w:pPr>
      <w:r>
        <w:t>Minimal implementation</w:t>
      </w:r>
    </w:p>
    <w:p>
      <w:pPr>
        <w:numPr>
          <w:ilvl w:val="0"/>
          <w:numId w:val="10"/>
        </w:numPr>
      </w:pPr>
      <w:r>
        <w:rPr>
          <w:rFonts w:ascii="Calibri" w:hAnsi="Calibri" w:eastAsia="Calibri"/>
        </w:rPr>
        <w:t>Build a particle census with frequency, coverage, mutual information estimates, provenance group, and computational cost.</w:t>
      </w:r>
    </w:p>
    <w:p>
      <w:pPr>
        <w:numPr>
          <w:ilvl w:val="0"/>
          <w:numId w:val="10"/>
        </w:numPr>
      </w:pPr>
      <w:r>
        <w:rPr>
          <w:rFonts w:ascii="Calibri" w:hAnsi="Calibri" w:eastAsia="Calibri"/>
        </w:rPr>
        <w:t>Run deterministic leave-one-particle and leave-one-provenance-family ablations on DEV; choose a Pareto frontier of value versus complexity.</w:t>
      </w:r>
    </w:p>
    <w:p>
      <w:pPr>
        <w:numPr>
          <w:ilvl w:val="0"/>
          <w:numId w:val="10"/>
        </w:numPr>
      </w:pPr>
      <w:r>
        <w:rPr>
          <w:rFonts w:ascii="Calibri" w:hAnsi="Calibri" w:eastAsia="Calibri"/>
        </w:rPr>
        <w:t>Freeze the chosen schema before sealed TEST. Never prune the standing Grimoire or delete stored evidence during the experiment.</w:t>
      </w:r>
    </w:p>
    <w:p>
      <w:pPr>
        <w:numPr>
          <w:ilvl w:val="0"/>
          <w:numId w:val="10"/>
        </w:numPr>
      </w:pPr>
      <w:r>
        <w:rPr>
          <w:rFonts w:ascii="Calibri" w:hAnsi="Calibri" w:eastAsia="Calibri"/>
        </w:rPr>
        <w:t>Prefer exact MDL or cross-validated predictive criteria for small inventories; treat mutual-information estimates cautiously when samples are sparse.</w:t>
      </w:r>
    </w:p>
    <w:p>
      <w:pPr>
        <w:numPr>
          <w:ilvl w:val="0"/>
          <w:numId w:val="10"/>
        </w:numPr>
      </w:pPr>
      <w:r>
        <w:rPr>
          <w:rFonts w:ascii="Calibri" w:hAnsi="Calibri" w:eastAsia="Calibri"/>
        </w:rPr>
        <w:t>Retain a reversible registry of retired particles with reasons and counterfactual metrics.</w:t>
      </w:r>
    </w:p>
    <w:p>
      <w:pPr>
        <w:pStyle w:val="Heading3"/>
      </w:pPr>
      <w:r>
        <w:t>Preregistered experiment</w:t>
      </w:r>
    </w:p>
    <w:p>
      <w:r>
        <w:rPr>
          <w:rFonts w:ascii="Calibri" w:hAnsi="Calibri" w:eastAsia="Calibri"/>
        </w:rPr>
        <w:t>Primary endpoint: the smallest inventory within an equivalence margin of the full model on held-out ranking. Secondary endpoints: latency, memory, event counts, calibration, and cross-genre stability. Controls are random particle subsets of the same size, frequency-ranked subsets, and provenance-grouped versus ungrouped selection. The theory succeeds if the selected inventory is materially smaller or cheaper and retains or improves every protected metric on TEST. It fails if the chosen subset is unstable across bootstrap samples or if compression removes rare but important construction families.</w:t>
      </w:r>
    </w:p>
    <w:p>
      <w:pPr>
        <w:pStyle w:val="Heading3"/>
      </w:pPr>
      <w:r>
        <w:t>Risks</w:t>
      </w:r>
    </w:p>
    <w:p>
      <w:r>
        <w:rPr>
          <w:rFonts w:ascii="Calibri" w:hAnsi="Calibri" w:eastAsia="Calibri"/>
        </w:rPr>
        <w:t>Information estimates are biased in small samples, and a global compression objective can erase minority constructions. Report family-level effects and impose protected minimums for rare but validated phenomena. Purification is never allowed to rewrite history: retired evidence stays auditable.</w:t>
      </w:r>
    </w:p>
    <w:p>
      <w:pPr>
        <w:pStyle w:val="Heading2"/>
      </w:pPr>
      <w:r>
        <w:t>5.9 Theory 9 - Bayesian Valence-Vacancy Catalysts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The Grammar Valence Cyclotron can become an experimental-design engine: maintain competing hypotheses for each recurrent gap, then select the next sandbox intervention by expected information gain rather than frequency alone.</w:t>
      </w:r>
    </w:p>
    <w:p>
      <w:pPr>
        <w:pStyle w:val="Heading3"/>
      </w:pPr>
      <w:r>
        <w:t>Mechanism and research basis</w:t>
      </w:r>
    </w:p>
    <w:p>
      <w:r>
        <w:rPr>
          <w:rFonts w:ascii="Calibri" w:hAnsi="Calibri" w:eastAsia="Calibri"/>
        </w:rPr>
        <w:t>Bayesian experimental design chooses an experiment by its expected utility under current uncertainty. Information-theoretic active learning selects observations expected to reduce posterior uncertainty. ConstellationOS already has a non-participatory vacancy detector and an exemplary result: recurrent TO+NP gaps were not evidence for a broad bond, but for the missing lexical reading 'to' as both P and TO. A Bayesian catalyst would formalize that competition.</w:t>
      </w:r>
    </w:p>
    <w:p>
      <w:pPr>
        <w:pStyle w:val="Equation"/>
        <w:jc w:val="center"/>
      </w:pPr>
      <w:r>
        <w:rPr>
          <w:rFonts w:ascii="Consolas" w:hAnsi="Consolas" w:eastAsia="Consolas"/>
          <w:color w:val="17324D"/>
          <w:sz w:val="19"/>
        </w:rPr>
        <w:t>P(h | G) proportional_to P(G | h) * P(h)</w:t>
      </w:r>
    </w:p>
    <w:p>
      <w:pPr>
        <w:pStyle w:val="Equation"/>
        <w:jc w:val="center"/>
      </w:pPr>
      <w:r>
        <w:rPr>
          <w:rFonts w:ascii="Consolas" w:hAnsi="Consolas" w:eastAsia="Consolas"/>
          <w:color w:val="17324D"/>
          <w:sz w:val="19"/>
        </w:rPr>
        <w:t>EIG(experiment) = H[P(h | G)] - E_outcome H[P(h | G, outcome)]</w:t>
      </w:r>
    </w:p>
    <w:p>
      <w:r>
        <w:rPr>
          <w:rFonts w:ascii="Calibri" w:hAnsi="Calibri" w:eastAsia="Calibri"/>
        </w:rPr>
        <w:t>For a gap family, hypotheses might include missing lexical atom, missing lift, missing bounded bond, tokenization error, corpus annotation artifact, or non-sentential fragment. Priors encode conservatism: lexical repairs and existing-law activation receive higher prior probability than new broad clause glue. Likelihood features include recurrence across documents, frontier roles, conservation, productive paths to S, control purity, and held-out repair shape.</w:t>
      </w:r>
    </w:p>
    <w:p>
      <w:pPr>
        <w:pStyle w:val="Heading3"/>
      </w:pPr>
      <w:r>
        <w:t>Minimal implementation</w:t>
      </w:r>
    </w:p>
    <w:p>
      <w:pPr>
        <w:numPr>
          <w:ilvl w:val="0"/>
          <w:numId w:val="10"/>
        </w:numPr>
      </w:pPr>
      <w:r>
        <w:rPr>
          <w:rFonts w:ascii="Calibri" w:hAnsi="Calibri" w:eastAsia="Calibri"/>
        </w:rPr>
        <w:t>Define a finite hypothesis vocabulary and a versioned evidence vector for each gap record; do not allow free-form model prose to become a posterior input.</w:t>
      </w:r>
    </w:p>
    <w:p>
      <w:pPr>
        <w:numPr>
          <w:ilvl w:val="0"/>
          <w:numId w:val="10"/>
        </w:numPr>
      </w:pPr>
      <w:r>
        <w:rPr>
          <w:rFonts w:ascii="Calibri" w:hAnsi="Calibri" w:eastAsia="Calibri"/>
        </w:rPr>
        <w:t>Estimate conservative likelihood tables from historical experiments such as broad-glue failures, compound fission, and the 'to' lexical repair.</w:t>
      </w:r>
    </w:p>
    <w:p>
      <w:pPr>
        <w:numPr>
          <w:ilvl w:val="0"/>
          <w:numId w:val="10"/>
        </w:numPr>
      </w:pPr>
      <w:r>
        <w:rPr>
          <w:rFonts w:ascii="Calibri" w:hAnsi="Calibri" w:eastAsia="Calibri"/>
        </w:rPr>
        <w:t>Enumerate sandbox experiments - add lexical reading, add residual bond, alter lift provenance, or no-op control - and rank them by expected information gain or expected predictive improvement.</w:t>
      </w:r>
    </w:p>
    <w:p>
      <w:pPr>
        <w:numPr>
          <w:ilvl w:val="0"/>
          <w:numId w:val="10"/>
        </w:numPr>
      </w:pPr>
      <w:r>
        <w:rPr>
          <w:rFonts w:ascii="Calibri" w:hAnsi="Calibri" w:eastAsia="Calibri"/>
        </w:rPr>
        <w:t>Keep the detector non-participatory. It may emit a preregistration draft and sandbox options.bonds/options.lexicon patch, never mutate production grammar.</w:t>
      </w:r>
    </w:p>
    <w:p>
      <w:pPr>
        <w:numPr>
          <w:ilvl w:val="0"/>
          <w:numId w:val="10"/>
        </w:numPr>
      </w:pPr>
      <w:r>
        <w:rPr>
          <w:rFonts w:ascii="Calibri" w:hAnsi="Calibri" w:eastAsia="Calibri"/>
        </w:rPr>
        <w:t>Update posteriors only after the result is sealed, including null and harmful outcomes.</w:t>
      </w:r>
    </w:p>
    <w:p>
      <w:pPr>
        <w:pStyle w:val="Heading3"/>
      </w:pPr>
      <w:r>
        <w:t>Preregistered experiment</w:t>
      </w:r>
    </w:p>
    <w:p>
      <w:r>
        <w:rPr>
          <w:rFonts w:ascii="Calibri" w:hAnsi="Calibri" w:eastAsia="Calibri"/>
        </w:rPr>
        <w:t>Backtest the catalyst on historical episodes while hiding the outcome: the seven impure broad bonds, DET+NP fission, compound-family repair, 'to' dual emission, punctuation/fronting projection, and recursive particle leak. Primary endpoint is rank of the actually successful intervention compared with recurrence frequency and a hand-coded baseline. Prospective testing then selects one new gap family on DEV and evaluates the chosen intervention on sealed TEST.</w:t>
      </w:r>
    </w:p>
    <w:p>
      <w:r>
        <w:rPr>
          <w:rFonts w:ascii="Calibri" w:hAnsi="Calibri" w:eastAsia="Calibri"/>
        </w:rPr>
        <w:t>The theory fails if its recommended experiments are no better than choosing the most frequent gap, if posterior concentration comes from priors rather than evidence, or if it repeatedly recommends new broad bonds for failures caused upstream. A successful recommendation still does not promote grammar; it only improves experimental efficiency.</w:t>
      </w:r>
    </w:p>
    <w:p>
      <w:pPr>
        <w:pStyle w:val="Heading3"/>
      </w:pPr>
      <w:r>
        <w:t>Risks</w:t>
      </w:r>
    </w:p>
    <w:p>
      <w:r>
        <w:rPr>
          <w:rFonts w:ascii="Calibri" w:hAnsi="Calibri" w:eastAsia="Calibri"/>
        </w:rPr>
        <w:t>Historical data are few and selectively documented, making learned likelihoods fragile. The first version should be transparent and low-dimensional. Expected information gain can also select exotic cases that teach the model but do not improve normal sentences; an expected predictive information-gain variant should weight the target corpus distribution.</w:t>
      </w:r>
    </w:p>
    <w:p>
      <w:pPr>
        <w:pStyle w:val="Heading2"/>
      </w:pPr>
      <w:r>
        <w:t>5.10 Theory 10 - Determinantal Diversity Particles</w:t>
      </w:r>
    </w:p>
    <w:p>
      <w:pPr>
        <w:spacing w:before="100" w:after="200" w:line="288" w:lineRule="auto"/>
        <w:ind w:left="230" w:right="115"/>
        <w:shd w:fill="F4F6F9"/>
        <w:pBdr>
          <w:left w:val="single" w:sz="16" w:space="8" w:color="2E74B5"/>
        </w:pBdr>
      </w:pPr>
      <w:r>
        <w:rPr>
          <w:rFonts w:ascii="Calibri" w:hAnsi="Calibri" w:eastAsia="Calibri"/>
          <w:b/>
          <w:color w:val="17324D"/>
          <w:sz w:val="21"/>
        </w:rPr>
        <w:t xml:space="preserve">Theory. </w:t>
      </w:r>
      <w:r>
        <w:rPr>
          <w:rFonts w:ascii="Calibri" w:hAnsi="Calibri" w:eastAsia="Calibri"/>
          <w:color w:val="202A34"/>
          <w:sz w:val="21"/>
        </w:rPr>
        <w:t>Cyclotron search can select a diverse set of high-quality semantic candidates using a repulsive subset objective. This should reduce redundant hypotheses, but it will not raise quality unless the quality kernel is already valid.</w:t>
      </w:r>
    </w:p>
    <w:p>
      <w:pPr>
        <w:pStyle w:val="Heading3"/>
      </w:pPr>
      <w:r>
        <w:t>Mechanism and research basis</w:t>
      </w:r>
    </w:p>
    <w:p>
      <w:r>
        <w:rPr>
          <w:rFonts w:ascii="Calibri" w:hAnsi="Calibri" w:eastAsia="Calibri"/>
        </w:rPr>
        <w:t>Determinantal point processes assign higher probability to subsets that combine item quality with pairwise diversity. They are appropriate when the output should cover distinct regions rather than repeat near-duplicates. The internal occupancy-entropy result makes the need precise: random exploration increased unique molecules by 85%, yet maximum intrinsic energy remained 0.826574 in both arms. Diversity alone changed yield, not the ceiling. A DPP can concentrate diversity among candidates that already pass structural and semantic quality gates.</w:t>
      </w:r>
    </w:p>
    <w:p>
      <w:pPr>
        <w:pStyle w:val="Equation"/>
        <w:jc w:val="center"/>
      </w:pPr>
      <w:r>
        <w:rPr>
          <w:rFonts w:ascii="Consolas" w:hAnsi="Consolas" w:eastAsia="Consolas"/>
          <w:color w:val="17324D"/>
          <w:sz w:val="19"/>
        </w:rPr>
        <w:t>P(Y) proportional_to det(L_Y), where L_ij = q_i * similarity_or_repulsion(i,j) * q_j</w:t>
      </w:r>
    </w:p>
    <w:p>
      <w:r>
        <w:rPr>
          <w:rFonts w:ascii="Calibri" w:hAnsi="Calibri" w:eastAsia="Calibri"/>
        </w:rPr>
        <w:t>Each candidate receives quality q from structural validity, relation-sensitive chemistry, novelty, evidence density, and protected-rule status. Similarity is computed from particle-family coverage, topology, provenance, and role bindings - not labels alone. Selecting a fixed-size k-DPP shortlist yields candidates that are both individually strong and mutually non-redundant.</w:t>
      </w:r>
    </w:p>
    <w:p>
      <w:pPr>
        <w:pStyle w:val="Heading3"/>
      </w:pPr>
      <w:r>
        <w:t>Minimal implementation</w:t>
      </w:r>
    </w:p>
    <w:p>
      <w:pPr>
        <w:numPr>
          <w:ilvl w:val="0"/>
          <w:numId w:val="10"/>
        </w:numPr>
      </w:pPr>
      <w:r>
        <w:rPr>
          <w:rFonts w:ascii="Calibri" w:hAnsi="Calibri" w:eastAsia="Calibri"/>
        </w:rPr>
        <w:t>Construct a deterministic candidate feature vector from topology, particle families, evidence sources, domains, and relation-sensitive chemistry.</w:t>
      </w:r>
    </w:p>
    <w:p>
      <w:pPr>
        <w:numPr>
          <w:ilvl w:val="0"/>
          <w:numId w:val="10"/>
        </w:numPr>
      </w:pPr>
      <w:r>
        <w:rPr>
          <w:rFonts w:ascii="Calibri" w:hAnsi="Calibri" w:eastAsia="Calibri"/>
        </w:rPr>
        <w:t>Build a positive semidefinite similarity kernel and record its checksum; reject kernels that change under candidate order.</w:t>
      </w:r>
    </w:p>
    <w:p>
      <w:pPr>
        <w:numPr>
          <w:ilvl w:val="0"/>
          <w:numId w:val="10"/>
        </w:numPr>
      </w:pPr>
      <w:r>
        <w:rPr>
          <w:rFonts w:ascii="Calibri" w:hAnsi="Calibri" w:eastAsia="Calibri"/>
        </w:rPr>
        <w:t>Apply DPP selection only after current refusal and quality floors. It is a shortlist selector, not a molecule generator or grammar promoter.</w:t>
      </w:r>
    </w:p>
    <w:p>
      <w:pPr>
        <w:numPr>
          <w:ilvl w:val="0"/>
          <w:numId w:val="10"/>
        </w:numPr>
      </w:pPr>
      <w:r>
        <w:rPr>
          <w:rFonts w:ascii="Calibri" w:hAnsi="Calibri" w:eastAsia="Calibri"/>
        </w:rPr>
        <w:t>Compare against occupancy entropy, top-k by score, maximal marginal relevance, and random licensed subsets of equal size.</w:t>
      </w:r>
    </w:p>
    <w:p>
      <w:pPr>
        <w:numPr>
          <w:ilvl w:val="0"/>
          <w:numId w:val="10"/>
        </w:numPr>
      </w:pPr>
      <w:r>
        <w:rPr>
          <w:rFonts w:ascii="Calibri" w:hAnsi="Calibri" w:eastAsia="Calibri"/>
        </w:rPr>
        <w:t>Evaluate human-review utility: unique valid families, realizedFraction, implementation value, and reviewer time, not unique molecule count alone.</w:t>
      </w:r>
    </w:p>
    <w:p>
      <w:pPr>
        <w:pStyle w:val="Heading3"/>
      </w:pPr>
      <w:r>
        <w:t>Preregistered experiment</w:t>
      </w:r>
    </w:p>
    <w:p>
      <w:r>
        <w:rPr>
          <w:rFonts w:ascii="Calibri" w:hAnsi="Calibri" w:eastAsia="Calibri"/>
        </w:rPr>
        <w:t>Primary endpoint: number of non-redundant, structurally valid, human-review-worthy candidates in a fixed shortlist budget. Secondary endpoints: family coverage, mean pairwise similarity, maximum final score, realizedFraction, and review time. Controls use the real quality scores with shuffled similarity, real similarity with uniform quality, and label-deranged features. The theory succeeds if it increases useful family coverage without lowering the number of valid candidates or inflating review cost.</w:t>
      </w:r>
    </w:p>
    <w:p>
      <w:pPr>
        <w:pStyle w:val="Heading3"/>
      </w:pPr>
      <w:r>
        <w:t>Risks</w:t>
      </w:r>
    </w:p>
    <w:p>
      <w:r>
        <w:rPr>
          <w:rFonts w:ascii="Calibri" w:hAnsi="Calibri" w:eastAsia="Calibri"/>
        </w:rPr>
        <w:t>A DPP can diversify noise. It is ranked tenth because it depends on the success of earlier semantic and provenance particles. A flawed similarity kernel can also reward superficial difference. The selection must be reproducible and its benefits judged on downstream review, not mathematical diversity by itself.</w:t>
      </w:r>
    </w:p>
    <w:p>
      <w:pPr>
        <w:pStyle w:val="Heading1"/>
      </w:pPr>
      <w:r>
        <w:t>6. Integrated architecture and experimental program</w:t>
      </w:r>
    </w:p>
    <w:p>
      <w:pPr>
        <w:pStyle w:val="Heading2"/>
      </w:pPr>
      <w:r>
        <w:t>6.1 Dependency structure</w:t>
      </w:r>
    </w:p>
    <w:p>
      <w:r>
        <w:rPr>
          <w:rFonts w:ascii="Calibri" w:hAnsi="Calibri" w:eastAsia="Calibri"/>
        </w:rPr>
        <w:t>The ten theories are not independent plug-ins. Some provide substrate, some consume it, and some exist only to test or control the others. The most important dependency is that derivation scoring should not be built on untyped, unprovenanced particles. Conversely, the particle schema should not be considered valuable merely because it exists; its value must appear under a derivation or diagnostic endpoint.</w:t>
      </w:r>
    </w:p>
    <w:tbl>
      <w:tblPr>
        <w:tblStyle w:val="TableGrid"/>
        <w:tblW w:type="dxa" w:w="9360"/>
        <w:jc w:val="left"/>
        <w:tblLayout w:type="fixed"/>
        <w:tblLook w:firstColumn="1" w:firstRow="1" w:lastColumn="0" w:lastRow="0" w:noHBand="0" w:noVBand="1" w:val="04A0"/>
        <w:tblInd w:w="120" w:type="dxa"/>
        <w:tblCaption w:val="ConstellationOS research table 3"/>
      </w:tblPr>
      <w:tblGrid>
        <w:gridCol w:w="1450"/>
        <w:gridCol w:w="2350"/>
        <w:gridCol w:w="2750"/>
        <w:gridCol w:w="2810"/>
      </w:tblGrid>
      <w:tr>
        <w:trPr>
          <w:tblHeader w:val="true"/>
          <w:cantSplit w:val="true"/>
        </w:trPr>
        <w:tc>
          <w:tcPr>
            <w:tcW w:type="dxa" w:w="145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Layer</w:t>
            </w:r>
          </w:p>
        </w:tc>
        <w:tc>
          <w:tcPr>
            <w:tcW w:type="dxa" w:w="235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Theories</w:t>
            </w:r>
          </w:p>
        </w:tc>
        <w:tc>
          <w:tcPr>
            <w:tcW w:type="dxa" w:w="275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Supplies</w:t>
            </w:r>
          </w:p>
        </w:tc>
        <w:tc>
          <w:tcPr>
            <w:tcW w:type="dxa" w:w="281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Dependency constraint</w:t>
            </w:r>
          </w:p>
        </w:tc>
      </w:tr>
      <w:tr>
        <w:trPr>
          <w:cantSplit w:val="true"/>
        </w:trPr>
        <w:tc>
          <w:tcPr>
            <w:tcW w:type="dxa" w:w="14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Foundation</w:t>
            </w:r>
          </w:p>
        </w:tc>
        <w:tc>
          <w:tcPr>
            <w:tcW w:type="dxa" w:w="23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T4 provenance, T5 reachability</w:t>
            </w:r>
          </w:p>
        </w:tc>
        <w:tc>
          <w:tcPr>
            <w:tcW w:type="dxa" w:w="27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Safety, exact support, immutable identity</w:t>
            </w:r>
          </w:p>
        </w:tc>
        <w:tc>
          <w:tcPr>
            <w:tcW w:type="dxa" w:w="28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Can land annotation-only first</w:t>
            </w:r>
          </w:p>
        </w:tc>
      </w:tr>
      <w:tr>
        <w:trPr>
          <w:cantSplit w:val="true"/>
        </w:trPr>
        <w:tc>
          <w:tcPr>
            <w:tcW w:type="dxa" w:w="14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Lexical semantics</w:t>
            </w:r>
          </w:p>
        </w:tc>
        <w:tc>
          <w:tcPr>
            <w:tcW w:type="dxa" w:w="23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T1 microfeatures, T2 selectional charges</w:t>
            </w:r>
          </w:p>
        </w:tc>
        <w:tc>
          <w:tcPr>
            <w:tcW w:type="dxa" w:w="27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Sparse evidence and relation-specific compatibility</w:t>
            </w:r>
          </w:p>
        </w:tc>
        <w:tc>
          <w:tcPr>
            <w:tcW w:type="dxa" w:w="281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T2 depends on T1 or a minimal class backoff</w:t>
            </w:r>
          </w:p>
        </w:tc>
      </w:tr>
      <w:tr>
        <w:trPr>
          <w:cantSplit w:val="true"/>
        </w:trPr>
        <w:tc>
          <w:tcPr>
            <w:tcW w:type="dxa" w:w="14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Forest inference</w:t>
            </w:r>
          </w:p>
        </w:tc>
        <w:tc>
          <w:tcPr>
            <w:tcW w:type="dxa" w:w="23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T3 inside-outside, T7 role binding</w:t>
            </w:r>
          </w:p>
        </w:tc>
        <w:tc>
          <w:tcPr>
            <w:tcW w:type="dxa" w:w="27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Concrete derivation scores and compositional relations</w:t>
            </w:r>
          </w:p>
        </w:tc>
        <w:tc>
          <w:tcPr>
            <w:tcW w:type="dxa" w:w="28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Requires stable packed derivation IDs</w:t>
            </w:r>
          </w:p>
        </w:tc>
      </w:tr>
      <w:tr>
        <w:trPr>
          <w:cantSplit w:val="true"/>
        </w:trPr>
        <w:tc>
          <w:tcPr>
            <w:tcW w:type="dxa" w:w="14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Scientific control</w:t>
            </w:r>
          </w:p>
        </w:tc>
        <w:tc>
          <w:tcPr>
            <w:tcW w:type="dxa" w:w="23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T6 spectral, T8 bottleneck</w:t>
            </w:r>
          </w:p>
        </w:tc>
        <w:tc>
          <w:tcPr>
            <w:tcW w:type="dxa" w:w="27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Falsification and particle compression</w:t>
            </w:r>
          </w:p>
        </w:tc>
        <w:tc>
          <w:tcPr>
            <w:tcW w:type="dxa" w:w="281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Must see frozen outputs, never admission</w:t>
            </w:r>
          </w:p>
        </w:tc>
      </w:tr>
      <w:tr>
        <w:trPr>
          <w:cantSplit w:val="true"/>
        </w:trPr>
        <w:tc>
          <w:tcPr>
            <w:tcW w:type="dxa" w:w="14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Discovery/search</w:t>
            </w:r>
          </w:p>
        </w:tc>
        <w:tc>
          <w:tcPr>
            <w:tcW w:type="dxa" w:w="23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T9 Bayesian catalyst, T10 DPP</w:t>
            </w:r>
          </w:p>
        </w:tc>
        <w:tc>
          <w:tcPr>
            <w:tcW w:type="dxa" w:w="27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Efficient experiments and diverse review</w:t>
            </w:r>
          </w:p>
        </w:tc>
        <w:tc>
          <w:tcPr>
            <w:tcW w:type="dxa" w:w="28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Depends on trustworthy evidence and quality kernels</w:t>
            </w:r>
          </w:p>
        </w:tc>
      </w:tr>
    </w:tbl>
    <w:p>
      <w:pPr>
        <w:spacing w:after="40"/>
      </w:pPr>
    </w:p>
    <w:p>
      <w:pPr>
        <w:pStyle w:val="CaptionCustom"/>
      </w:pPr>
      <w:r>
        <w:rPr>
          <w:rFonts w:ascii="Calibri" w:hAnsi="Calibri" w:eastAsia="Calibri"/>
          <w:i/>
          <w:color w:val="627180"/>
          <w:sz w:val="18"/>
        </w:rPr>
        <w:t>Table 3. Theory dependencies. The ranking orders research priority; this table determines implementation sequence.</w:t>
      </w:r>
    </w:p>
    <w:p>
      <w:pPr>
        <w:pStyle w:val="Heading2"/>
      </w:pPr>
      <w:r>
        <w:t>6.2 Reference particle schema</w:t>
      </w:r>
    </w:p>
    <w:p>
      <w:pPr>
        <w:pStyle w:val="Equation"/>
        <w:jc w:val="center"/>
      </w:pPr>
      <w:r>
        <w:rPr>
          <w:rFonts w:ascii="Consolas" w:hAnsi="Consolas" w:eastAsia="Consolas"/>
          <w:color w:val="17324D"/>
          <w:sz w:val="19"/>
        </w:rPr>
        <w:t>SemanticParticle { id, schemaVersion, scope, kind, value, polarity, confidence?, evidence[], provenance, permissions, createdBy, corpusHash?, deterministicKey }</w:t>
      </w:r>
    </w:p>
    <w:p>
      <w:r>
        <w:rPr>
          <w:rFonts w:ascii="Calibri" w:hAnsi="Calibri" w:eastAsia="Calibri"/>
        </w:rPr>
        <w:t>Permissions should be machine-enforced. Suggested values are OBSERVE, SCORE_TOKEN, SCORE_DERIVATION, PROPAGATE_SUPPORT, CARRY_CAPABILITY, and PROPOSE_EXPERIMENT. There is intentionally no ADMIT_BOND permission. A reviewed Grimoire change is represented as a different artifact class with its own authorship and law checks.</w:t>
      </w:r>
    </w:p>
    <w:p>
      <w:r>
        <w:rPr>
          <w:rFonts w:ascii="Calibri" w:hAnsi="Calibri" w:eastAsia="Calibri"/>
        </w:rPr>
        <w:t>Particles should be immutable. A later inference does not edit a lexical particle; it emits a new derived particle that points to its parents. This makes particle provenance a DAG and enables exact explanation, ablation, and hashing. Repeated equivalent particles are interned by deterministic key to control memory.</w:t>
      </w:r>
    </w:p>
    <w:p>
      <w:pPr>
        <w:pStyle w:val="Heading2"/>
      </w:pPr>
      <w:r>
        <w:t>6.3 Staged program</w:t>
      </w:r>
    </w:p>
    <w:p>
      <w:pPr>
        <w:spacing w:before="120" w:after="40"/>
        <w:jc w:val="center"/>
      </w:pPr>
      <w:r>
        <w:drawing>
          <wp:inline xmlns:a="http://schemas.openxmlformats.org/drawingml/2006/main" xmlns:pic="http://schemas.openxmlformats.org/drawingml/2006/picture">
            <wp:extent cx="5943600" cy="3078228"/>
            <wp:docPr id="2" name="Picture 2" title="Experimental promotion program" descr="Six-stage flow from observation and annotation through scoring, falsification, replication, and human review. Three gates require determinism, linguistic value, and homeostasis."/>
            <wp:cNvGraphicFramePr>
              <a:graphicFrameLocks noChangeAspect="1"/>
            </wp:cNvGraphicFramePr>
            <a:graphic>
              <a:graphicData uri="http://schemas.openxmlformats.org/drawingml/2006/picture">
                <pic:pic>
                  <pic:nvPicPr>
                    <pic:cNvPr id="0" name="experimental_program.png"/>
                    <pic:cNvPicPr/>
                  </pic:nvPicPr>
                  <pic:blipFill>
                    <a:blip r:embed="rId12"/>
                    <a:stretch>
                      <a:fillRect/>
                    </a:stretch>
                  </pic:blipFill>
                  <pic:spPr>
                    <a:xfrm>
                      <a:off x="0" y="0"/>
                      <a:ext cx="5943600" cy="3078228"/>
                    </a:xfrm>
                    <a:prstGeom prst="rect"/>
                  </pic:spPr>
                </pic:pic>
              </a:graphicData>
            </a:graphic>
          </wp:inline>
        </w:drawing>
      </w:r>
    </w:p>
    <w:p>
      <w:pPr>
        <w:pStyle w:val="CaptionCustom"/>
      </w:pPr>
      <w:r>
        <w:rPr>
          <w:rFonts w:ascii="Calibri" w:hAnsi="Calibri" w:eastAsia="Calibri"/>
          <w:i/>
          <w:color w:val="627180"/>
          <w:sz w:val="18"/>
        </w:rPr>
        <w:t>Figure 2. No particle moves directly from an idea to grammar. Each stage has a different authorization boundary and evidence burden.</w:t>
      </w:r>
    </w:p>
    <w:p>
      <w:r>
        <w:rPr>
          <w:rFonts w:ascii="Calibri" w:hAnsi="Calibri" w:eastAsia="Calibri"/>
        </w:rPr>
        <w:t>The staging prevents the most common false positive in this codebase: a mechanism changes multiple layers, produces an attractive aggregate number, and becomes impossible to localize. Annotation-only phases require byte-identical parser outputs. Scoring phases allow rank changes but not forest changes. Consumption phases allow bounded suppression or prioritization only after their annotation evidence beats controls. Grammar changes are a separate human-reviewed research act.</w:t>
      </w:r>
    </w:p>
    <w:p>
      <w:pPr>
        <w:pStyle w:val="Heading1"/>
      </w:pPr>
      <w:r>
        <w:t>7. Statistical protocol and preregistration requirements</w:t>
      </w:r>
    </w:p>
    <w:p>
      <w:pPr>
        <w:pStyle w:val="Heading2"/>
      </w:pPr>
      <w:r>
        <w:t>7.1 Corpora and splits</w:t>
      </w:r>
    </w:p>
    <w:p>
      <w:r>
        <w:rPr>
          <w:rFonts w:ascii="Calibri" w:hAnsi="Calibri" w:eastAsia="Calibri"/>
        </w:rPr>
        <w:t>The frozen 395-sentence treebank gate remains a regression chamber, not the sole scientific test. Primary evaluation should use document-disjoint DEV and TEST splits from a frozen Universal Dependencies English Web Treebank release, whose web genres make it suitable for non-canonical English (Silveira et al., 2014; Nivre et al., 2020). A second English treebank with different genre composition should test external validity. Corpus files, lexicon snapshot, particle schema, grammar, and code commit are hashed into every report.</w:t>
      </w:r>
    </w:p>
    <w:p>
      <w:r>
        <w:rPr>
          <w:rFonts w:ascii="Calibri" w:hAnsi="Calibri" w:eastAsia="Calibri"/>
        </w:rPr>
        <w:t>Ambiguity studies require a prospectively defined subset: sentences with at least two complete concrete derivations that yield distinct gold-relevant heads or projections. The subset definition is frozen before treatment results are inspected. The current 26-case beacon slice remains a smoke test; it is not enough to support small effect claims.</w:t>
      </w:r>
    </w:p>
    <w:p>
      <w:pPr>
        <w:pStyle w:val="Heading2"/>
      </w:pPr>
      <w:r>
        <w:t>7.2 Endpoints</w:t>
      </w:r>
    </w:p>
    <w:p>
      <w:r>
        <w:rPr>
          <w:rFonts w:ascii="Calibri" w:hAnsi="Calibri" w:eastAsia="Calibri"/>
        </w:rPr>
        <w:t>Every experiment reports all of the following, even when only one is primary:</w:t>
      </w:r>
    </w:p>
    <w:p>
      <w:pPr>
        <w:numPr>
          <w:ilvl w:val="0"/>
          <w:numId w:val="10"/>
        </w:numPr>
      </w:pPr>
      <w:r>
        <w:rPr>
          <w:rFonts w:ascii="Calibri" w:hAnsi="Calibri" w:eastAsia="Calibri"/>
        </w:rPr>
        <w:t>Linguistic reach: complete S coverage, root built, gold containment, stable-root count, and non-sentential valid-fragment counts where defined.</w:t>
      </w:r>
    </w:p>
    <w:p>
      <w:pPr>
        <w:numPr>
          <w:ilvl w:val="0"/>
          <w:numId w:val="10"/>
        </w:numPr>
      </w:pPr>
      <w:r>
        <w:rPr>
          <w:rFonts w:ascii="Calibri" w:hAnsi="Calibri" w:eastAsia="Calibri"/>
        </w:rPr>
        <w:t>Ranking quality: top-1 gold head or answer, mean reciprocal rank, oracle containment, and probability calibration when scores are probabilistic.</w:t>
      </w:r>
    </w:p>
    <w:p>
      <w:pPr>
        <w:numPr>
          <w:ilvl w:val="0"/>
          <w:numId w:val="10"/>
        </w:numPr>
      </w:pPr>
      <w:r>
        <w:rPr>
          <w:rFonts w:ascii="Calibri" w:hAnsi="Calibri" w:eastAsia="Calibri"/>
        </w:rPr>
        <w:t>Lexical quality: UPOS accuracy restricted to tokens with at least two emitted types; results by lemma frequency and resource coverage.</w:t>
      </w:r>
    </w:p>
    <w:p>
      <w:pPr>
        <w:numPr>
          <w:ilvl w:val="0"/>
          <w:numId w:val="10"/>
        </w:numPr>
      </w:pPr>
      <w:r>
        <w:rPr>
          <w:rFonts w:ascii="Calibri" w:hAnsi="Calibri" w:eastAsia="Calibri"/>
        </w:rPr>
        <w:t>Forest health: total answers, answers per sentence, derivation count or packed width, event mean/median/p95/max, promotion wakes, and recursive-preservative firings.</w:t>
      </w:r>
    </w:p>
    <w:p>
      <w:pPr>
        <w:numPr>
          <w:ilvl w:val="0"/>
          <w:numId w:val="10"/>
        </w:numPr>
      </w:pPr>
      <w:r>
        <w:rPr>
          <w:rFonts w:ascii="Calibri" w:hAnsi="Calibri" w:eastAsia="Calibri"/>
        </w:rPr>
        <w:t>Safety: queue/stack parity, packed/classic parity on bounded fixtures, termination, zero throws, deterministic hashes, and no forbidden privilege acquisition.</w:t>
      </w:r>
    </w:p>
    <w:p>
      <w:pPr>
        <w:numPr>
          <w:ilvl w:val="0"/>
          <w:numId w:val="10"/>
        </w:numPr>
      </w:pPr>
      <w:r>
        <w:rPr>
          <w:rFonts w:ascii="Calibri" w:hAnsi="Calibri" w:eastAsia="Calibri"/>
        </w:rPr>
        <w:t>Cost: wall-clock as telemetry only, CPU time where measurable, peak memory, cache size, and asymptotic counters independent of hardware timing.</w:t>
      </w:r>
    </w:p>
    <w:p>
      <w:pPr>
        <w:pStyle w:val="Heading2"/>
      </w:pPr>
      <w:r>
        <w:t>7.3 Controls</w:t>
      </w:r>
    </w:p>
    <w:p>
      <w:r>
        <w:rPr>
          <w:rFonts w:ascii="Calibri" w:hAnsi="Calibri" w:eastAsia="Calibri"/>
          <w:b/>
          <w:i w:val="0"/>
        </w:rPr>
        <w:t xml:space="preserve">Semantic derangement: </w:t>
      </w:r>
      <w:r>
        <w:rPr>
          <w:rFonts w:ascii="Calibri" w:hAnsi="Calibri" w:eastAsia="Calibri"/>
          <w:b w:val="0"/>
          <w:i w:val="0"/>
        </w:rPr>
        <w:t>Permute labels or feature values while preserving topology, counts, and marginal distributions.</w:t>
      </w:r>
    </w:p>
    <w:p>
      <w:r>
        <w:rPr>
          <w:rFonts w:ascii="Calibri" w:hAnsi="Calibri" w:eastAsia="Calibri"/>
          <w:b/>
          <w:i w:val="0"/>
        </w:rPr>
        <w:t xml:space="preserve">Structural shuffle: </w:t>
      </w:r>
      <w:r>
        <w:rPr>
          <w:rFonts w:ascii="Calibri" w:hAnsi="Calibri" w:eastAsia="Calibri"/>
          <w:b w:val="0"/>
          <w:i w:val="0"/>
        </w:rPr>
        <w:t>Preserve degree, span width, or number of marked nodes while disrupting meaningful correspondence.</w:t>
      </w:r>
    </w:p>
    <w:p>
      <w:r>
        <w:rPr>
          <w:rFonts w:ascii="Calibri" w:hAnsi="Calibri" w:eastAsia="Calibri"/>
          <w:b/>
          <w:i w:val="0"/>
        </w:rPr>
        <w:t xml:space="preserve">Ablation: </w:t>
      </w:r>
      <w:r>
        <w:rPr>
          <w:rFonts w:ascii="Calibri" w:hAnsi="Calibri" w:eastAsia="Calibri"/>
          <w:b w:val="0"/>
          <w:i w:val="0"/>
        </w:rPr>
        <w:t>Remove one particle family or provenance family from the full treatment.</w:t>
      </w:r>
    </w:p>
    <w:p>
      <w:r>
        <w:rPr>
          <w:rFonts w:ascii="Calibri" w:hAnsi="Calibri" w:eastAsia="Calibri"/>
          <w:b/>
          <w:i w:val="0"/>
        </w:rPr>
        <w:t xml:space="preserve">Sign reversal: </w:t>
      </w:r>
      <w:r>
        <w:rPr>
          <w:rFonts w:ascii="Calibri" w:hAnsi="Calibri" w:eastAsia="Calibri"/>
          <w:b w:val="0"/>
          <w:i w:val="0"/>
        </w:rPr>
        <w:t>Invert a compatibility score to prove the endpoint is sensitive in the expected direction.</w:t>
      </w:r>
    </w:p>
    <w:p>
      <w:r>
        <w:rPr>
          <w:rFonts w:ascii="Calibri" w:hAnsi="Calibri" w:eastAsia="Calibri"/>
          <w:b/>
          <w:i w:val="0"/>
        </w:rPr>
        <w:t xml:space="preserve">Null abstention: </w:t>
      </w:r>
      <w:r>
        <w:rPr>
          <w:rFonts w:ascii="Calibri" w:hAnsi="Calibri" w:eastAsia="Calibri"/>
          <w:b w:val="0"/>
          <w:i w:val="0"/>
        </w:rPr>
        <w:t>Run the complete code path with every particle abstaining, verifying no hidden default effect.</w:t>
      </w:r>
    </w:p>
    <w:p>
      <w:r>
        <w:rPr>
          <w:rFonts w:ascii="Calibri" w:hAnsi="Calibri" w:eastAsia="Calibri"/>
          <w:b/>
          <w:i w:val="0"/>
        </w:rPr>
        <w:t xml:space="preserve">Bounded enumeration: </w:t>
      </w:r>
      <w:r>
        <w:rPr>
          <w:rFonts w:ascii="Calibri" w:hAnsi="Calibri" w:eastAsia="Calibri"/>
          <w:b w:val="0"/>
          <w:i w:val="0"/>
        </w:rPr>
        <w:t>On short sentences, explicitly enumerate derivations to validate packed inference.</w:t>
      </w:r>
    </w:p>
    <w:p>
      <w:r>
        <w:rPr>
          <w:rFonts w:ascii="Calibri" w:hAnsi="Calibri" w:eastAsia="Calibri"/>
          <w:b/>
          <w:i w:val="0"/>
        </w:rPr>
        <w:t xml:space="preserve">Contrast set: </w:t>
      </w:r>
      <w:r>
        <w:rPr>
          <w:rFonts w:ascii="Calibri" w:hAnsi="Calibri" w:eastAsia="Calibri"/>
          <w:b w:val="0"/>
          <w:i w:val="0"/>
        </w:rPr>
        <w:t>Make minimal meaning-changing and meaning-preserving edits that define expected local behavior.</w:t>
      </w:r>
    </w:p>
    <w:p>
      <w:r>
        <w:rPr>
          <w:rFonts w:ascii="Calibri" w:hAnsi="Calibri" w:eastAsia="Calibri"/>
          <w:b/>
          <w:i w:val="0"/>
        </w:rPr>
        <w:t xml:space="preserve">Cross-corpus replication: </w:t>
      </w:r>
      <w:r>
        <w:rPr>
          <w:rFonts w:ascii="Calibri" w:hAnsi="Calibri" w:eastAsia="Calibri"/>
          <w:b w:val="0"/>
          <w:i w:val="0"/>
        </w:rPr>
        <w:t>Repeat the fixed intervention without retuning on a second frozen corpus.</w:t>
      </w:r>
    </w:p>
    <w:p>
      <w:pPr>
        <w:pStyle w:val="Heading2"/>
      </w:pPr>
      <w:r>
        <w:t>7.4 Statistical analysis</w:t>
      </w:r>
    </w:p>
    <w:p>
      <w:r>
        <w:rPr>
          <w:rFonts w:ascii="Calibri" w:hAnsi="Calibri" w:eastAsia="Calibri"/>
        </w:rPr>
        <w:t>Use paired resampling at the sentence or document level because systems are evaluated on the same examples. Report absolute effect, relative effect where meaningful, and a 95% confidence interval. For binary per-sentence outcomes, use McNemar's test or paired bootstrap/permutation as appropriate; for ranking differences, use paired bootstrap or a preregistered non-parametric test. Follow the test-selection concerns summarized by Dror et al. (2018).</w:t>
      </w:r>
    </w:p>
    <w:p>
      <w:r>
        <w:rPr>
          <w:rFonts w:ascii="Calibri" w:hAnsi="Calibri" w:eastAsia="Calibri"/>
        </w:rPr>
        <w:t>Ten theories create a multiple-comparison problem. Each theory has one primary endpoint; Holm correction controls the family-wise error rate across the initial ten confirmatory tests. Secondary endpoints are descriptive unless separately powered and preregistered. Cross-dataset conclusions use a replicability analysis rather than treating hundreds of sentences from one treebank as independent replications (Dror et al., 2017).</w:t>
      </w:r>
    </w:p>
    <w:p>
      <w:r>
        <w:rPr>
          <w:rFonts w:ascii="Calibri" w:hAnsi="Calibri" w:eastAsia="Calibri"/>
        </w:rPr>
        <w:t>Do not use a p-value as the promotion criterion by itself. A treatment must cross a minimum meaningful effect, preserve all protection endpoints, beat its adversarial control, and replicate. Confidence intervals and full score distributions are reported even when the result is null.</w:t>
      </w:r>
    </w:p>
    <w:p>
      <w:pPr>
        <w:pStyle w:val="Heading2"/>
      </w:pPr>
      <w:r>
        <w:t>7.5 General protection gates</w:t>
      </w:r>
    </w:p>
    <w:tbl>
      <w:tblPr>
        <w:tblStyle w:val="TableGrid"/>
        <w:tblW w:type="dxa" w:w="9360"/>
        <w:jc w:val="left"/>
        <w:tblLayout w:type="fixed"/>
        <w:tblLook w:firstColumn="1" w:firstRow="1" w:lastColumn="0" w:lastRow="0" w:noHBand="0" w:noVBand="1" w:val="04A0"/>
        <w:tblInd w:w="120" w:type="dxa"/>
        <w:tblCaption w:val="ConstellationOS research table 4"/>
      </w:tblPr>
      <w:tblGrid>
        <w:gridCol w:w="1700"/>
        <w:gridCol w:w="4700"/>
        <w:gridCol w:w="2960"/>
      </w:tblGrid>
      <w:tr>
        <w:trPr>
          <w:tblHeader w:val="true"/>
          <w:cantSplit w:val="true"/>
        </w:trPr>
        <w:tc>
          <w:tcPr>
            <w:tcW w:type="dxa" w:w="17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Gate</w:t>
            </w:r>
          </w:p>
        </w:tc>
        <w:tc>
          <w:tcPr>
            <w:tcW w:type="dxa" w:w="47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Requirement</w:t>
            </w:r>
          </w:p>
        </w:tc>
        <w:tc>
          <w:tcPr>
            <w:tcW w:type="dxa" w:w="296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Failure rule</w:t>
            </w:r>
          </w:p>
        </w:tc>
      </w:tr>
      <w:tr>
        <w:trPr>
          <w:cantSplit w:val="true"/>
        </w:trPr>
        <w:tc>
          <w:tcPr>
            <w:tcW w:type="dxa" w:w="1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Determinism</w:t>
            </w:r>
          </w:p>
        </w:tc>
        <w:tc>
          <w:tcPr>
            <w:tcW w:type="dxa" w:w="4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Two identical runs yield byte-identical semantic reports and forest hashes.</w:t>
            </w:r>
          </w:p>
        </w:tc>
        <w:tc>
          <w:tcPr>
            <w:tcW w:type="dxa" w:w="29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Any mismatch is a bug, not an effect.</w:t>
            </w:r>
          </w:p>
        </w:tc>
      </w:tr>
      <w:tr>
        <w:trPr>
          <w:cantSplit w:val="true"/>
        </w:trPr>
        <w:tc>
          <w:tcPr>
            <w:tcW w:type="dxa" w:w="1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Grammar sovereignty</w:t>
            </w:r>
          </w:p>
        </w:tc>
        <w:tc>
          <w:tcPr>
            <w:tcW w:type="dxa" w:w="4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BONDS, lifts, roots, active construction IDs, and Grimoire status are byte-identical in annotation/ranking experiments.</w:t>
            </w:r>
          </w:p>
        </w:tc>
        <w:tc>
          <w:tcPr>
            <w:tcW w:type="dxa" w:w="29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Any mutation invalidates the experiment.</w:t>
            </w:r>
          </w:p>
        </w:tc>
      </w:tr>
      <w:tr>
        <w:trPr>
          <w:cantSplit w:val="true"/>
        </w:trPr>
        <w:tc>
          <w:tcPr>
            <w:tcW w:type="dxa" w:w="1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Linguistic protection</w:t>
            </w:r>
          </w:p>
        </w:tc>
        <w:tc>
          <w:tcPr>
            <w:tcW w:type="dxa" w:w="4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No decline in preregistered containment, head pins, garden paths, or stable imperative roots.</w:t>
            </w:r>
          </w:p>
        </w:tc>
        <w:tc>
          <w:tcPr>
            <w:tcW w:type="dxa" w:w="29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 gain elsewhere cannot compensate.</w:t>
            </w:r>
          </w:p>
        </w:tc>
      </w:tr>
      <w:tr>
        <w:trPr>
          <w:cantSplit w:val="true"/>
        </w:trPr>
        <w:tc>
          <w:tcPr>
            <w:tcW w:type="dxa" w:w="1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Homeostasis</w:t>
            </w:r>
          </w:p>
        </w:tc>
        <w:tc>
          <w:tcPr>
            <w:tcW w:type="dxa" w:w="4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Mean/p95/max events and recursive-preservative firings remain under declared ceilings.</w:t>
            </w:r>
          </w:p>
        </w:tc>
        <w:tc>
          <w:tcPr>
            <w:tcW w:type="dxa" w:w="29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Event suppression with spanning loss also fails.</w:t>
            </w:r>
          </w:p>
        </w:tc>
      </w:tr>
      <w:tr>
        <w:trPr>
          <w:cantSplit w:val="true"/>
        </w:trPr>
        <w:tc>
          <w:tcPr>
            <w:tcW w:type="dxa" w:w="1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Control separation</w:t>
            </w:r>
          </w:p>
        </w:tc>
        <w:tc>
          <w:tcPr>
            <w:tcW w:type="dxa" w:w="470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Real particles beat deranged/shuffled/null controls on the primary endpoint.</w:t>
            </w:r>
          </w:p>
        </w:tc>
        <w:tc>
          <w:tcPr>
            <w:tcW w:type="dxa" w:w="296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No separation means no semantic evidence.</w:t>
            </w:r>
          </w:p>
        </w:tc>
      </w:tr>
      <w:tr>
        <w:trPr>
          <w:cantSplit w:val="true"/>
        </w:trPr>
        <w:tc>
          <w:tcPr>
            <w:tcW w:type="dxa" w:w="1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Replication</w:t>
            </w:r>
          </w:p>
        </w:tc>
        <w:tc>
          <w:tcPr>
            <w:tcW w:type="dxa" w:w="47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Direction and minimum effect hold on sealed TEST and a second corpus or genre group.</w:t>
            </w:r>
          </w:p>
        </w:tc>
        <w:tc>
          <w:tcPr>
            <w:tcW w:type="dxa" w:w="296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DEV-only wins remain hypotheses.</w:t>
            </w:r>
          </w:p>
        </w:tc>
      </w:tr>
    </w:tbl>
    <w:p>
      <w:pPr>
        <w:spacing w:after="40"/>
      </w:pPr>
    </w:p>
    <w:p>
      <w:pPr>
        <w:pStyle w:val="CaptionCustom"/>
      </w:pPr>
      <w:r>
        <w:rPr>
          <w:rFonts w:ascii="Calibri" w:hAnsi="Calibri" w:eastAsia="Calibri"/>
          <w:i/>
          <w:color w:val="627180"/>
          <w:sz w:val="18"/>
        </w:rPr>
        <w:t>Table 4. Standing promotion gates. Theory-specific criteria add to these; they do not replace them.</w:t>
      </w:r>
    </w:p>
    <w:p>
      <w:pPr>
        <w:pStyle w:val="Heading1"/>
      </w:pPr>
      <w:r>
        <w:t>8. Implementation roadmap, QA, and risks</w:t>
      </w:r>
    </w:p>
    <w:p>
      <w:pPr>
        <w:pStyle w:val="Heading2"/>
      </w:pPr>
      <w:r>
        <w:t>8.1 Recommended order</w:t>
      </w:r>
    </w:p>
    <w:p>
      <w:r>
        <w:rPr>
          <w:rFonts w:ascii="Calibri" w:hAnsi="Calibri" w:eastAsia="Calibri"/>
          <w:b/>
          <w:i w:val="0"/>
        </w:rPr>
        <w:t xml:space="preserve">Phase 0 - Freeze contracts. </w:t>
      </w:r>
      <w:r>
        <w:rPr>
          <w:rFonts w:ascii="Calibri" w:hAnsi="Calibri" w:eastAsia="Calibri"/>
          <w:b w:val="0"/>
          <w:i w:val="0"/>
        </w:rPr>
        <w:t>Publish SemanticParticle and CapabilityParticle schemas, IDs, permissions, sorting, checksums, and report versioning. Add no scores.</w:t>
      </w:r>
    </w:p>
    <w:p>
      <w:r>
        <w:rPr>
          <w:rFonts w:ascii="Calibri" w:hAnsi="Calibri" w:eastAsia="Calibri"/>
          <w:b/>
          <w:i w:val="0"/>
        </w:rPr>
        <w:t xml:space="preserve">Phase 1 - Safety and observability. </w:t>
      </w:r>
      <w:r>
        <w:rPr>
          <w:rFonts w:ascii="Calibri" w:hAnsi="Calibri" w:eastAsia="Calibri"/>
          <w:b w:val="0"/>
          <w:i w:val="0"/>
        </w:rPr>
        <w:t>Implement T4 capability provenance and T5 root reachability in annotate-only mode. Add parity, collision, and cycle tests.</w:t>
      </w:r>
    </w:p>
    <w:p>
      <w:r>
        <w:rPr>
          <w:rFonts w:ascii="Calibri" w:hAnsi="Calibri" w:eastAsia="Calibri"/>
          <w:b/>
          <w:i w:val="0"/>
        </w:rPr>
        <w:t xml:space="preserve">Phase 2 - Local semantic substrate. </w:t>
      </w:r>
      <w:r>
        <w:rPr>
          <w:rFonts w:ascii="Calibri" w:hAnsi="Calibri" w:eastAsia="Calibri"/>
          <w:b w:val="0"/>
          <w:i w:val="0"/>
        </w:rPr>
        <w:t>Implement T1 microfeatures and T2 selectional charges as observers, then token-only ranking behind options.semanticParticles.</w:t>
      </w:r>
    </w:p>
    <w:p>
      <w:r>
        <w:rPr>
          <w:rFonts w:ascii="Calibri" w:hAnsi="Calibri" w:eastAsia="Calibri"/>
          <w:b/>
          <w:i w:val="0"/>
        </w:rPr>
        <w:t xml:space="preserve">Phase 3 - Forest inference. </w:t>
      </w:r>
      <w:r>
        <w:rPr>
          <w:rFonts w:ascii="Calibri" w:hAnsi="Calibri" w:eastAsia="Calibri"/>
          <w:b w:val="0"/>
          <w:i w:val="0"/>
        </w:rPr>
        <w:t>Implement T3 exact Viterbi/inside-outside over derivation IDs. Add T7 exact role bindings before any reduced vectors.</w:t>
      </w:r>
    </w:p>
    <w:p>
      <w:r>
        <w:rPr>
          <w:rFonts w:ascii="Calibri" w:hAnsi="Calibri" w:eastAsia="Calibri"/>
          <w:b/>
          <w:i w:val="0"/>
        </w:rPr>
        <w:t xml:space="preserve">Phase 4 - Scientific instruments. </w:t>
      </w:r>
      <w:r>
        <w:rPr>
          <w:rFonts w:ascii="Calibri" w:hAnsi="Calibri" w:eastAsia="Calibri"/>
          <w:b w:val="0"/>
          <w:i w:val="0"/>
        </w:rPr>
        <w:t>Implement T6 contrastive response and T8 particle compression. Freeze a minimal validated inventory.</w:t>
      </w:r>
    </w:p>
    <w:p>
      <w:r>
        <w:rPr>
          <w:rFonts w:ascii="Calibri" w:hAnsi="Calibri" w:eastAsia="Calibri"/>
          <w:b/>
          <w:i w:val="0"/>
        </w:rPr>
        <w:t xml:space="preserve">Phase 5 - Discovery and search. </w:t>
      </w:r>
      <w:r>
        <w:rPr>
          <w:rFonts w:ascii="Calibri" w:hAnsi="Calibri" w:eastAsia="Calibri"/>
          <w:b w:val="0"/>
          <w:i w:val="0"/>
        </w:rPr>
        <w:t>Backtest T9 experimental design; add T10 DPP shortlist selection only after quality features pass null-substrate controls.</w:t>
      </w:r>
    </w:p>
    <w:p>
      <w:pPr>
        <w:pStyle w:val="Heading2"/>
      </w:pPr>
      <w:r>
        <w:t>8.2 Proposed module boundaries</w:t>
      </w:r>
    </w:p>
    <w:p>
      <w:pPr>
        <w:numPr>
          <w:ilvl w:val="0"/>
          <w:numId w:val="10"/>
        </w:numPr>
      </w:pPr>
      <w:r>
        <w:rPr>
          <w:rFonts w:ascii="Calibri" w:hAnsi="Calibri" w:eastAsia="Calibri"/>
        </w:rPr>
        <w:t>semantic-particles/schema.js - constants, validation, canonical serialization, permissions, schema checksum.</w:t>
      </w:r>
    </w:p>
    <w:p>
      <w:pPr>
        <w:numPr>
          <w:ilvl w:val="0"/>
          <w:numId w:val="10"/>
        </w:numPr>
      </w:pPr>
      <w:r>
        <w:rPr>
          <w:rFonts w:ascii="Calibri" w:hAnsi="Calibri" w:eastAsia="Calibri"/>
        </w:rPr>
        <w:t>semantic-particles/feature-provider.js - preloaded lexical feature access; no chart I/O.</w:t>
      </w:r>
    </w:p>
    <w:p>
      <w:pPr>
        <w:numPr>
          <w:ilvl w:val="0"/>
          <w:numId w:val="10"/>
        </w:numPr>
      </w:pPr>
      <w:r>
        <w:rPr>
          <w:rFonts w:ascii="Calibri" w:hAnsi="Calibri" w:eastAsia="Calibri"/>
        </w:rPr>
        <w:t>semantic-particles/selectional-index.js - frozen counts, smoothing, backoff, abstention.</w:t>
      </w:r>
    </w:p>
    <w:p>
      <w:pPr>
        <w:numPr>
          <w:ilvl w:val="0"/>
          <w:numId w:val="10"/>
        </w:numPr>
      </w:pPr>
      <w:r>
        <w:rPr>
          <w:rFonts w:ascii="Calibri" w:hAnsi="Calibri" w:eastAsia="Calibri"/>
        </w:rPr>
        <w:t>semantic-particles/derivation-factors.js - pure local factor extraction from packed derivations.</w:t>
      </w:r>
    </w:p>
    <w:p>
      <w:pPr>
        <w:numPr>
          <w:ilvl w:val="0"/>
          <w:numId w:val="10"/>
        </w:numPr>
      </w:pPr>
      <w:r>
        <w:rPr>
          <w:rFonts w:ascii="Calibri" w:hAnsi="Calibri" w:eastAsia="Calibri"/>
        </w:rPr>
        <w:t>semantic-particles/forest-inference.js - Viterbi, inside, outside, support, calibration report.</w:t>
      </w:r>
    </w:p>
    <w:p>
      <w:pPr>
        <w:numPr>
          <w:ilvl w:val="0"/>
          <w:numId w:val="10"/>
        </w:numPr>
      </w:pPr>
      <w:r>
        <w:rPr>
          <w:rFonts w:ascii="Calibri" w:hAnsi="Calibri" w:eastAsia="Calibri"/>
        </w:rPr>
        <w:t>semantic-particles/capability-transfer.js - authored privilege lattice and cycle analysis.</w:t>
      </w:r>
    </w:p>
    <w:p>
      <w:pPr>
        <w:numPr>
          <w:ilvl w:val="0"/>
          <w:numId w:val="10"/>
        </w:numPr>
      </w:pPr>
      <w:r>
        <w:rPr>
          <w:rFonts w:ascii="Calibri" w:hAnsi="Calibri" w:eastAsia="Calibri"/>
        </w:rPr>
        <w:t>semantic-particles/contrastive-probes.js - registry of meaning-preserving/changing interventions.</w:t>
      </w:r>
    </w:p>
    <w:p>
      <w:pPr>
        <w:numPr>
          <w:ilvl w:val="0"/>
          <w:numId w:val="10"/>
        </w:numPr>
      </w:pPr>
      <w:r>
        <w:rPr>
          <w:rFonts w:ascii="Calibri" w:hAnsi="Calibri" w:eastAsia="Calibri"/>
        </w:rPr>
        <w:t>semantic-particles/evidence-ledger.js - provenance DAG, ablation groups, report serialization.</w:t>
      </w:r>
    </w:p>
    <w:p>
      <w:pPr>
        <w:numPr>
          <w:ilvl w:val="0"/>
          <w:numId w:val="10"/>
        </w:numPr>
      </w:pPr>
      <w:r>
        <w:rPr>
          <w:rFonts w:ascii="Calibri" w:hAnsi="Calibri" w:eastAsia="Calibri"/>
        </w:rPr>
        <w:t>cyclotron/experimental-design.js and cyclotron/diverse-shortlist.js - non-participatory discovery tools.</w:t>
      </w:r>
    </w:p>
    <w:p>
      <w:r>
        <w:rPr>
          <w:rFonts w:ascii="Calibri" w:hAnsi="Calibri" w:eastAsia="Calibri"/>
        </w:rPr>
        <w:t>Names are illustrative; existing repository conventions take precedence. The structural requirement is a one-way dependency: parser core exposes immutable chart data; semantic modules observe and score; no semantic module imports the Grimoire mutator or writes to active constructions.</w:t>
      </w:r>
    </w:p>
    <w:p>
      <w:pPr>
        <w:pStyle w:val="Heading2"/>
      </w:pPr>
      <w:r>
        <w:t>8.3 QA checklist</w:t>
      </w:r>
    </w:p>
    <w:p>
      <w:pPr>
        <w:numPr>
          <w:ilvl w:val="0"/>
          <w:numId w:val="10"/>
        </w:numPr>
      </w:pPr>
      <w:r>
        <w:rPr>
          <w:rFonts w:ascii="Calibri" w:hAnsi="Calibri" w:eastAsia="Calibri"/>
        </w:rPr>
        <w:t>Schema validation rejects unknown kinds, permissions, non-finite scores, unordered evidence, and missing version hashes.</w:t>
      </w:r>
    </w:p>
    <w:p>
      <w:pPr>
        <w:numPr>
          <w:ilvl w:val="0"/>
          <w:numId w:val="10"/>
        </w:numPr>
      </w:pPr>
      <w:r>
        <w:rPr>
          <w:rFonts w:ascii="Calibri" w:hAnsi="Calibri" w:eastAsia="Calibri"/>
        </w:rPr>
        <w:t>All particle arrays and map traversals have canonical order; cache keys exclude object identity and timing.</w:t>
      </w:r>
    </w:p>
    <w:p>
      <w:pPr>
        <w:numPr>
          <w:ilvl w:val="0"/>
          <w:numId w:val="10"/>
        </w:numPr>
      </w:pPr>
      <w:r>
        <w:rPr>
          <w:rFonts w:ascii="Calibri" w:hAnsi="Calibri" w:eastAsia="Calibri"/>
        </w:rPr>
        <w:t>Feature-provider absence causes abstention and warning, not a neutral pseudo-score or parser throw.</w:t>
      </w:r>
    </w:p>
    <w:p>
      <w:pPr>
        <w:numPr>
          <w:ilvl w:val="0"/>
          <w:numId w:val="10"/>
        </w:numPr>
      </w:pPr>
      <w:r>
        <w:rPr>
          <w:rFonts w:ascii="Calibri" w:hAnsi="Calibri" w:eastAsia="Calibri"/>
        </w:rPr>
        <w:t>Every score decomposes into named contributions that sum to the final value within numerical tolerance.</w:t>
      </w:r>
    </w:p>
    <w:p>
      <w:pPr>
        <w:numPr>
          <w:ilvl w:val="0"/>
          <w:numId w:val="10"/>
        </w:numPr>
      </w:pPr>
      <w:r>
        <w:rPr>
          <w:rFonts w:ascii="Calibri" w:hAnsi="Calibri" w:eastAsia="Calibri"/>
        </w:rPr>
        <w:t>Packed inference agrees with explicit enumeration on bounded fixtures and is independent of agenda direction.</w:t>
      </w:r>
    </w:p>
    <w:p>
      <w:pPr>
        <w:numPr>
          <w:ilvl w:val="0"/>
          <w:numId w:val="10"/>
        </w:numPr>
      </w:pPr>
      <w:r>
        <w:rPr>
          <w:rFonts w:ascii="Calibri" w:hAnsi="Calibri" w:eastAsia="Calibri"/>
        </w:rPr>
        <w:t>Root-reachability annotation is exactly the transitive closure of stable derivation roots; aura collisions cannot change it.</w:t>
      </w:r>
    </w:p>
    <w:p>
      <w:pPr>
        <w:numPr>
          <w:ilvl w:val="0"/>
          <w:numId w:val="10"/>
        </w:numPr>
      </w:pPr>
      <w:r>
        <w:rPr>
          <w:rFonts w:ascii="Calibri" w:hAnsi="Calibri" w:eastAsia="Calibri"/>
        </w:rPr>
        <w:t>Capability transfers pass static cycle analysis and lexical-ambiguity metamorphic tests.</w:t>
      </w:r>
    </w:p>
    <w:p>
      <w:pPr>
        <w:numPr>
          <w:ilvl w:val="0"/>
          <w:numId w:val="10"/>
        </w:numPr>
      </w:pPr>
      <w:r>
        <w:rPr>
          <w:rFonts w:ascii="Calibri" w:hAnsi="Calibri" w:eastAsia="Calibri"/>
        </w:rPr>
        <w:t>Controls execute through the same code path; only the declared substrate changes.</w:t>
      </w:r>
    </w:p>
    <w:p>
      <w:pPr>
        <w:numPr>
          <w:ilvl w:val="0"/>
          <w:numId w:val="10"/>
        </w:numPr>
      </w:pPr>
      <w:r>
        <w:rPr>
          <w:rFonts w:ascii="Calibri" w:hAnsi="Calibri" w:eastAsia="Calibri"/>
        </w:rPr>
        <w:t>DEV selection, TEST evaluation, and corpus hashes are logged before results are read.</w:t>
      </w:r>
    </w:p>
    <w:p>
      <w:pPr>
        <w:numPr>
          <w:ilvl w:val="0"/>
          <w:numId w:val="10"/>
        </w:numPr>
      </w:pPr>
      <w:r>
        <w:rPr>
          <w:rFonts w:ascii="Calibri" w:hAnsi="Calibri" w:eastAsia="Calibri"/>
        </w:rPr>
        <w:t>UI consumes degradedChannels and warnings; a missing semantic channel is visible and cannot silently look authoritative.</w:t>
      </w:r>
    </w:p>
    <w:p>
      <w:pPr>
        <w:pStyle w:val="Heading2"/>
      </w:pPr>
      <w:r>
        <w:t>8.4 Regression surface</w:t>
      </w:r>
    </w:p>
    <w:p>
      <w:r>
        <w:rPr>
          <w:rFonts w:ascii="Calibri" w:hAnsi="Calibri" w:eastAsia="Calibri"/>
        </w:rPr>
        <w:t>The dependency check must include atom emission, lexical adapters, Grimoire projections, composePacked and classic enumeration, head projection, stable-root selection, Semantic Ballistics, resonance beacon, electromagnetism, evidence bytecode, server packet schemas, UI diagnostics, treebank reports, Cyclotron search, and law-enforcer tests. A particle schema is cross-cutting; refactoring it in isolation would risk version drift similar to the previously observed Phase 1/version 1 UI typedef versus later packet producer.</w:t>
      </w:r>
    </w:p>
    <w:p>
      <w:pPr>
        <w:pStyle w:val="Heading2"/>
      </w:pPr>
      <w:r>
        <w:t>8.5 Primary engineering risks</w:t>
      </w:r>
    </w:p>
    <w:p>
      <w:r>
        <w:rPr>
          <w:rFonts w:ascii="Calibri" w:hAnsi="Calibri" w:eastAsia="Calibri"/>
          <w:b/>
          <w:i w:val="0"/>
        </w:rPr>
        <w:t xml:space="preserve">Combinatorial bloat: </w:t>
      </w:r>
      <w:r>
        <w:rPr>
          <w:rFonts w:ascii="Calibri" w:hAnsi="Calibri" w:eastAsia="Calibri"/>
          <w:b w:val="0"/>
          <w:i w:val="0"/>
        </w:rPr>
        <w:t>Particles multiply state or derivations. Mitigation: immutable interning, sparse arrays, provenance grouping, fixed budgets, and post-chart computation.</w:t>
      </w:r>
    </w:p>
    <w:p>
      <w:r>
        <w:rPr>
          <w:rFonts w:ascii="Calibri" w:hAnsi="Calibri" w:eastAsia="Calibri"/>
          <w:b/>
          <w:i w:val="0"/>
        </w:rPr>
        <w:t xml:space="preserve">Semantic leakage: </w:t>
      </w:r>
      <w:r>
        <w:rPr>
          <w:rFonts w:ascii="Calibri" w:hAnsi="Calibri" w:eastAsia="Calibri"/>
          <w:b w:val="0"/>
          <w:i w:val="0"/>
        </w:rPr>
        <w:t>Features encode gold labels or evaluation artifacts. Mitigation: document-disjoint extraction, resource provenance, derangement, and lemma-disjoint tests.</w:t>
      </w:r>
    </w:p>
    <w:p>
      <w:r>
        <w:rPr>
          <w:rFonts w:ascii="Calibri" w:hAnsi="Calibri" w:eastAsia="Calibri"/>
          <w:b/>
          <w:i w:val="0"/>
        </w:rPr>
        <w:t xml:space="preserve">Soft score becomes hard law: </w:t>
      </w:r>
      <w:r>
        <w:rPr>
          <w:rFonts w:ascii="Calibri" w:hAnsi="Calibri" w:eastAsia="Calibri"/>
          <w:b w:val="0"/>
          <w:i w:val="0"/>
        </w:rPr>
        <w:t>Downstream code uses a score as admission. Mitigation: permission types and dependency boundaries that make ADMIT_BOND unavailable.</w:t>
      </w:r>
    </w:p>
    <w:p>
      <w:r>
        <w:rPr>
          <w:rFonts w:ascii="Calibri" w:hAnsi="Calibri" w:eastAsia="Calibri"/>
          <w:b/>
          <w:i w:val="0"/>
        </w:rPr>
        <w:t xml:space="preserve">Recursive laundering: </w:t>
      </w:r>
      <w:r>
        <w:rPr>
          <w:rFonts w:ascii="Calibri" w:hAnsi="Calibri" w:eastAsia="Calibri"/>
          <w:b w:val="0"/>
          <w:i w:val="0"/>
        </w:rPr>
        <w:t>A packed node with one safe derivation grants privileges to all derivations. Mitigation: derivation-level capabilities and explicit joins.</w:t>
      </w:r>
    </w:p>
    <w:p>
      <w:r>
        <w:rPr>
          <w:rFonts w:ascii="Calibri" w:hAnsi="Calibri" w:eastAsia="Calibri"/>
          <w:b/>
          <w:i w:val="0"/>
        </w:rPr>
        <w:t xml:space="preserve">Metric gaming: </w:t>
      </w:r>
      <w:r>
        <w:rPr>
          <w:rFonts w:ascii="Calibri" w:hAnsi="Calibri" w:eastAsia="Calibri"/>
          <w:b w:val="0"/>
          <w:i w:val="0"/>
        </w:rPr>
        <w:t>Coverage, unique yield, or fewer events improve while correctness falls. Mitigation: co-primary protection metrics and fail-closed verdicts.</w:t>
      </w:r>
    </w:p>
    <w:p>
      <w:r>
        <w:rPr>
          <w:rFonts w:ascii="Calibri" w:hAnsi="Calibri" w:eastAsia="Calibri"/>
          <w:b/>
          <w:i w:val="0"/>
        </w:rPr>
        <w:t xml:space="preserve">Control mismatch: </w:t>
      </w:r>
      <w:r>
        <w:rPr>
          <w:rFonts w:ascii="Calibri" w:hAnsi="Calibri" w:eastAsia="Calibri"/>
          <w:b w:val="0"/>
          <w:i w:val="0"/>
        </w:rPr>
        <w:t>Placebo changes topology or compute. Mitigation: property-preserving shuffles and identical code paths.</w:t>
      </w:r>
    </w:p>
    <w:p>
      <w:r>
        <w:rPr>
          <w:rFonts w:ascii="Calibri" w:hAnsi="Calibri" w:eastAsia="Calibri"/>
          <w:b/>
          <w:i w:val="0"/>
        </w:rPr>
        <w:t xml:space="preserve">Corpus drift: </w:t>
      </w:r>
      <w:r>
        <w:rPr>
          <w:rFonts w:ascii="Calibri" w:hAnsi="Calibri" w:eastAsia="Calibri"/>
          <w:b w:val="0"/>
          <w:i w:val="0"/>
        </w:rPr>
        <w:t>EWT or lexical resources change. Mitigation: frozen files, release IDs, checksums, and bytecode version stamps.</w:t>
      </w:r>
    </w:p>
    <w:p>
      <w:r>
        <w:rPr>
          <w:rFonts w:ascii="Calibri" w:hAnsi="Calibri" w:eastAsia="Calibri"/>
          <w:b/>
          <w:i w:val="0"/>
        </w:rPr>
        <w:t xml:space="preserve">UI authority mismatch: </w:t>
      </w:r>
      <w:r>
        <w:rPr>
          <w:rFonts w:ascii="Calibri" w:hAnsi="Calibri" w:eastAsia="Calibri"/>
          <w:b w:val="0"/>
          <w:i w:val="0"/>
        </w:rPr>
        <w:t>Presentation hides degradation. Mitigation: render warnings and per-channel confidence from the server-authoritative packet.</w:t>
      </w:r>
    </w:p>
    <w:p>
      <w:pPr>
        <w:pStyle w:val="Heading1"/>
      </w:pPr>
      <w:r>
        <w:t>9. Threats to validity</w:t>
      </w:r>
    </w:p>
    <w:p>
      <w:pPr>
        <w:pStyle w:val="Heading2"/>
      </w:pPr>
      <w:r>
        <w:t>9.1 Internal validity</w:t>
      </w:r>
    </w:p>
    <w:p>
      <w:r>
        <w:rPr>
          <w:rFonts w:ascii="Calibri" w:hAnsi="Calibri" w:eastAsia="Calibri"/>
        </w:rPr>
        <w:t>Many internal results were produced during rapid architectural change. Parser coverage figures from different dates are not directly comparable unless grammar, lexicon, corpus, maxTokens, ranking, and report code are identical. This paper therefore uses internal numbers as constraints and motivating observations, not as a meta-analysis. Every new experiment must remeasure its own frozen baseline.</w:t>
      </w:r>
    </w:p>
    <w:p>
      <w:r>
        <w:rPr>
          <w:rFonts w:ascii="Calibri" w:hAnsi="Calibri" w:eastAsia="Calibri"/>
        </w:rPr>
        <w:t>Some mechanisms have already been iterated after looking at failures. That is appropriate engineering, but confirmatory claims require a new sealed TEST after design. Historical backtests for the Bayesian catalyst are especially vulnerable to hindsight and documentation bias. Their purpose is calibration, not final proof.</w:t>
      </w:r>
    </w:p>
    <w:p>
      <w:pPr>
        <w:pStyle w:val="Heading2"/>
      </w:pPr>
      <w:r>
        <w:t>9.2 Construct validity</w:t>
      </w:r>
    </w:p>
    <w:p>
      <w:r>
        <w:rPr>
          <w:rFonts w:ascii="Calibri" w:hAnsi="Calibri" w:eastAsia="Calibri"/>
        </w:rPr>
        <w:t>Semantic correctness is not directly observed by S coverage. The closest available constructs are token UPOS, dependency heads/relations, argument roles, gold containment, contrast-set behavior, and human review. Each theory names the construct it targets. A theory that improves token selection but not derivation ranking has succeeded locally and failed globally; the report must say both.</w:t>
      </w:r>
    </w:p>
    <w:p>
      <w:pPr>
        <w:pStyle w:val="Heading2"/>
      </w:pPr>
      <w:r>
        <w:t>9.3 External validity</w:t>
      </w:r>
    </w:p>
    <w:p>
      <w:r>
        <w:rPr>
          <w:rFonts w:ascii="Calibri" w:hAnsi="Calibri" w:eastAsia="Calibri"/>
        </w:rPr>
        <w:t>English EWT is heterogeneous web text, but it is still one language and annotation framework. Semantic microfeatures and selectional preferences may be culturally, genre, or resource biased. A second English treebank tests genre robustness; cross-linguistic claims require separately designed inventories and should not be inferred from English results. Universal Dependencies supports comparative evaluation, but English treebanks themselves can contain annotation differences.</w:t>
      </w:r>
    </w:p>
    <w:p>
      <w:pPr>
        <w:pStyle w:val="Heading2"/>
      </w:pPr>
      <w:r>
        <w:t>9.4 Statistical conclusion validity</w:t>
      </w:r>
    </w:p>
    <w:p>
      <w:r>
        <w:rPr>
          <w:rFonts w:ascii="Calibri" w:hAnsi="Calibri" w:eastAsia="Calibri"/>
        </w:rPr>
        <w:t>Sentences from the same document and repeated lemmas are dependent. Resampling should occur at the document level where possible, with lemma-disjoint analyses for lexical theories. Small ambiguity subsets produce wide intervals. Negative results should be interpreted as bounds under the tested configuration, not proof that a mechanism can never work. Multiple theories and thresholds must be corrected or separated into exploratory and confirmatory stages.</w:t>
      </w:r>
    </w:p>
    <w:p>
      <w:pPr>
        <w:pStyle w:val="Heading2"/>
      </w:pPr>
      <w:r>
        <w:t>9.5 Researcher degrees of freedom</w:t>
      </w:r>
    </w:p>
    <w:p>
      <w:r>
        <w:rPr>
          <w:rFonts w:ascii="Calibri" w:hAnsi="Calibri" w:eastAsia="Calibri"/>
        </w:rPr>
        <w:t>The project uses rich metaphors that can generate many plausible measurements. That creativity is an asset only if measurements are frozen before outcomes. Each report should include the exact prediction, primary endpoint, minimal effect, controls, stopping rule, excluded data, seed policy, and all attempted variants. Nulls and harmful outcomes stay in the evidence ledger.</w:t>
      </w:r>
    </w:p>
    <w:p>
      <w:pPr>
        <w:pStyle w:val="Heading1"/>
      </w:pPr>
      <w:r>
        <w:t>10. Conclusion</w:t>
      </w:r>
    </w:p>
    <w:p>
      <w:r>
        <w:rPr>
          <w:rFonts w:ascii="Calibri" w:hAnsi="Calibri" w:eastAsia="Calibri"/>
        </w:rPr>
        <w:t>ConstellationOS is unusually well positioned for a semantic-particle program because it already exposes the objects that most parsers hide: lexical atoms, authored bonds, packed derivations, head declarations, reaction classes, provenance, and explicit failure ledgers. The strongest internal findings point in the same direction as established research. Relational evidence discriminates better than labels; lexical-valence repair can activate existing grammar; packed forests require derivation-level inference; and recursion needs explicit capability control.</w:t>
      </w:r>
    </w:p>
    <w:p>
      <w:r>
        <w:rPr>
          <w:rFonts w:ascii="Calibri" w:hAnsi="Calibri" w:eastAsia="Calibri"/>
        </w:rPr>
        <w:t>The top ten theories are therefore not ten independent embellishments. They form a sequence. Typed microfeatures and selectional charges supply bounded semantics. Inside-outside particles carry that evidence through concrete derivations. Provenance isotopes and root-reachability photons keep the inference safe and explainable. Contrastive response, information bottleneck, and Bayesian design determine which particles and experiments deserve continuation. Role binding preserves relational structure, while DPP selection diversifies only after quality has been established.</w:t>
      </w:r>
    </w:p>
    <w:p>
      <w:pPr>
        <w:spacing w:before="100" w:after="200" w:line="288" w:lineRule="auto"/>
        <w:ind w:left="230" w:right="115"/>
        <w:shd w:fill="E7F3F5"/>
        <w:pBdr>
          <w:left w:val="single" w:sz="16" w:space="8" w:color="2F91A3"/>
        </w:pBdr>
      </w:pPr>
      <w:r>
        <w:rPr>
          <w:rFonts w:ascii="Calibri" w:hAnsi="Calibri" w:eastAsia="Calibri"/>
          <w:b/>
          <w:color w:val="17324D"/>
          <w:sz w:val="21"/>
        </w:rPr>
        <w:t xml:space="preserve">Final recommendation. </w:t>
      </w:r>
      <w:r>
        <w:rPr>
          <w:rFonts w:ascii="Calibri" w:hAnsi="Calibri" w:eastAsia="Calibri"/>
          <w:color w:val="202A34"/>
          <w:sz w:val="21"/>
        </w:rPr>
        <w:t>Build the particle contract and the provenance/reachability observers first. Then test bidirectional selectional charges on ambiguous tokens and attachments. Only after those channels beat deranged controls should ConstellationOS consume them through derivation-level packed-forest inference. Do not feed any particle directly into Grimoire admission.</w:t>
      </w:r>
    </w:p>
    <w:p>
      <w:r>
        <w:rPr>
          <w:rFonts w:ascii="Calibri" w:hAnsi="Calibri" w:eastAsia="Calibri"/>
        </w:rPr>
        <w:t>If this program succeeds, the improvement will not be that ConstellationOS has become more chemically poetic. It will be that the system has acquired a formally typed, empirically controlled way to let meaning influence choice while law continues to determine possibility.</w:t>
      </w:r>
    </w:p>
    <w:p>
      <w:r>
        <w:br w:type="page"/>
      </w:r>
    </w:p>
    <w:p>
      <w:pPr>
        <w:pStyle w:val="Heading1"/>
      </w:pPr>
      <w:r>
        <w:t>Appendix A - Canonical particle contract</w:t>
      </w:r>
    </w:p>
    <w:p>
      <w:r>
        <w:rPr>
          <w:rFonts w:ascii="Calibri" w:hAnsi="Calibri" w:eastAsia="Calibri"/>
        </w:rPr>
        <w:t>A suggested deterministic JSON-like contract follows. Field names are illustrative, but the distinctions are mandatory.</w:t>
      </w:r>
    </w:p>
    <w:p>
      <w:pPr>
        <w:pStyle w:val="Equation"/>
        <w:jc w:val="center"/>
      </w:pPr>
      <w:r>
        <w:rPr>
          <w:rFonts w:ascii="Consolas" w:hAnsi="Consolas" w:eastAsia="Consolas"/>
          <w:color w:val="17324D"/>
          <w:sz w:val="19"/>
        </w:rPr>
        <w:t>SemanticParticle {</w:t>
      </w:r>
    </w:p>
    <w:p>
      <w:pPr>
        <w:pStyle w:val="Equation"/>
        <w:jc w:val="center"/>
      </w:pPr>
      <w:r>
        <w:rPr>
          <w:rFonts w:ascii="Consolas" w:hAnsi="Consolas" w:eastAsia="Consolas"/>
          <w:color w:val="17324D"/>
          <w:sz w:val="19"/>
        </w:rPr>
        <w:t xml:space="preserve">  id: string,                    // canonical hash of all identity fields</w:t>
      </w:r>
    </w:p>
    <w:p>
      <w:pPr>
        <w:pStyle w:val="Equation"/>
        <w:jc w:val="center"/>
      </w:pPr>
      <w:r>
        <w:rPr>
          <w:rFonts w:ascii="Consolas" w:hAnsi="Consolas" w:eastAsia="Consolas"/>
          <w:color w:val="17324D"/>
          <w:sz w:val="19"/>
        </w:rPr>
        <w:t xml:space="preserve">  schemaVersion: string,</w:t>
      </w:r>
    </w:p>
    <w:p>
      <w:pPr>
        <w:pStyle w:val="Equation"/>
        <w:jc w:val="center"/>
      </w:pPr>
      <w:r>
        <w:rPr>
          <w:rFonts w:ascii="Consolas" w:hAnsi="Consolas" w:eastAsia="Consolas"/>
          <w:color w:val="17324D"/>
          <w:sz w:val="19"/>
        </w:rPr>
        <w:t xml:space="preserve">  scope: LEXICAL | NODE | DERIVATION | ROOT | MOLECULE,</w:t>
      </w:r>
    </w:p>
    <w:p>
      <w:pPr>
        <w:pStyle w:val="Equation"/>
        <w:jc w:val="center"/>
      </w:pPr>
      <w:r>
        <w:rPr>
          <w:rFonts w:ascii="Consolas" w:hAnsi="Consolas" w:eastAsia="Consolas"/>
          <w:color w:val="17324D"/>
          <w:sz w:val="19"/>
        </w:rPr>
        <w:t xml:space="preserve">  kind: string,                  // versioned registry ID</w:t>
      </w:r>
    </w:p>
    <w:p>
      <w:pPr>
        <w:pStyle w:val="Equation"/>
        <w:jc w:val="center"/>
      </w:pPr>
      <w:r>
        <w:rPr>
          <w:rFonts w:ascii="Consolas" w:hAnsi="Consolas" w:eastAsia="Consolas"/>
          <w:color w:val="17324D"/>
          <w:sz w:val="19"/>
        </w:rPr>
        <w:t xml:space="preserve">  value: scalar | enum | vectorRef | bindingRef,</w:t>
      </w:r>
    </w:p>
    <w:p>
      <w:pPr>
        <w:pStyle w:val="Equation"/>
        <w:jc w:val="center"/>
      </w:pPr>
      <w:r>
        <w:rPr>
          <w:rFonts w:ascii="Consolas" w:hAnsi="Consolas" w:eastAsia="Consolas"/>
          <w:color w:val="17324D"/>
          <w:sz w:val="19"/>
        </w:rPr>
        <w:t xml:space="preserve">  polarity: SUPPORT | INHIBIT | BIND | IDENTIFY | OBSERVE,</w:t>
      </w:r>
    </w:p>
    <w:p>
      <w:pPr>
        <w:pStyle w:val="Equation"/>
        <w:jc w:val="center"/>
      </w:pPr>
      <w:r>
        <w:rPr>
          <w:rFonts w:ascii="Consolas" w:hAnsi="Consolas" w:eastAsia="Consolas"/>
          <w:color w:val="17324D"/>
          <w:sz w:val="19"/>
        </w:rPr>
        <w:t xml:space="preserve">  confidence: number | null,     // null means abstain, not 0.5</w:t>
      </w:r>
    </w:p>
    <w:p>
      <w:pPr>
        <w:pStyle w:val="Equation"/>
        <w:jc w:val="center"/>
      </w:pPr>
      <w:r>
        <w:rPr>
          <w:rFonts w:ascii="Consolas" w:hAnsi="Consolas" w:eastAsia="Consolas"/>
          <w:color w:val="17324D"/>
          <w:sz w:val="19"/>
        </w:rPr>
        <w:t xml:space="preserve">  evidence: EvidenceRef[],       // sorted canonical list</w:t>
      </w:r>
    </w:p>
    <w:p>
      <w:pPr>
        <w:pStyle w:val="Equation"/>
        <w:jc w:val="center"/>
      </w:pPr>
      <w:r>
        <w:rPr>
          <w:rFonts w:ascii="Consolas" w:hAnsi="Consolas" w:eastAsia="Consolas"/>
          <w:color w:val="17324D"/>
          <w:sz w:val="19"/>
        </w:rPr>
        <w:t xml:space="preserve">  provenance: ParticleRef[],     // sorted parent references</w:t>
      </w:r>
    </w:p>
    <w:p>
      <w:pPr>
        <w:pStyle w:val="Equation"/>
        <w:jc w:val="center"/>
      </w:pPr>
      <w:r>
        <w:rPr>
          <w:rFonts w:ascii="Consolas" w:hAnsi="Consolas" w:eastAsia="Consolas"/>
          <w:color w:val="17324D"/>
          <w:sz w:val="19"/>
        </w:rPr>
        <w:t xml:space="preserve">  permissions: Permission[],     // never ADMIT_BOND</w:t>
      </w:r>
    </w:p>
    <w:p>
      <w:pPr>
        <w:pStyle w:val="Equation"/>
        <w:jc w:val="center"/>
      </w:pPr>
      <w:r>
        <w:rPr>
          <w:rFonts w:ascii="Consolas" w:hAnsi="Consolas" w:eastAsia="Consolas"/>
          <w:color w:val="17324D"/>
          <w:sz w:val="19"/>
        </w:rPr>
        <w:t xml:space="preserve">  corpusHash: string | null,</w:t>
      </w:r>
    </w:p>
    <w:p>
      <w:pPr>
        <w:pStyle w:val="Equation"/>
        <w:jc w:val="center"/>
      </w:pPr>
      <w:r>
        <w:rPr>
          <w:rFonts w:ascii="Consolas" w:hAnsi="Consolas" w:eastAsia="Consolas"/>
          <w:color w:val="17324D"/>
          <w:sz w:val="19"/>
        </w:rPr>
        <w:t xml:space="preserve">  createdBy: authoredRule | frozenIndex | derivation | probe,</w:t>
      </w:r>
    </w:p>
    <w:p>
      <w:pPr>
        <w:pStyle w:val="Equation"/>
        <w:jc w:val="center"/>
      </w:pPr>
      <w:r>
        <w:rPr>
          <w:rFonts w:ascii="Consolas" w:hAnsi="Consolas" w:eastAsia="Consolas"/>
          <w:color w:val="17324D"/>
          <w:sz w:val="19"/>
        </w:rPr>
        <w:t xml:space="preserve">  deterministicKey: string</w:t>
      </w:r>
    </w:p>
    <w:p>
      <w:pPr>
        <w:pStyle w:val="Equation"/>
        <w:jc w:val="center"/>
      </w:pPr>
      <w:r>
        <w:rPr>
          <w:rFonts w:ascii="Consolas" w:hAnsi="Consolas" w:eastAsia="Consolas"/>
          <w:color w:val="17324D"/>
          <w:sz w:val="19"/>
        </w:rPr>
        <w:t>}</w:t>
      </w:r>
    </w:p>
    <w:p>
      <w:r>
        <w:rPr>
          <w:rFonts w:ascii="Calibri" w:hAnsi="Calibri" w:eastAsia="Calibri"/>
        </w:rPr>
        <w:t>Canonical serialization sorts object keys, particle arrays, evidence references, and provenance parents. Floating-point values use a declared quantization or exact decimal representation before hashing. The schema validator rejects NaN, Infinity, duplicate evidence IDs, unsupported permissions, and corpus-backed confidence without a corpus hash.</w:t>
      </w:r>
    </w:p>
    <w:p>
      <w:pPr>
        <w:pStyle w:val="Heading1"/>
      </w:pPr>
      <w:r>
        <w:t>Appendix B - Theory-specific falsifier summary</w:t>
      </w:r>
    </w:p>
    <w:tbl>
      <w:tblPr>
        <w:tblStyle w:val="TableGrid"/>
        <w:tblW w:type="dxa" w:w="9360"/>
        <w:jc w:val="left"/>
        <w:tblLayout w:type="fixed"/>
        <w:tblLook w:firstColumn="1" w:firstRow="1" w:lastColumn="0" w:lastRow="0" w:noHBand="0" w:noVBand="1" w:val="04A0"/>
        <w:tblInd w:w="120" w:type="dxa"/>
        <w:tblCaption w:val="ConstellationOS research table 5"/>
      </w:tblPr>
      <w:tblGrid>
        <w:gridCol w:w="2600"/>
        <w:gridCol w:w="3650"/>
        <w:gridCol w:w="3110"/>
      </w:tblGrid>
      <w:tr>
        <w:trPr>
          <w:tblHeader w:val="true"/>
          <w:cantSplit w:val="true"/>
        </w:trPr>
        <w:tc>
          <w:tcPr>
            <w:tcW w:type="dxa" w:w="260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Theory</w:t>
            </w:r>
          </w:p>
        </w:tc>
        <w:tc>
          <w:tcPr>
            <w:tcW w:type="dxa" w:w="365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Decisive falsifier</w:t>
            </w:r>
          </w:p>
        </w:tc>
        <w:tc>
          <w:tcPr>
            <w:tcW w:type="dxa" w:w="3110"/>
            <w:shd w:fill="17324D"/>
            <w:tcMar>
              <w:top w:w="80" w:type="dxa"/>
              <w:start w:w="120" w:type="dxa"/>
              <w:bottom w:w="80" w:type="dxa"/>
              <w:end w:w="120" w:type="dxa"/>
            </w:tcMar>
            <w:vAlign w:val="center"/>
          </w:tcPr>
          <w:p>
            <w:pPr>
              <w:widowControl/>
              <w:spacing w:before="0" w:after="0" w:line="252" w:lineRule="auto"/>
              <w:jc w:val="center"/>
            </w:pPr>
            <w:r>
              <w:rPr>
                <w:rFonts w:ascii="Calibri" w:hAnsi="Calibri" w:eastAsia="Calibri"/>
                <w:b/>
                <w:color w:val="FFFFFF"/>
                <w:sz w:val="16"/>
              </w:rPr>
              <w:t>Interpretation</w:t>
            </w:r>
          </w:p>
        </w:tc>
      </w:tr>
      <w:tr>
        <w:trPr>
          <w:cantSplit w:val="true"/>
        </w:trPr>
        <w:tc>
          <w:tcPr>
            <w:tcW w:type="dxa" w:w="2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T1 Microfeatures</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Real mapping fails to beat within-dimension derangement.</w:t>
            </w:r>
          </w:p>
        </w:tc>
        <w:tc>
          <w:tcPr>
            <w:tcW w:type="dxa" w:w="31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Do not expand ontology; inspect leakage/coverage.</w:t>
            </w:r>
          </w:p>
        </w:tc>
      </w:tr>
      <w:tr>
        <w:trPr>
          <w:cantSplit w:val="true"/>
        </w:trPr>
        <w:tc>
          <w:tcPr>
            <w:tcW w:type="dxa" w:w="2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T2 Selectional</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No advantage over unigram frequency or role shuffle.</w:t>
            </w:r>
          </w:p>
        </w:tc>
        <w:tc>
          <w:tcPr>
            <w:tcW w:type="dxa" w:w="311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Reject charge as semantic evidence.</w:t>
            </w:r>
          </w:p>
        </w:tc>
      </w:tr>
      <w:tr>
        <w:trPr>
          <w:cantSplit w:val="true"/>
        </w:trPr>
        <w:tc>
          <w:tcPr>
            <w:tcW w:type="dxa" w:w="2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T3 Forest particles</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Packed score disagrees with bounded enumeration or changes forest.</w:t>
            </w:r>
          </w:p>
        </w:tc>
        <w:tc>
          <w:tcPr>
            <w:tcW w:type="dxa" w:w="31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Inference implementation invalid.</w:t>
            </w:r>
          </w:p>
        </w:tc>
      </w:tr>
      <w:tr>
        <w:trPr>
          <w:cantSplit w:val="true"/>
        </w:trPr>
        <w:tc>
          <w:tcPr>
            <w:tcW w:type="dxa" w:w="2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T4 Privilege isotopes</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Legitimate roots lost or privilege depends on agenda direction.</w:t>
            </w:r>
          </w:p>
        </w:tc>
        <w:tc>
          <w:tcPr>
            <w:tcW w:type="dxa" w:w="311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Effect lattice is autoimmune or incomplete.</w:t>
            </w:r>
          </w:p>
        </w:tc>
      </w:tr>
      <w:tr>
        <w:trPr>
          <w:cantSplit w:val="true"/>
        </w:trPr>
        <w:tc>
          <w:tcPr>
            <w:tcW w:type="dxa" w:w="2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T5 Reachability</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Ambiguous collapse does not beat shuffled marks.</w:t>
            </w:r>
          </w:p>
        </w:tc>
        <w:tc>
          <w:tcPr>
            <w:tcW w:type="dxa" w:w="31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Reachability is diagnostic only.</w:t>
            </w:r>
          </w:p>
        </w:tc>
      </w:tr>
      <w:tr>
        <w:trPr>
          <w:cantSplit w:val="true"/>
        </w:trPr>
        <w:tc>
          <w:tcPr>
            <w:tcW w:type="dxa" w:w="2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T6 Spectral</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Random/control probes yield the same response clusters.</w:t>
            </w:r>
          </w:p>
        </w:tc>
        <w:tc>
          <w:tcPr>
            <w:tcW w:type="dxa" w:w="311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Instrument lacks selectivity.</w:t>
            </w:r>
          </w:p>
        </w:tc>
      </w:tr>
      <w:tr>
        <w:trPr>
          <w:cantSplit w:val="true"/>
        </w:trPr>
        <w:tc>
          <w:tcPr>
            <w:tcW w:type="dxa" w:w="2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T7 Role binding</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Unordered fillers perform as well as bindings.</w:t>
            </w:r>
          </w:p>
        </w:tc>
        <w:tc>
          <w:tcPr>
            <w:tcW w:type="dxa" w:w="31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Relational encoding adds no value.</w:t>
            </w:r>
          </w:p>
        </w:tc>
      </w:tr>
      <w:tr>
        <w:trPr>
          <w:cantSplit w:val="true"/>
        </w:trPr>
        <w:tc>
          <w:tcPr>
            <w:tcW w:type="dxa" w:w="2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T8 Bottleneck</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Selected subset is unstable or harms rare protected families.</w:t>
            </w:r>
          </w:p>
        </w:tc>
        <w:tc>
          <w:tcPr>
            <w:tcW w:type="dxa" w:w="311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Purification objective is invalid.</w:t>
            </w:r>
          </w:p>
        </w:tc>
      </w:tr>
      <w:tr>
        <w:trPr>
          <w:cantSplit w:val="true"/>
        </w:trPr>
        <w:tc>
          <w:tcPr>
            <w:tcW w:type="dxa" w:w="2600"/>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T9 Bayesian catalyst</w:t>
            </w:r>
          </w:p>
        </w:tc>
        <w:tc>
          <w:tcPr>
            <w:tcW w:type="dxa" w:w="365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Historical/prospective choices match frequency baseline.</w:t>
            </w:r>
          </w:p>
        </w:tc>
        <w:tc>
          <w:tcPr>
            <w:tcW w:type="dxa" w:w="3110"/>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Experimental design adds no efficiency.</w:t>
            </w:r>
          </w:p>
        </w:tc>
      </w:tr>
      <w:tr>
        <w:trPr>
          <w:cantSplit w:val="true"/>
        </w:trPr>
        <w:tc>
          <w:tcPr>
            <w:tcW w:type="dxa" w:w="260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color w:val="202A34"/>
                <w:sz w:val="16"/>
              </w:rPr>
              <w:t>T10 DPP</w:t>
            </w:r>
          </w:p>
        </w:tc>
        <w:tc>
          <w:tcPr>
            <w:tcW w:type="dxa" w:w="365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Diversity rises but valid/review-worthy yield does not.</w:t>
            </w:r>
          </w:p>
        </w:tc>
        <w:tc>
          <w:tcPr>
            <w:tcW w:type="dxa" w:w="3110"/>
            <w:shd w:fill="F8FAFC"/>
            <w:tcMar>
              <w:top w:w="80" w:type="dxa"/>
              <w:start w:w="120" w:type="dxa"/>
              <w:bottom w:w="80" w:type="dxa"/>
              <w:end w:w="120" w:type="dxa"/>
            </w:tcMar>
            <w:vAlign w:val="center"/>
          </w:tcPr>
          <w:p>
            <w:pPr>
              <w:widowControl/>
              <w:spacing w:before="0" w:after="0" w:line="259" w:lineRule="auto"/>
              <w:jc w:val="left"/>
            </w:pPr>
            <w:r>
              <w:rPr>
                <w:rFonts w:ascii="Calibri" w:hAnsi="Calibri" w:eastAsia="Calibri"/>
                <w:b w:val="0"/>
                <w:color w:val="202A34"/>
                <w:sz w:val="16"/>
              </w:rPr>
              <w:t>Repulsion diversifies noise.</w:t>
            </w:r>
          </w:p>
        </w:tc>
      </w:tr>
    </w:tbl>
    <w:p>
      <w:pPr>
        <w:spacing w:after="40"/>
      </w:pPr>
    </w:p>
    <w:p>
      <w:pPr>
        <w:pStyle w:val="CaptionCustom"/>
      </w:pPr>
      <w:r>
        <w:rPr>
          <w:rFonts w:ascii="Calibri" w:hAnsi="Calibri" w:eastAsia="Calibri"/>
          <w:i/>
          <w:color w:val="627180"/>
          <w:sz w:val="18"/>
        </w:rPr>
        <w:t>Table B1. A failed theory remains useful if its null is retained and the tested configuration is fully specified.</w:t>
      </w:r>
    </w:p>
    <w:p>
      <w:pPr>
        <w:pStyle w:val="Heading1"/>
      </w:pPr>
      <w:r>
        <w:t>Appendix C - Preregistration template</w:t>
      </w:r>
    </w:p>
    <w:p>
      <w:pPr>
        <w:numPr>
          <w:ilvl w:val="0"/>
          <w:numId w:val="11"/>
        </w:numPr>
      </w:pPr>
      <w:r>
        <w:rPr>
          <w:rFonts w:ascii="Calibri" w:hAnsi="Calibri" w:eastAsia="Calibri"/>
        </w:rPr>
        <w:t>Question and causal mechanism: what object changes, at what layer, and why should the endpoint move?</w:t>
      </w:r>
    </w:p>
    <w:p>
      <w:pPr>
        <w:numPr>
          <w:ilvl w:val="0"/>
          <w:numId w:val="11"/>
        </w:numPr>
      </w:pPr>
      <w:r>
        <w:rPr>
          <w:rFonts w:ascii="Calibri" w:hAnsi="Calibri" w:eastAsia="Calibri"/>
        </w:rPr>
        <w:t>Frozen substrate: commit, grammar checksum, lexicon checksum, corpus files and hashes, particle schema version, options, maxTokens, and hardware-independent counters.</w:t>
      </w:r>
    </w:p>
    <w:p>
      <w:pPr>
        <w:numPr>
          <w:ilvl w:val="0"/>
          <w:numId w:val="11"/>
        </w:numPr>
      </w:pPr>
      <w:r>
        <w:rPr>
          <w:rFonts w:ascii="Calibri" w:hAnsi="Calibri" w:eastAsia="Calibri"/>
        </w:rPr>
        <w:t>Treatment and controls: one variable per arm; exact derangement or shuffle property; identical code path.</w:t>
      </w:r>
    </w:p>
    <w:p>
      <w:pPr>
        <w:numPr>
          <w:ilvl w:val="0"/>
          <w:numId w:val="11"/>
        </w:numPr>
      </w:pPr>
      <w:r>
        <w:rPr>
          <w:rFonts w:ascii="Calibri" w:hAnsi="Calibri" w:eastAsia="Calibri"/>
        </w:rPr>
        <w:t>Primary endpoint: one metric, population, direction, and minimum meaningful effect.</w:t>
      </w:r>
    </w:p>
    <w:p>
      <w:pPr>
        <w:numPr>
          <w:ilvl w:val="0"/>
          <w:numId w:val="11"/>
        </w:numPr>
      </w:pPr>
      <w:r>
        <w:rPr>
          <w:rFonts w:ascii="Calibri" w:hAnsi="Calibri" w:eastAsia="Calibri"/>
        </w:rPr>
        <w:t>Protection endpoints: coverage, containment, heads, events, recursive preservation, parity, determinism, and throws.</w:t>
      </w:r>
    </w:p>
    <w:p>
      <w:pPr>
        <w:numPr>
          <w:ilvl w:val="0"/>
          <w:numId w:val="11"/>
        </w:numPr>
      </w:pPr>
      <w:r>
        <w:rPr>
          <w:rFonts w:ascii="Calibri" w:hAnsi="Calibri" w:eastAsia="Calibri"/>
        </w:rPr>
        <w:t>Statistics: unit of resampling, test, confidence interval, alpha, multiple-comparison correction, and sample-size rule.</w:t>
      </w:r>
    </w:p>
    <w:p>
      <w:pPr>
        <w:numPr>
          <w:ilvl w:val="0"/>
          <w:numId w:val="11"/>
        </w:numPr>
      </w:pPr>
      <w:r>
        <w:rPr>
          <w:rFonts w:ascii="Calibri" w:hAnsi="Calibri" w:eastAsia="Calibri"/>
        </w:rPr>
        <w:t>Stopping and exclusions: fixed before outcomes; every excluded sentence logged with reason.</w:t>
      </w:r>
    </w:p>
    <w:p>
      <w:pPr>
        <w:numPr>
          <w:ilvl w:val="0"/>
          <w:numId w:val="11"/>
        </w:numPr>
      </w:pPr>
      <w:r>
        <w:rPr>
          <w:rFonts w:ascii="Calibri" w:hAnsi="Calibri" w:eastAsia="Calibri"/>
        </w:rPr>
        <w:t>Falsifiers: outcomes that mean no mechanism, wrong layer, unsafe effect, or measurement bug.</w:t>
      </w:r>
    </w:p>
    <w:p>
      <w:pPr>
        <w:numPr>
          <w:ilvl w:val="0"/>
          <w:numId w:val="11"/>
        </w:numPr>
      </w:pPr>
      <w:r>
        <w:rPr>
          <w:rFonts w:ascii="Calibri" w:hAnsi="Calibri" w:eastAsia="Calibri"/>
        </w:rPr>
        <w:t>Promotion rule: explicit requirements for moving from observe to score, score to consume, or experiment to Grimoire review.</w:t>
      </w:r>
    </w:p>
    <w:p>
      <w:pPr>
        <w:numPr>
          <w:ilvl w:val="0"/>
          <w:numId w:val="11"/>
        </w:numPr>
      </w:pPr>
      <w:r>
        <w:rPr>
          <w:rFonts w:ascii="Calibri" w:hAnsi="Calibri" w:eastAsia="Calibri"/>
        </w:rPr>
        <w:t>Reproduction: a single deterministic command plus machine-readable report and checksum.</w:t>
      </w:r>
    </w:p>
    <w:p>
      <w:pPr>
        <w:pStyle w:val="Heading1"/>
      </w:pPr>
      <w:r>
        <w:t>References - external research</w:t>
      </w:r>
    </w:p>
    <w:p>
      <w:pPr>
        <w:pStyle w:val="Reference"/>
      </w:pPr>
      <w:r>
        <w:rPr>
          <w:rFonts w:ascii="Calibri" w:hAnsi="Calibri" w:eastAsia="Calibri"/>
          <w:color w:val="202A34"/>
          <w:sz w:val="18"/>
        </w:rPr>
        <w:t>Baker, C. F., Fillmore, C. J., &amp; Lowe, J. B. (1998). The Berkeley FrameNet Project. Proceedings of ACL/COLING, 86-90. https://doi.org/10.3115/980845.980860</w:t>
      </w:r>
      <w:r>
        <w:rPr>
          <w:rFonts w:ascii="Calibri" w:hAnsi="Calibri" w:eastAsia="Calibri"/>
          <w:sz w:val="18"/>
        </w:rPr>
        <w:t xml:space="preserve"> </w:t>
      </w:r>
      <w:hyperlink r:id="rId13">
        <w:r>
          <w:rPr>
            <w:rFonts w:ascii="Calibri" w:hAnsi="Calibri"/>
            <w:color w:val="2E74B5"/>
            <w:u w:val="single"/>
          </w:rPr>
          <w:t>https://aclanthology.org/P98-1013/</w:t>
        </w:r>
      </w:hyperlink>
    </w:p>
    <w:p>
      <w:pPr>
        <w:pStyle w:val="Reference"/>
      </w:pPr>
      <w:r>
        <w:rPr>
          <w:rFonts w:ascii="Calibri" w:hAnsi="Calibri" w:eastAsia="Calibri"/>
          <w:color w:val="202A34"/>
          <w:sz w:val="18"/>
        </w:rPr>
        <w:t>Carpenter, B., Pollard, C. J., &amp; Franz, A. (1991). The specification and implementation of constraint-based unification grammars. Second International Workshop on Parsing Technologies.</w:t>
      </w:r>
      <w:r>
        <w:rPr>
          <w:rFonts w:ascii="Calibri" w:hAnsi="Calibri" w:eastAsia="Calibri"/>
          <w:sz w:val="18"/>
        </w:rPr>
        <w:t xml:space="preserve"> </w:t>
      </w:r>
      <w:hyperlink r:id="rId14">
        <w:r>
          <w:rPr>
            <w:rFonts w:ascii="Calibri" w:hAnsi="Calibri"/>
            <w:color w:val="2E74B5"/>
            <w:u w:val="single"/>
          </w:rPr>
          <w:t>https://aclanthology.org/1991.iwpt-1.17/</w:t>
        </w:r>
      </w:hyperlink>
    </w:p>
    <w:p>
      <w:pPr>
        <w:pStyle w:val="Reference"/>
      </w:pPr>
      <w:r>
        <w:rPr>
          <w:rFonts w:ascii="Calibri" w:hAnsi="Calibri" w:eastAsia="Calibri"/>
          <w:color w:val="202A34"/>
          <w:sz w:val="18"/>
        </w:rPr>
        <w:t>Chaloner, K., &amp; Verdinelli, I. (1995). Bayesian experimental design: A review. Statistical Science, 10(3), 273-304. https://doi.org/10.1214/ss/1177009939</w:t>
      </w:r>
      <w:r>
        <w:rPr>
          <w:rFonts w:ascii="Calibri" w:hAnsi="Calibri" w:eastAsia="Calibri"/>
          <w:sz w:val="18"/>
        </w:rPr>
        <w:t xml:space="preserve"> </w:t>
      </w:r>
      <w:hyperlink r:id="rId15">
        <w:r>
          <w:rPr>
            <w:rFonts w:ascii="Calibri" w:hAnsi="Calibri"/>
            <w:color w:val="2E74B5"/>
            <w:u w:val="single"/>
          </w:rPr>
          <w:t>https://projecteuclid.org/journals/statistical-science/volume-10/issue-3/Bayesian-Experimental-Design-A-Review/10.1214/ss/1177009939.short</w:t>
        </w:r>
      </w:hyperlink>
    </w:p>
    <w:p>
      <w:pPr>
        <w:pStyle w:val="Reference"/>
      </w:pPr>
      <w:r>
        <w:rPr>
          <w:rFonts w:ascii="Calibri" w:hAnsi="Calibri" w:eastAsia="Calibri"/>
          <w:color w:val="202A34"/>
          <w:sz w:val="18"/>
        </w:rPr>
        <w:t>Cousot, P., &amp; Cousot, R. (1977). Abstract interpretation: A unified lattice model for static analysis of programs by construction or approximation of fixpoints. POPL, 238-252. https://doi.org/10.1145/512950.512973</w:t>
      </w:r>
      <w:r>
        <w:rPr>
          <w:rFonts w:ascii="Calibri" w:hAnsi="Calibri" w:eastAsia="Calibri"/>
          <w:sz w:val="18"/>
        </w:rPr>
        <w:t xml:space="preserve"> </w:t>
      </w:r>
      <w:hyperlink r:id="rId16">
        <w:r>
          <w:rPr>
            <w:rFonts w:ascii="Calibri" w:hAnsi="Calibri"/>
            <w:color w:val="2E74B5"/>
            <w:u w:val="single"/>
          </w:rPr>
          <w:t>https://www.di.ens.fr/~cousot/COUSOTpapers/POPL77.shtml</w:t>
        </w:r>
      </w:hyperlink>
    </w:p>
    <w:p>
      <w:pPr>
        <w:pStyle w:val="Reference"/>
      </w:pPr>
      <w:r>
        <w:rPr>
          <w:rFonts w:ascii="Calibri" w:hAnsi="Calibri" w:eastAsia="Calibri"/>
          <w:color w:val="202A34"/>
          <w:sz w:val="18"/>
        </w:rPr>
        <w:t>Dror, R., Baumer, G., Bogomolov, M., &amp; Reichart, R. (2017). Replicability analysis for natural language processing: Testing significance with multiple datasets. TACL, 5, 471-486. https://doi.org/10.1162/tacl_a_00074</w:t>
      </w:r>
      <w:r>
        <w:rPr>
          <w:rFonts w:ascii="Calibri" w:hAnsi="Calibri" w:eastAsia="Calibri"/>
          <w:sz w:val="18"/>
        </w:rPr>
        <w:t xml:space="preserve"> </w:t>
      </w:r>
      <w:hyperlink r:id="rId17">
        <w:r>
          <w:rPr>
            <w:rFonts w:ascii="Calibri" w:hAnsi="Calibri"/>
            <w:color w:val="2E74B5"/>
            <w:u w:val="single"/>
          </w:rPr>
          <w:t>https://aclanthology.org/Q17-1033/</w:t>
        </w:r>
      </w:hyperlink>
    </w:p>
    <w:p>
      <w:pPr>
        <w:pStyle w:val="Reference"/>
      </w:pPr>
      <w:r>
        <w:rPr>
          <w:rFonts w:ascii="Calibri" w:hAnsi="Calibri" w:eastAsia="Calibri"/>
          <w:color w:val="202A34"/>
          <w:sz w:val="18"/>
        </w:rPr>
        <w:t>Dror, R., Baumer, G., Shlomov, S., &amp; Reichart, R. (2018). The Hitchhiker's guide to testing statistical significance in natural language processing. ACL, 1383-1392.</w:t>
      </w:r>
      <w:r>
        <w:rPr>
          <w:rFonts w:ascii="Calibri" w:hAnsi="Calibri" w:eastAsia="Calibri"/>
          <w:sz w:val="18"/>
        </w:rPr>
        <w:t xml:space="preserve"> </w:t>
      </w:r>
      <w:hyperlink r:id="rId18">
        <w:r>
          <w:rPr>
            <w:rFonts w:ascii="Calibri" w:hAnsi="Calibri"/>
            <w:color w:val="2E74B5"/>
            <w:u w:val="single"/>
          </w:rPr>
          <w:t>https://aclanthology.org/P18-1128/</w:t>
        </w:r>
      </w:hyperlink>
    </w:p>
    <w:p>
      <w:pPr>
        <w:pStyle w:val="Reference"/>
      </w:pPr>
      <w:r>
        <w:rPr>
          <w:rFonts w:ascii="Calibri" w:hAnsi="Calibri" w:eastAsia="Calibri"/>
          <w:color w:val="202A34"/>
          <w:sz w:val="18"/>
        </w:rPr>
        <w:t>Erk, K., Pado, S., &amp; Pado, U. (2010). A flexible, corpus-driven model of regular and inverse selectional preferences. Computational Linguistics, 36(4), 723-763. https://doi.org/10.1162/coli_a_00017</w:t>
      </w:r>
      <w:r>
        <w:rPr>
          <w:rFonts w:ascii="Calibri" w:hAnsi="Calibri" w:eastAsia="Calibri"/>
          <w:sz w:val="18"/>
        </w:rPr>
        <w:t xml:space="preserve"> </w:t>
      </w:r>
      <w:hyperlink r:id="rId19">
        <w:r>
          <w:rPr>
            <w:rFonts w:ascii="Calibri" w:hAnsi="Calibri"/>
            <w:color w:val="2E74B5"/>
            <w:u w:val="single"/>
          </w:rPr>
          <w:t>https://aclanthology.org/J10-4007/</w:t>
        </w:r>
      </w:hyperlink>
    </w:p>
    <w:p>
      <w:pPr>
        <w:pStyle w:val="Reference"/>
      </w:pPr>
      <w:r>
        <w:rPr>
          <w:rFonts w:ascii="Calibri" w:hAnsi="Calibri" w:eastAsia="Calibri"/>
          <w:color w:val="202A34"/>
          <w:sz w:val="18"/>
        </w:rPr>
        <w:t>Gardner, M., Artzi, Y., Basmova, V., Berant, J., Bogin, B., Chen, S., Dasigi, P., Dua, D., Elazar, Y., Gottumukkala, A., Gupta, N., Hajishirzi, H., Ilharco, G., Khashabi, D., Lin, K., Liu, J., Liu, N. F., Mulcaire, P., Ning, Q., Singh, S., Smith, N. A., Subramanian, S., Tsarfaty, R., Wallace, E., Zhang, A., &amp; Zhou, B. (2020). Evaluating models' local decision boundaries via contrast sets. Findings of EMNLP.</w:t>
      </w:r>
      <w:r>
        <w:rPr>
          <w:rFonts w:ascii="Calibri" w:hAnsi="Calibri" w:eastAsia="Calibri"/>
          <w:sz w:val="18"/>
        </w:rPr>
        <w:t xml:space="preserve"> </w:t>
      </w:r>
      <w:hyperlink r:id="rId20">
        <w:r>
          <w:rPr>
            <w:rFonts w:ascii="Calibri" w:hAnsi="Calibri"/>
            <w:color w:val="2E74B5"/>
            <w:u w:val="single"/>
          </w:rPr>
          <w:t>https://aclanthology.org/2020.findings-emnlp.117/</w:t>
        </w:r>
      </w:hyperlink>
    </w:p>
    <w:p>
      <w:pPr>
        <w:pStyle w:val="Reference"/>
      </w:pPr>
      <w:r>
        <w:rPr>
          <w:rFonts w:ascii="Calibri" w:hAnsi="Calibri" w:eastAsia="Calibri"/>
          <w:color w:val="202A34"/>
          <w:sz w:val="18"/>
        </w:rPr>
        <w:t>Gifford, D. K., &amp; Lucassen, J. M. (1986). Integrating functional and imperative programming. ACM Conference on LISP and Functional Programming, 28-38. https://doi.org/10.1145/319838.319848</w:t>
      </w:r>
      <w:r>
        <w:rPr>
          <w:rFonts w:ascii="Calibri" w:hAnsi="Calibri" w:eastAsia="Calibri"/>
          <w:sz w:val="18"/>
        </w:rPr>
        <w:t xml:space="preserve"> </w:t>
      </w:r>
      <w:hyperlink r:id="rId21">
        <w:r>
          <w:rPr>
            <w:rFonts w:ascii="Calibri" w:hAnsi="Calibri"/>
            <w:color w:val="2E74B5"/>
            <w:u w:val="single"/>
          </w:rPr>
          <w:t>https://dl.acm.org/doi/10.1145/319838.319848</w:t>
        </w:r>
      </w:hyperlink>
    </w:p>
    <w:p>
      <w:pPr>
        <w:pStyle w:val="Reference"/>
      </w:pPr>
      <w:r>
        <w:rPr>
          <w:rFonts w:ascii="Calibri" w:hAnsi="Calibri" w:eastAsia="Calibri"/>
          <w:color w:val="202A34"/>
          <w:sz w:val="18"/>
        </w:rPr>
        <w:t>Gildea, D. (2020). Efficient outside computation. Computational Linguistics, 46(4).</w:t>
      </w:r>
      <w:r>
        <w:rPr>
          <w:rFonts w:ascii="Calibri" w:hAnsi="Calibri" w:eastAsia="Calibri"/>
          <w:sz w:val="18"/>
        </w:rPr>
        <w:t xml:space="preserve"> </w:t>
      </w:r>
      <w:hyperlink r:id="rId22">
        <w:r>
          <w:rPr>
            <w:rFonts w:ascii="Calibri" w:hAnsi="Calibri"/>
            <w:color w:val="2E74B5"/>
            <w:u w:val="single"/>
          </w:rPr>
          <w:t>https://aclanthology.org/2020.cl-4.2/</w:t>
        </w:r>
      </w:hyperlink>
    </w:p>
    <w:p>
      <w:pPr>
        <w:pStyle w:val="Reference"/>
      </w:pPr>
      <w:r>
        <w:rPr>
          <w:rFonts w:ascii="Calibri" w:hAnsi="Calibri" w:eastAsia="Calibri"/>
          <w:color w:val="202A34"/>
          <w:sz w:val="18"/>
        </w:rPr>
        <w:t>Gildea, D., &amp; Jurafsky, D. (2002). Automatic labeling of semantic roles. Computational Linguistics, 28(3), 245-288. https://doi.org/10.1162/089120102760275983</w:t>
      </w:r>
      <w:r>
        <w:rPr>
          <w:rFonts w:ascii="Calibri" w:hAnsi="Calibri" w:eastAsia="Calibri"/>
          <w:sz w:val="18"/>
        </w:rPr>
        <w:t xml:space="preserve"> </w:t>
      </w:r>
      <w:hyperlink r:id="rId23">
        <w:r>
          <w:rPr>
            <w:rFonts w:ascii="Calibri" w:hAnsi="Calibri"/>
            <w:color w:val="2E74B5"/>
            <w:u w:val="single"/>
          </w:rPr>
          <w:t>https://aclanthology.org/J02-3001/</w:t>
        </w:r>
      </w:hyperlink>
    </w:p>
    <w:p>
      <w:pPr>
        <w:pStyle w:val="Reference"/>
      </w:pPr>
      <w:r>
        <w:rPr>
          <w:rFonts w:ascii="Calibri" w:hAnsi="Calibri" w:eastAsia="Calibri"/>
          <w:color w:val="202A34"/>
          <w:sz w:val="18"/>
        </w:rPr>
        <w:t>Goodman, J. (1999). Semiring parsing. Computational Linguistics, 25(4), 573-606.</w:t>
      </w:r>
      <w:r>
        <w:rPr>
          <w:rFonts w:ascii="Calibri" w:hAnsi="Calibri" w:eastAsia="Calibri"/>
          <w:sz w:val="18"/>
        </w:rPr>
        <w:t xml:space="preserve"> </w:t>
      </w:r>
      <w:hyperlink r:id="rId24">
        <w:r>
          <w:rPr>
            <w:rFonts w:ascii="Calibri" w:hAnsi="Calibri"/>
            <w:color w:val="2E74B5"/>
            <w:u w:val="single"/>
          </w:rPr>
          <w:t>https://aclanthology.org/J99-4004/</w:t>
        </w:r>
      </w:hyperlink>
    </w:p>
    <w:p>
      <w:pPr>
        <w:pStyle w:val="Reference"/>
      </w:pPr>
      <w:r>
        <w:rPr>
          <w:rFonts w:ascii="Calibri" w:hAnsi="Calibri" w:eastAsia="Calibri"/>
          <w:color w:val="202A34"/>
          <w:sz w:val="18"/>
        </w:rPr>
        <w:t>Green, T. J., Karvounarakis, G., &amp; Tannen, V. (2007). Provenance semirings. PODS, 31-40. https://doi.org/10.1145/1265530.1265535</w:t>
      </w:r>
      <w:r>
        <w:rPr>
          <w:rFonts w:ascii="Calibri" w:hAnsi="Calibri" w:eastAsia="Calibri"/>
          <w:sz w:val="18"/>
        </w:rPr>
        <w:t xml:space="preserve"> </w:t>
      </w:r>
      <w:hyperlink r:id="rId25">
        <w:r>
          <w:rPr>
            <w:rFonts w:ascii="Calibri" w:hAnsi="Calibri"/>
            <w:color w:val="2E74B5"/>
            <w:u w:val="single"/>
          </w:rPr>
          <w:t>https://dl.acm.org/doi/10.1145/1265530.1265535</w:t>
        </w:r>
      </w:hyperlink>
    </w:p>
    <w:p>
      <w:pPr>
        <w:pStyle w:val="Reference"/>
      </w:pPr>
      <w:r>
        <w:rPr>
          <w:rFonts w:ascii="Calibri" w:hAnsi="Calibri" w:eastAsia="Calibri"/>
          <w:color w:val="202A34"/>
          <w:sz w:val="18"/>
        </w:rPr>
        <w:t>Hewitt, J., &amp; Liang, P. (2019). Designing and interpreting probes with control tasks. EMNLP-IJCNLP, 2733-2743.</w:t>
      </w:r>
      <w:r>
        <w:rPr>
          <w:rFonts w:ascii="Calibri" w:hAnsi="Calibri" w:eastAsia="Calibri"/>
          <w:sz w:val="18"/>
        </w:rPr>
        <w:t xml:space="preserve"> </w:t>
      </w:r>
      <w:hyperlink r:id="rId26">
        <w:r>
          <w:rPr>
            <w:rFonts w:ascii="Calibri" w:hAnsi="Calibri"/>
            <w:color w:val="2E74B5"/>
            <w:u w:val="single"/>
          </w:rPr>
          <w:t>https://aclanthology.org/D19-1275/</w:t>
        </w:r>
      </w:hyperlink>
    </w:p>
    <w:p>
      <w:pPr>
        <w:pStyle w:val="Reference"/>
      </w:pPr>
      <w:r>
        <w:rPr>
          <w:rFonts w:ascii="Calibri" w:hAnsi="Calibri" w:eastAsia="Calibri"/>
          <w:color w:val="202A34"/>
          <w:sz w:val="18"/>
        </w:rPr>
        <w:t>Houlsby, N., Huszar, F., Ghahramani, Z., &amp; Lengyel, M. (2011). Bayesian active learning for classification and preference learning. arXiv:1112.5745.</w:t>
      </w:r>
      <w:r>
        <w:rPr>
          <w:rFonts w:ascii="Calibri" w:hAnsi="Calibri" w:eastAsia="Calibri"/>
          <w:sz w:val="18"/>
        </w:rPr>
        <w:t xml:space="preserve"> </w:t>
      </w:r>
      <w:hyperlink r:id="rId27">
        <w:r>
          <w:rPr>
            <w:rFonts w:ascii="Calibri" w:hAnsi="Calibri"/>
            <w:color w:val="2E74B5"/>
            <w:u w:val="single"/>
          </w:rPr>
          <w:t>https://arxiv.org/abs/1112.5745</w:t>
        </w:r>
      </w:hyperlink>
    </w:p>
    <w:p>
      <w:pPr>
        <w:pStyle w:val="Reference"/>
      </w:pPr>
      <w:r>
        <w:rPr>
          <w:rFonts w:ascii="Calibri" w:hAnsi="Calibri" w:eastAsia="Calibri"/>
          <w:color w:val="202A34"/>
          <w:sz w:val="18"/>
        </w:rPr>
        <w:t>Huang, L. (2008). Forest reranking: Discriminative parsing with non-local features. ACL-HLT, 586-594.</w:t>
      </w:r>
      <w:r>
        <w:rPr>
          <w:rFonts w:ascii="Calibri" w:hAnsi="Calibri" w:eastAsia="Calibri"/>
          <w:sz w:val="18"/>
        </w:rPr>
        <w:t xml:space="preserve"> </w:t>
      </w:r>
      <w:hyperlink r:id="rId28">
        <w:r>
          <w:rPr>
            <w:rFonts w:ascii="Calibri" w:hAnsi="Calibri"/>
            <w:color w:val="2E74B5"/>
            <w:u w:val="single"/>
          </w:rPr>
          <w:t>https://aclanthology.org/P08-1067/</w:t>
        </w:r>
      </w:hyperlink>
    </w:p>
    <w:p>
      <w:pPr>
        <w:pStyle w:val="Reference"/>
      </w:pPr>
      <w:r>
        <w:rPr>
          <w:rFonts w:ascii="Calibri" w:hAnsi="Calibri" w:eastAsia="Calibri"/>
          <w:color w:val="202A34"/>
          <w:sz w:val="18"/>
        </w:rPr>
        <w:t>Kschischang, F. R., Frey, B. J., &amp; Loeliger, H.-A. (2001). Factor graphs and the sum-product algorithm. IEEE Transactions on Information Theory, 47(2), 498-519. https://doi.org/10.1109/18.910572</w:t>
      </w:r>
      <w:r>
        <w:rPr>
          <w:rFonts w:ascii="Calibri" w:hAnsi="Calibri" w:eastAsia="Calibri"/>
          <w:sz w:val="18"/>
        </w:rPr>
        <w:t xml:space="preserve"> </w:t>
      </w:r>
      <w:hyperlink r:id="rId29">
        <w:r>
          <w:rPr>
            <w:rFonts w:ascii="Calibri" w:hAnsi="Calibri"/>
            <w:color w:val="2E74B5"/>
            <w:u w:val="single"/>
          </w:rPr>
          <w:t>https://ieeexplore.ieee.org/document/910572/</w:t>
        </w:r>
      </w:hyperlink>
    </w:p>
    <w:p>
      <w:pPr>
        <w:pStyle w:val="Reference"/>
      </w:pPr>
      <w:r>
        <w:rPr>
          <w:rFonts w:ascii="Calibri" w:hAnsi="Calibri" w:eastAsia="Calibri"/>
          <w:color w:val="202A34"/>
          <w:sz w:val="18"/>
        </w:rPr>
        <w:t>Kulesza, A., &amp; Taskar, B. (2012). Determinantal point processes for machine learning. Foundations and Trends in Machine Learning, 5(2-3), 123-286.</w:t>
      </w:r>
      <w:r>
        <w:rPr>
          <w:rFonts w:ascii="Calibri" w:hAnsi="Calibri" w:eastAsia="Calibri"/>
          <w:sz w:val="18"/>
        </w:rPr>
        <w:t xml:space="preserve"> </w:t>
      </w:r>
      <w:hyperlink r:id="rId30">
        <w:r>
          <w:rPr>
            <w:rFonts w:ascii="Calibri" w:hAnsi="Calibri"/>
            <w:color w:val="2E74B5"/>
            <w:u w:val="single"/>
          </w:rPr>
          <w:t>https://arxiv.org/abs/1207.6083</w:t>
        </w:r>
      </w:hyperlink>
    </w:p>
    <w:p>
      <w:pPr>
        <w:pStyle w:val="Reference"/>
      </w:pPr>
      <w:r>
        <w:rPr>
          <w:rFonts w:ascii="Calibri" w:hAnsi="Calibri" w:eastAsia="Calibri"/>
          <w:color w:val="202A34"/>
          <w:sz w:val="18"/>
        </w:rPr>
        <w:t>Lee, C. S., Jones, N. D., &amp; Ben-Amram, A. M. (2001). The size-change principle for program termination. POPL, 81-92. https://doi.org/10.1145/360204.360210</w:t>
      </w:r>
      <w:r>
        <w:rPr>
          <w:rFonts w:ascii="Calibri" w:hAnsi="Calibri" w:eastAsia="Calibri"/>
          <w:sz w:val="18"/>
        </w:rPr>
        <w:t xml:space="preserve"> </w:t>
      </w:r>
      <w:hyperlink r:id="rId31">
        <w:r>
          <w:rPr>
            <w:rFonts w:ascii="Calibri" w:hAnsi="Calibri"/>
            <w:color w:val="2E74B5"/>
            <w:u w:val="single"/>
          </w:rPr>
          <w:t>https://dl.acm.org/doi/10.1145/360204.360210</w:t>
        </w:r>
      </w:hyperlink>
    </w:p>
    <w:p>
      <w:pPr>
        <w:pStyle w:val="Reference"/>
      </w:pPr>
      <w:r>
        <w:rPr>
          <w:rFonts w:ascii="Calibri" w:hAnsi="Calibri" w:eastAsia="Calibri"/>
          <w:color w:val="202A34"/>
          <w:sz w:val="18"/>
        </w:rPr>
        <w:t>Li, Z., &amp; Eisner, J. (2009). First- and second-order expectation semirings with applications to minimum-risk training on translation forests. EMNLP, 40-51.</w:t>
      </w:r>
      <w:r>
        <w:rPr>
          <w:rFonts w:ascii="Calibri" w:hAnsi="Calibri" w:eastAsia="Calibri"/>
          <w:sz w:val="18"/>
        </w:rPr>
        <w:t xml:space="preserve"> </w:t>
      </w:r>
      <w:hyperlink r:id="rId32">
        <w:r>
          <w:rPr>
            <w:rFonts w:ascii="Calibri" w:hAnsi="Calibri"/>
            <w:color w:val="2E74B5"/>
            <w:u w:val="single"/>
          </w:rPr>
          <w:t>https://aclanthology.org/D09-1005/</w:t>
        </w:r>
      </w:hyperlink>
    </w:p>
    <w:p>
      <w:pPr>
        <w:pStyle w:val="Reference"/>
      </w:pPr>
      <w:r>
        <w:rPr>
          <w:rFonts w:ascii="Calibri" w:hAnsi="Calibri" w:eastAsia="Calibri"/>
          <w:color w:val="202A34"/>
          <w:sz w:val="18"/>
        </w:rPr>
        <w:t>Nivre, J., de Marneffe, M.-C., Ginter, F., Hajic, J., Manning, C. D., Pyysalo, S., Schuster, S., Tyers, F., &amp; Zeman, D. (2020). Universal Dependencies v2: An evergrowing multilingual treebank collection. LREC, 4034-4043.</w:t>
      </w:r>
      <w:r>
        <w:rPr>
          <w:rFonts w:ascii="Calibri" w:hAnsi="Calibri" w:eastAsia="Calibri"/>
          <w:sz w:val="18"/>
        </w:rPr>
        <w:t xml:space="preserve"> </w:t>
      </w:r>
      <w:hyperlink r:id="rId33">
        <w:r>
          <w:rPr>
            <w:rFonts w:ascii="Calibri" w:hAnsi="Calibri"/>
            <w:color w:val="2E74B5"/>
            <w:u w:val="single"/>
          </w:rPr>
          <w:t>https://aclanthology.org/2020.lrec-1.497/</w:t>
        </w:r>
      </w:hyperlink>
    </w:p>
    <w:p>
      <w:pPr>
        <w:pStyle w:val="Reference"/>
      </w:pPr>
      <w:r>
        <w:rPr>
          <w:rFonts w:ascii="Calibri" w:hAnsi="Calibri" w:eastAsia="Calibri"/>
          <w:color w:val="202A34"/>
          <w:sz w:val="18"/>
        </w:rPr>
        <w:t>Palmer, M., Gildea, D., &amp; Kingsbury, P. (2005). The Proposition Bank: An annotated corpus of semantic roles. Computational Linguistics, 31(1), 71-106. https://doi.org/10.1162/0891201053630264</w:t>
      </w:r>
      <w:r>
        <w:rPr>
          <w:rFonts w:ascii="Calibri" w:hAnsi="Calibri" w:eastAsia="Calibri"/>
          <w:sz w:val="18"/>
        </w:rPr>
        <w:t xml:space="preserve"> </w:t>
      </w:r>
      <w:hyperlink r:id="rId34">
        <w:r>
          <w:rPr>
            <w:rFonts w:ascii="Calibri" w:hAnsi="Calibri"/>
            <w:color w:val="2E74B5"/>
            <w:u w:val="single"/>
          </w:rPr>
          <w:t>https://aclanthology.org/J05-1004/</w:t>
        </w:r>
      </w:hyperlink>
    </w:p>
    <w:p>
      <w:pPr>
        <w:pStyle w:val="Reference"/>
      </w:pPr>
      <w:r>
        <w:rPr>
          <w:rFonts w:ascii="Calibri" w:hAnsi="Calibri" w:eastAsia="Calibri"/>
          <w:color w:val="202A34"/>
          <w:sz w:val="18"/>
        </w:rPr>
        <w:t>Peters, J., Buhlmann, P., &amp; Meinshausen, N. (2016). Causal inference by using invariant prediction: Identification and confidence intervals. Journal of the Royal Statistical Society B, 78(5), 947-1012. https://doi.org/10.1111/rssb.12167</w:t>
      </w:r>
      <w:r>
        <w:rPr>
          <w:rFonts w:ascii="Calibri" w:hAnsi="Calibri" w:eastAsia="Calibri"/>
          <w:sz w:val="18"/>
        </w:rPr>
        <w:t xml:space="preserve"> </w:t>
      </w:r>
      <w:hyperlink r:id="rId35">
        <w:r>
          <w:rPr>
            <w:rFonts w:ascii="Calibri" w:hAnsi="Calibri"/>
            <w:color w:val="2E74B5"/>
            <w:u w:val="single"/>
          </w:rPr>
          <w:t>https://arxiv.org/abs/1501.01332</w:t>
        </w:r>
      </w:hyperlink>
    </w:p>
    <w:p>
      <w:pPr>
        <w:pStyle w:val="Reference"/>
      </w:pPr>
      <w:r>
        <w:rPr>
          <w:rFonts w:ascii="Calibri" w:hAnsi="Calibri" w:eastAsia="Calibri"/>
          <w:color w:val="202A34"/>
          <w:sz w:val="18"/>
        </w:rPr>
        <w:t>Plate, T. A. (1995). Holographic reduced representations. IEEE Transactions on Neural Networks, 6(3), 623-641. https://doi.org/10.1109/72.377968</w:t>
      </w:r>
      <w:r>
        <w:rPr>
          <w:rFonts w:ascii="Calibri" w:hAnsi="Calibri" w:eastAsia="Calibri"/>
          <w:sz w:val="18"/>
        </w:rPr>
        <w:t xml:space="preserve"> </w:t>
      </w:r>
      <w:hyperlink r:id="rId36">
        <w:r>
          <w:rPr>
            <w:rFonts w:ascii="Calibri" w:hAnsi="Calibri"/>
            <w:color w:val="2E74B5"/>
            <w:u w:val="single"/>
          </w:rPr>
          <w:t>https://pubmed.ncbi.nlm.nih.gov/18263348/</w:t>
        </w:r>
      </w:hyperlink>
    </w:p>
    <w:p>
      <w:pPr>
        <w:pStyle w:val="Reference"/>
      </w:pPr>
      <w:r>
        <w:rPr>
          <w:rFonts w:ascii="Calibri" w:hAnsi="Calibri" w:eastAsia="Calibri"/>
          <w:color w:val="202A34"/>
          <w:sz w:val="18"/>
        </w:rPr>
        <w:t>Resnik, P. (1996). Selectional constraints: An information-theoretic model and its computational realization. Cognition, 61(1-2), 127-159. https://doi.org/10.1016/S0010-0277(96)00722-6</w:t>
      </w:r>
      <w:r>
        <w:rPr>
          <w:rFonts w:ascii="Calibri" w:hAnsi="Calibri" w:eastAsia="Calibri"/>
          <w:sz w:val="18"/>
        </w:rPr>
        <w:t xml:space="preserve"> </w:t>
      </w:r>
      <w:hyperlink r:id="rId37">
        <w:r>
          <w:rPr>
            <w:rFonts w:ascii="Calibri" w:hAnsi="Calibri"/>
            <w:color w:val="2E74B5"/>
            <w:u w:val="single"/>
          </w:rPr>
          <w:t>https://pubmed.ncbi.nlm.nih.gov/8990970/</w:t>
        </w:r>
      </w:hyperlink>
    </w:p>
    <w:p>
      <w:pPr>
        <w:pStyle w:val="Reference"/>
      </w:pPr>
      <w:r>
        <w:rPr>
          <w:rFonts w:ascii="Calibri" w:hAnsi="Calibri" w:eastAsia="Calibri"/>
          <w:color w:val="202A34"/>
          <w:sz w:val="18"/>
        </w:rPr>
        <w:t>Ribeiro, M. T., Wu, T., Guestrin, C., &amp; Singh, S. (2020). Beyond accuracy: Behavioral testing of NLP models with CheckList. ACL, 4902-4912.</w:t>
      </w:r>
      <w:r>
        <w:rPr>
          <w:rFonts w:ascii="Calibri" w:hAnsi="Calibri" w:eastAsia="Calibri"/>
          <w:sz w:val="18"/>
        </w:rPr>
        <w:t xml:space="preserve"> </w:t>
      </w:r>
      <w:hyperlink r:id="rId38">
        <w:r>
          <w:rPr>
            <w:rFonts w:ascii="Calibri" w:hAnsi="Calibri"/>
            <w:color w:val="2E74B5"/>
            <w:u w:val="single"/>
          </w:rPr>
          <w:t>https://aclanthology.org/2020.acl-main.442/</w:t>
        </w:r>
      </w:hyperlink>
    </w:p>
    <w:p>
      <w:pPr>
        <w:pStyle w:val="Reference"/>
      </w:pPr>
      <w:r>
        <w:rPr>
          <w:rFonts w:ascii="Calibri" w:hAnsi="Calibri" w:eastAsia="Calibri"/>
          <w:color w:val="202A34"/>
          <w:sz w:val="18"/>
        </w:rPr>
        <w:t>Rissanen, J. (1978). Modeling by shortest data description. Automatica, 14(5), 465-471. https://doi.org/10.1016/0005-1098(78)90005-5</w:t>
      </w:r>
      <w:r>
        <w:rPr>
          <w:rFonts w:ascii="Calibri" w:hAnsi="Calibri" w:eastAsia="Calibri"/>
          <w:sz w:val="18"/>
        </w:rPr>
        <w:t xml:space="preserve"> </w:t>
      </w:r>
      <w:hyperlink r:id="rId39">
        <w:r>
          <w:rPr>
            <w:rFonts w:ascii="Calibri" w:hAnsi="Calibri"/>
            <w:color w:val="2E74B5"/>
            <w:u w:val="single"/>
          </w:rPr>
          <w:t>https://research.ibm.com/publications/modeling-by-shortest-data-description</w:t>
        </w:r>
      </w:hyperlink>
    </w:p>
    <w:p>
      <w:pPr>
        <w:pStyle w:val="Reference"/>
      </w:pPr>
      <w:r>
        <w:rPr>
          <w:rFonts w:ascii="Calibri" w:hAnsi="Calibri" w:eastAsia="Calibri"/>
          <w:color w:val="202A34"/>
          <w:sz w:val="18"/>
        </w:rPr>
        <w:t>Silveira, N., Dozat, T., de Marneffe, M.-C., Bowman, S. R., Connor, M., Bauer, J., &amp; Manning, C. D. (2014). A gold standard dependency corpus for English. LREC, 2897-2904.</w:t>
      </w:r>
      <w:r>
        <w:rPr>
          <w:rFonts w:ascii="Calibri" w:hAnsi="Calibri" w:eastAsia="Calibri"/>
          <w:sz w:val="18"/>
        </w:rPr>
        <w:t xml:space="preserve"> </w:t>
      </w:r>
      <w:hyperlink r:id="rId40">
        <w:r>
          <w:rPr>
            <w:rFonts w:ascii="Calibri" w:hAnsi="Calibri"/>
            <w:color w:val="2E74B5"/>
            <w:u w:val="single"/>
          </w:rPr>
          <w:t>https://aclanthology.org/L14-1067/</w:t>
        </w:r>
      </w:hyperlink>
    </w:p>
    <w:p>
      <w:pPr>
        <w:pStyle w:val="Reference"/>
      </w:pPr>
      <w:r>
        <w:rPr>
          <w:rFonts w:ascii="Calibri" w:hAnsi="Calibri" w:eastAsia="Calibri"/>
          <w:color w:val="202A34"/>
          <w:sz w:val="18"/>
        </w:rPr>
        <w:t>Smith, D. A., &amp; Eisner, J. (2008). Dependency parsing by belief propagation. EMNLP, 145-156.</w:t>
      </w:r>
      <w:r>
        <w:rPr>
          <w:rFonts w:ascii="Calibri" w:hAnsi="Calibri" w:eastAsia="Calibri"/>
          <w:sz w:val="18"/>
        </w:rPr>
        <w:t xml:space="preserve"> </w:t>
      </w:r>
      <w:hyperlink r:id="rId41">
        <w:r>
          <w:rPr>
            <w:rFonts w:ascii="Calibri" w:hAnsi="Calibri"/>
            <w:color w:val="2E74B5"/>
            <w:u w:val="single"/>
          </w:rPr>
          <w:t>https://aclanthology.org/D08-1016/</w:t>
        </w:r>
      </w:hyperlink>
    </w:p>
    <w:p>
      <w:pPr>
        <w:pStyle w:val="Reference"/>
      </w:pPr>
      <w:r>
        <w:rPr>
          <w:rFonts w:ascii="Calibri" w:hAnsi="Calibri" w:eastAsia="Calibri"/>
          <w:color w:val="202A34"/>
          <w:sz w:val="18"/>
        </w:rPr>
        <w:t>Smolensky, P. (1990). Tensor product variable binding and the representation of symbolic structures in connectionist systems. Artificial Intelligence, 46(1-2), 159-216. https://doi.org/10.1016/0004-3702(90)90007-M</w:t>
      </w:r>
      <w:r>
        <w:rPr>
          <w:rFonts w:ascii="Calibri" w:hAnsi="Calibri" w:eastAsia="Calibri"/>
          <w:sz w:val="18"/>
        </w:rPr>
        <w:t xml:space="preserve"> </w:t>
      </w:r>
      <w:hyperlink r:id="rId42">
        <w:r>
          <w:rPr>
            <w:rFonts w:ascii="Calibri" w:hAnsi="Calibri"/>
            <w:color w:val="2E74B5"/>
            <w:u w:val="single"/>
          </w:rPr>
          <w:t>https://www.microsoft.com/en-us/research/publication/tensor-product-variable-binding-representation-symbolic-structures-connectionist-systems/</w:t>
        </w:r>
      </w:hyperlink>
    </w:p>
    <w:p>
      <w:pPr>
        <w:pStyle w:val="Reference"/>
      </w:pPr>
      <w:r>
        <w:rPr>
          <w:rFonts w:ascii="Calibri" w:hAnsi="Calibri" w:eastAsia="Calibri"/>
          <w:color w:val="202A34"/>
          <w:sz w:val="18"/>
        </w:rPr>
        <w:t>Tishby, N., Pereira, F. C., &amp; Bialek, W. (1999). The information bottleneck method. 37th Annual Allerton Conference on Communication, Control, and Computing.</w:t>
      </w:r>
      <w:r>
        <w:rPr>
          <w:rFonts w:ascii="Calibri" w:hAnsi="Calibri" w:eastAsia="Calibri"/>
          <w:sz w:val="18"/>
        </w:rPr>
        <w:t xml:space="preserve"> </w:t>
      </w:r>
      <w:hyperlink r:id="rId43">
        <w:r>
          <w:rPr>
            <w:rFonts w:ascii="Calibri" w:hAnsi="Calibri"/>
            <w:color w:val="2E74B5"/>
            <w:u w:val="single"/>
          </w:rPr>
          <w:t>https://arxiv.org/abs/physics/0004057</w:t>
        </w:r>
      </w:hyperlink>
    </w:p>
    <w:p>
      <w:pPr>
        <w:pStyle w:val="Heading1"/>
      </w:pPr>
      <w:r>
        <w:t>References - ConstellationOS internal evidence records</w:t>
      </w:r>
    </w:p>
    <w:p>
      <w:pPr>
        <w:pStyle w:val="Reference"/>
      </w:pPr>
      <w:r>
        <w:rPr>
          <w:rFonts w:ascii="Calibri" w:hAnsi="Calibri" w:eastAsia="Calibri"/>
          <w:color w:val="202A34"/>
          <w:sz w:val="18"/>
        </w:rPr>
        <w:t>ConstellationOS. (2026-08-11). PREREGISTRATION - The Null-Substrate Attack. 2026-08-11-PREREG-null-substrate.md.</w:t>
      </w:r>
    </w:p>
    <w:p>
      <w:pPr>
        <w:pStyle w:val="Reference"/>
      </w:pPr>
      <w:r>
        <w:rPr>
          <w:rFonts w:ascii="Calibri" w:hAnsi="Calibri" w:eastAsia="Calibri"/>
          <w:color w:val="202A34"/>
          <w:sz w:val="18"/>
        </w:rPr>
        <w:t>ConstellationOS. (2026-08-11). Concept Chemistry - Three Repairs, Verified on a Held-Out Attack. 2026-08-11-chem-repair-results.md.</w:t>
      </w:r>
    </w:p>
    <w:p>
      <w:pPr>
        <w:pStyle w:val="Reference"/>
      </w:pPr>
      <w:r>
        <w:rPr>
          <w:rFonts w:ascii="Calibri" w:hAnsi="Calibri" w:eastAsia="Calibri"/>
          <w:color w:val="202A34"/>
          <w:sz w:val="18"/>
        </w:rPr>
        <w:t>ConstellationOS. (2026-08-11). Architectural Density Control. 2026-08-11-architectural-density-control.md.</w:t>
      </w:r>
    </w:p>
    <w:p>
      <w:pPr>
        <w:pStyle w:val="Reference"/>
      </w:pPr>
      <w:r>
        <w:rPr>
          <w:rFonts w:ascii="Calibri" w:hAnsi="Calibri" w:eastAsia="Calibri"/>
          <w:color w:val="202A34"/>
          <w:sz w:val="18"/>
        </w:rPr>
        <w:t>ConstellationOS. (2026-08-12). Occupancy entropy 100k machine report. 2026-08-11-cyclotron-occupancy-entropy.json.</w:t>
      </w:r>
    </w:p>
    <w:p>
      <w:pPr>
        <w:pStyle w:val="Reference"/>
      </w:pPr>
      <w:r>
        <w:rPr>
          <w:rFonts w:ascii="Calibri" w:hAnsi="Calibri" w:eastAsia="Calibri"/>
          <w:color w:val="202A34"/>
          <w:sz w:val="18"/>
        </w:rPr>
        <w:t>ConstellationOS. (2026-08-13). Grammar Valence Discovery. 2026-08-13-grammar-valence-discovery.md.</w:t>
      </w:r>
    </w:p>
    <w:p>
      <w:pPr>
        <w:pStyle w:val="Reference"/>
      </w:pPr>
      <w:r>
        <w:rPr>
          <w:rFonts w:ascii="Calibri" w:hAnsi="Calibri" w:eastAsia="Calibri"/>
          <w:color w:val="202A34"/>
          <w:sz w:val="18"/>
        </w:rPr>
        <w:t>ConstellationOS. (2026-08-14). PREREGISTRATION - Silicone to Carbon transmutation. 2026-08-14-PREREG-silicone-carbon.md.</w:t>
      </w:r>
    </w:p>
    <w:p>
      <w:pPr>
        <w:pStyle w:val="Reference"/>
      </w:pPr>
      <w:r>
        <w:rPr>
          <w:rFonts w:ascii="Calibri" w:hAnsi="Calibri" w:eastAsia="Calibri"/>
          <w:color w:val="202A34"/>
          <w:sz w:val="18"/>
        </w:rPr>
        <w:t>ConstellationOS. (2026-08-14). RESULT - Silicone to Carbon transmutation. 2026-08-14-silicone-carbon-transmutation.md.</w:t>
      </w:r>
    </w:p>
    <w:p>
      <w:pPr>
        <w:pStyle w:val="Reference"/>
      </w:pPr>
      <w:r>
        <w:rPr>
          <w:rFonts w:ascii="Calibri" w:hAnsi="Calibri" w:eastAsia="Calibri"/>
          <w:color w:val="202A34"/>
          <w:sz w:val="18"/>
        </w:rPr>
        <w:t>ConstellationOS. (2026-08-14). PREREGISTRATION - Silicone graduated into carbon, feeding the Grimoire. 2026-08-14-PREREG-silicone-carbon-feed.md.</w:t>
      </w:r>
    </w:p>
    <w:p>
      <w:pPr>
        <w:pStyle w:val="Reference"/>
      </w:pPr>
      <w:r>
        <w:rPr>
          <w:rFonts w:ascii="Calibri" w:hAnsi="Calibri" w:eastAsia="Calibri"/>
          <w:color w:val="202A34"/>
          <w:sz w:val="18"/>
        </w:rPr>
        <w:t>ConstellationOS. (2026-08-14). RESULT - Resonance beacon efficacy. 2026-08-14-resonance-beacon-efficacy.md.</w:t>
      </w:r>
    </w:p>
    <w:p>
      <w:pPr>
        <w:pStyle w:val="Reference"/>
      </w:pPr>
      <w:r>
        <w:rPr>
          <w:rFonts w:ascii="Calibri" w:hAnsi="Calibri" w:eastAsia="Calibri"/>
          <w:color w:val="202A34"/>
          <w:sz w:val="18"/>
        </w:rPr>
        <w:t>ConstellationOS. (2026-08-15). DESIGN - Encrypted descending light (root-reachability identity). 2026-08-15-encrypted-descending-light-design.md.</w:t>
      </w:r>
    </w:p>
    <w:p>
      <w:pPr>
        <w:pStyle w:val="Reference"/>
      </w:pPr>
      <w:r>
        <w:rPr>
          <w:rFonts w:ascii="Calibri" w:hAnsi="Calibri" w:eastAsia="Calibri"/>
          <w:color w:val="202A34"/>
          <w:sz w:val="18"/>
        </w:rPr>
        <w:t>ConstellationOS. (internal filename dated 2026-08-17). Law Enforcer - Failed Attack Log &amp; Verdict. 2026-08-17-constellationos-law-enforcer-log.md.</w:t>
      </w:r>
    </w:p>
    <w:p>
      <w:pPr>
        <w:pStyle w:val="Heading1"/>
      </w:pPr>
      <w:r>
        <w:t>Research integrity note</w:t>
      </w:r>
    </w:p>
    <w:p>
      <w:r>
        <w:rPr>
          <w:rFonts w:ascii="Calibri" w:hAnsi="Calibri" w:eastAsia="Calibri"/>
        </w:rPr>
        <w:t>External references establish relevant methods and prior findings. Internal records establish only what the ConstellationOS reports document under their stated configurations. Internal filenames and date labels are reproduced as supplied; a filename date is provenance metadata, not evidence that the record preceded this paper. The ten theories in this paper are prospective. No proposed performance effect should be represented as observed until its preregistered experiment has been run and independently reproduced.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27180"/>
        <w:sz w:val="17"/>
      </w:rPr>
      <w:t xml:space="preserve">Vaelrix  |  Research paper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27180"/>
        <w:sz w:val="17"/>
      </w:rPr>
      <w:t>CONSTELLATIONOS RESEARCH PROGRAM  |  SEMANTIC PARTICLE THEORY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80"/>
        <w:spacing w:after="80" w:line="290" w:lineRule="auto"/>
      </w:pPr>
      <w:rPr>
        <w:rFonts w:ascii="Symbol" w:hAnsi="Symbol"/>
      </w:rPr>
    </w:lvl>
    <w:lvl w:ilvl="1">
      <w:start w:val="1"/>
      <w:numFmt w:val="bullet"/>
      <w:lvlText w:val="–"/>
      <w:suff w:val="tab"/>
      <w:pPr>
        <w:tabs>
          <w:tab w:val="num" w:pos="900"/>
        </w:tabs>
        <w:ind w:left="900" w:hanging="280"/>
        <w:spacing w:after="80" w:line="290" w:lineRule="auto"/>
      </w:pPr>
      <w:rPr>
        <w:rFonts w:ascii="Symbol" w:hAnsi="Symbol"/>
      </w:rPr>
    </w:lvl>
    <w:lvl w:ilvl="2">
      <w:start w:val="1"/>
      <w:numFmt w:val="bullet"/>
      <w:lvlText w:val="◦"/>
      <w:suff w:val="tab"/>
      <w:pPr>
        <w:tabs>
          <w:tab w:val="num" w:pos="1260"/>
        </w:tabs>
        <w:ind w:left="1260" w:hanging="280"/>
        <w:spacing w:after="80" w:line="290" w:lineRule="auto"/>
      </w:pPr>
      <w:rPr>
        <w:rFonts w:ascii="Symbol" w:hAnsi="Symbol"/>
      </w:rPr>
    </w:lvl>
  </w:abstractNum>
  <w:num w:numId="10">
    <w:abstractNumId w:val="9"/>
  </w:num>
  <w:abstractNum w:abstractNumId="10">
    <w:multiLevelType w:val="multilevel"/>
    <w:lvl w:ilvl="0">
      <w:start w:val="1"/>
      <w:numFmt w:val="decimal"/>
      <w:lvlText w:val="%1."/>
      <w:suff w:val="tab"/>
      <w:pPr>
        <w:tabs>
          <w:tab w:val="num" w:pos="720"/>
        </w:tabs>
        <w:ind w:left="720" w:hanging="360"/>
        <w:spacing w:after="80" w:line="290" w:lineRule="auto"/>
      </w:pPr>
    </w:lvl>
    <w:lvl w:ilvl="1">
      <w:start w:val="1"/>
      <w:numFmt w:val="decimal"/>
      <w:lvlText w:val="%2."/>
      <w:suff w:val="tab"/>
      <w:pPr>
        <w:tabs>
          <w:tab w:val="num" w:pos="1080"/>
        </w:tabs>
        <w:ind w:left="1080" w:hanging="360"/>
        <w:spacing w:after="80" w:line="290" w:lineRule="auto"/>
      </w:pPr>
    </w:lvl>
    <w:lvl w:ilvl="2">
      <w:start w:val="1"/>
      <w:numFmt w:val="decimal"/>
      <w:lvlText w:val="%3."/>
      <w:suff w:val="tab"/>
      <w:pPr>
        <w:tabs>
          <w:tab w:val="num" w:pos="1440"/>
        </w:tabs>
        <w:ind w:left="1440" w:hanging="360"/>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Rule="auto" w:line="320"/>
      <w:jc w:val="both"/>
    </w:pPr>
    <w:rPr>
      <w:rFonts w:ascii="Calibri" w:hAnsi="Calibri"/>
      <w:color w:val="202A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spacing w:before="80" w:after="160" w:line="276" w:lineRule="auto"/>
      <w:ind w:left="504" w:right="288"/>
    </w:pPr>
    <w:rPr>
      <w:rFonts w:ascii="Consolas" w:hAnsi="Consolas"/>
      <w:color w:val="17324D"/>
      <w:sz w:val="19"/>
    </w:rPr>
  </w:style>
  <w:style w:type="paragraph" w:customStyle="1" w:styleId="CaptionCustom">
    <w:name w:val="CaptionCustom"/>
    <w:basedOn w:val="Normal"/>
    <w:pPr>
      <w:keepNext w:val="0"/>
      <w:spacing w:before="80" w:after="160"/>
      <w:jc w:val="center"/>
    </w:pPr>
    <w:rPr>
      <w:rFonts w:ascii="Calibri" w:hAnsi="Calibri"/>
      <w:i/>
      <w:color w:val="627180"/>
      <w:sz w:val="18"/>
    </w:rPr>
  </w:style>
  <w:style w:type="paragraph" w:customStyle="1" w:styleId="Reference">
    <w:name w:val="Reference"/>
    <w:basedOn w:val="Normal"/>
    <w:pPr>
      <w:spacing w:after="100" w:line="264" w:lineRule="auto"/>
      <w:ind w:left="432" w:hanging="432"/>
      <w:jc w:val="left"/>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clanthology.org/P98-1013/" TargetMode="External"/><Relationship Id="rId14" Type="http://schemas.openxmlformats.org/officeDocument/2006/relationships/hyperlink" Target="https://aclanthology.org/1991.iwpt-1.17/" TargetMode="External"/><Relationship Id="rId15" Type="http://schemas.openxmlformats.org/officeDocument/2006/relationships/hyperlink" Target="https://projecteuclid.org/journals/statistical-science/volume-10/issue-3/Bayesian-Experimental-Design-A-Review/10.1214/ss/1177009939.short" TargetMode="External"/><Relationship Id="rId16" Type="http://schemas.openxmlformats.org/officeDocument/2006/relationships/hyperlink" Target="https://www.di.ens.fr/~cousot/COUSOTpapers/POPL77.shtml" TargetMode="External"/><Relationship Id="rId17" Type="http://schemas.openxmlformats.org/officeDocument/2006/relationships/hyperlink" Target="https://aclanthology.org/Q17-1033/" TargetMode="External"/><Relationship Id="rId18" Type="http://schemas.openxmlformats.org/officeDocument/2006/relationships/hyperlink" Target="https://aclanthology.org/P18-1128/" TargetMode="External"/><Relationship Id="rId19" Type="http://schemas.openxmlformats.org/officeDocument/2006/relationships/hyperlink" Target="https://aclanthology.org/J10-4007/" TargetMode="External"/><Relationship Id="rId20" Type="http://schemas.openxmlformats.org/officeDocument/2006/relationships/hyperlink" Target="https://aclanthology.org/2020.findings-emnlp.117/" TargetMode="External"/><Relationship Id="rId21" Type="http://schemas.openxmlformats.org/officeDocument/2006/relationships/hyperlink" Target="https://dl.acm.org/doi/10.1145/319838.319848" TargetMode="External"/><Relationship Id="rId22" Type="http://schemas.openxmlformats.org/officeDocument/2006/relationships/hyperlink" Target="https://aclanthology.org/2020.cl-4.2/" TargetMode="External"/><Relationship Id="rId23" Type="http://schemas.openxmlformats.org/officeDocument/2006/relationships/hyperlink" Target="https://aclanthology.org/J02-3001/" TargetMode="External"/><Relationship Id="rId24" Type="http://schemas.openxmlformats.org/officeDocument/2006/relationships/hyperlink" Target="https://aclanthology.org/J99-4004/" TargetMode="External"/><Relationship Id="rId25" Type="http://schemas.openxmlformats.org/officeDocument/2006/relationships/hyperlink" Target="https://dl.acm.org/doi/10.1145/1265530.1265535" TargetMode="External"/><Relationship Id="rId26" Type="http://schemas.openxmlformats.org/officeDocument/2006/relationships/hyperlink" Target="https://aclanthology.org/D19-1275/" TargetMode="External"/><Relationship Id="rId27" Type="http://schemas.openxmlformats.org/officeDocument/2006/relationships/hyperlink" Target="https://arxiv.org/abs/1112.5745" TargetMode="External"/><Relationship Id="rId28" Type="http://schemas.openxmlformats.org/officeDocument/2006/relationships/hyperlink" Target="https://aclanthology.org/P08-1067/" TargetMode="External"/><Relationship Id="rId29" Type="http://schemas.openxmlformats.org/officeDocument/2006/relationships/hyperlink" Target="https://ieeexplore.ieee.org/document/910572/" TargetMode="External"/><Relationship Id="rId30" Type="http://schemas.openxmlformats.org/officeDocument/2006/relationships/hyperlink" Target="https://arxiv.org/abs/1207.6083" TargetMode="External"/><Relationship Id="rId31" Type="http://schemas.openxmlformats.org/officeDocument/2006/relationships/hyperlink" Target="https://dl.acm.org/doi/10.1145/360204.360210" TargetMode="External"/><Relationship Id="rId32" Type="http://schemas.openxmlformats.org/officeDocument/2006/relationships/hyperlink" Target="https://aclanthology.org/D09-1005/" TargetMode="External"/><Relationship Id="rId33" Type="http://schemas.openxmlformats.org/officeDocument/2006/relationships/hyperlink" Target="https://aclanthology.org/2020.lrec-1.497/" TargetMode="External"/><Relationship Id="rId34" Type="http://schemas.openxmlformats.org/officeDocument/2006/relationships/hyperlink" Target="https://aclanthology.org/J05-1004/" TargetMode="External"/><Relationship Id="rId35" Type="http://schemas.openxmlformats.org/officeDocument/2006/relationships/hyperlink" Target="https://arxiv.org/abs/1501.01332" TargetMode="External"/><Relationship Id="rId36" Type="http://schemas.openxmlformats.org/officeDocument/2006/relationships/hyperlink" Target="https://pubmed.ncbi.nlm.nih.gov/18263348/" TargetMode="External"/><Relationship Id="rId37" Type="http://schemas.openxmlformats.org/officeDocument/2006/relationships/hyperlink" Target="https://pubmed.ncbi.nlm.nih.gov/8990970/" TargetMode="External"/><Relationship Id="rId38" Type="http://schemas.openxmlformats.org/officeDocument/2006/relationships/hyperlink" Target="https://aclanthology.org/2020.acl-main.442/" TargetMode="External"/><Relationship Id="rId39" Type="http://schemas.openxmlformats.org/officeDocument/2006/relationships/hyperlink" Target="https://research.ibm.com/publications/modeling-by-shortest-data-description" TargetMode="External"/><Relationship Id="rId40" Type="http://schemas.openxmlformats.org/officeDocument/2006/relationships/hyperlink" Target="https://aclanthology.org/L14-1067/" TargetMode="External"/><Relationship Id="rId41" Type="http://schemas.openxmlformats.org/officeDocument/2006/relationships/hyperlink" Target="https://aclanthology.org/D08-1016/" TargetMode="External"/><Relationship Id="rId42" Type="http://schemas.openxmlformats.org/officeDocument/2006/relationships/hyperlink" Target="https://www.microsoft.com/en-us/research/publication/tensor-product-variable-binding-representation-symbolic-structures-connectionist-systems/" TargetMode="External"/><Relationship Id="rId43" Type="http://schemas.openxmlformats.org/officeDocument/2006/relationships/hyperlink" Target="https://arxiv.org/abs/physics/0004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Particle Theory for ConstellationOS</dc:title>
  <dc:subject>Ten falsifiable mechanisms for compositional parsing, ambiguity resolution, and safe grammar discovery</dc:subject>
  <dc:creator>Prepared for Vaelrix</dc:creator>
  <cp:keywords>ConstellationOS, semantic particles, packed parsing, semantic valence, selectional preference, provenance, Cyclotron</cp:keywords>
  <dc:description>Research synthesis and preregistration blueprint; generated 2026-08-16.</dc:description>
  <cp:lastModifiedBy/>
  <cp:revision>1</cp:revision>
  <dcterms:created xsi:type="dcterms:W3CDTF">2013-12-23T23:15:00Z</dcterms:created>
  <dcterms:modified xsi:type="dcterms:W3CDTF">2013-12-23T23:15:00Z</dcterms:modified>
  <cp:category/>
</cp:coreProperties>
</file>