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nu97rgp1o73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470"/>
        <w:gridCol w:w="5175"/>
        <w:tblGridChange w:id="0">
          <w:tblGrid>
            <w:gridCol w:w="4470"/>
            <w:gridCol w:w="51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Hasta el momento se han realizado los siguientes avances: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cuenta con la base estructural del sistema completamente funcional, incluyendo la configuración de la base de datos en Supabase, el modelo de datos y la implementación del sistema de autenticación.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ha desarrollado el inicio de sesión con validación de credenciales, la creación de cuentas de usuario, la recuperación de contraseñas y la vista exclusiva para el rol de administrador, quien puede gestionar y supervisar la información del sistema.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 han cumplido los siguientes objetivos específicos: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que los usuarios (profesores, estudiantes y apoderados) tengan acceso al sistema con autenticación y roles diferenciados.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una arquitectura escalable y robusta, capaz de soportar el crecimiento en la cantidad de usuarios en el mediano plazo.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e implementar una plataforma web que permita digitalizar la gestión académica y administrativa en establecimientos de enseñanza básica y media, optimizando la toma de decisiones del negocio respaldada por la información.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9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que los usuarios (profesores, estudiantes y apoderados) tengan acceso al sistema con autenticación y roles diferenciados.</w:t>
            </w:r>
          </w:p>
          <w:p w:rsidR="00000000" w:rsidDel="00000000" w:rsidP="00000000" w:rsidRDefault="00000000" w:rsidRPr="00000000" w14:paraId="0000001A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el módulo de gestión académica que permita registrar cursos, asignaturas, evaluaciones, notas y observaciones cualitativas.</w:t>
            </w:r>
          </w:p>
          <w:p w:rsidR="00000000" w:rsidDel="00000000" w:rsidP="00000000" w:rsidRDefault="00000000" w:rsidRPr="00000000" w14:paraId="0000001B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Optimizar la gestión de asistencia escolar, integrando alertas automáticas a los apoderados para mejorar la comunicación y seguimiento.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Recolectar y centralizar información sociofamiliar de los estudiantes, con el fin de apoyar la toma de decisiones pedagógicas y de gestión.</w:t>
            </w:r>
          </w:p>
          <w:p w:rsidR="00000000" w:rsidDel="00000000" w:rsidP="00000000" w:rsidRDefault="00000000" w:rsidRPr="00000000" w14:paraId="0000001D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 la comunicación de evaluaciones y calificaciones, fortaleciendo la transparencia y el vínculo entre la comunidad educativa.</w:t>
            </w:r>
          </w:p>
          <w:p w:rsidR="00000000" w:rsidDel="00000000" w:rsidP="00000000" w:rsidRDefault="00000000" w:rsidRPr="00000000" w14:paraId="0000001E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información en un módulo de Business Intelligence (BI) que permita generar dashboards interactivos para la gestión directiva y educacional.</w:t>
            </w:r>
          </w:p>
          <w:p w:rsidR="00000000" w:rsidDel="00000000" w:rsidP="00000000" w:rsidRDefault="00000000" w:rsidRPr="00000000" w14:paraId="0000001F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la generación de reportes analíticos en distintos formatos (PDF y Excel) para apoyar la labor administrativa y académica.</w:t>
            </w:r>
          </w:p>
          <w:p w:rsidR="00000000" w:rsidDel="00000000" w:rsidP="00000000" w:rsidRDefault="00000000" w:rsidRPr="00000000" w14:paraId="00000020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 sistema de monitoreo de estudiantes en riesgo académico o de asistencia, que permita detección temprana para la toma de acciones preventivas.</w:t>
            </w:r>
          </w:p>
          <w:p w:rsidR="00000000" w:rsidDel="00000000" w:rsidP="00000000" w:rsidRDefault="00000000" w:rsidRPr="00000000" w14:paraId="00000021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Mejorar la experiencia de uso del sistema, asegurando que la interfaz sea intuitiva, accesible y bien valorada por los usuarios.</w:t>
            </w:r>
          </w:p>
          <w:p w:rsidR="00000000" w:rsidDel="00000000" w:rsidP="00000000" w:rsidRDefault="00000000" w:rsidRPr="00000000" w14:paraId="00000022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Asegurar la disponibilidad y confiabilidad de la plataforma, manteniendo altos niveles de continuidad operativa.</w:t>
            </w:r>
          </w:p>
          <w:p w:rsidR="00000000" w:rsidDel="00000000" w:rsidP="00000000" w:rsidRDefault="00000000" w:rsidRPr="00000000" w14:paraId="00000023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una arquitectura escalable y robusta, capaz de soportar el crecimiento en la cantidad de usuarios en el mediano plazo.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 cambia la metodología de Scrum a Kanban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cambio se realizó debido a que el equipo no cuenta con un Product Owner.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 la ausencia de este rol, la metodología Scrum se volvía difícil de aplicar correctamente, ya que las decisiones sobre priorización, planificación de sprints y validación de entregas quedaban sin una figura clara de responsabilidad.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 Kanban no requiere roles específicos, por lo que se adapta mejor a nuestro equipo.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mantener un flujo de trabajo continuo, donde las tareas pueden priorizarse de forma colaborativa según la carga y urgencia.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 visualizar el progreso del proyecto mediante un tablero, sin necesidad de ciclos fijos de sprint.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equipo puede ajustar el flujo y mejorar los procesos mediante revisiones periódicas.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presentan como evidencias las capturas de pantalla del sistema funcionando, mostrando el inicio de sesión, creación de cuentas, recuperación de contraseñas y vista del administrador.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Además, se incluye el modelo de datos implementado en Supabase.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calidad del proyecto se ha resguardado mediante la aplicación de buenas prácticas de desarrollo, uso de Supabase como backend seguro y pruebas funcionales básicas para verificar el correcto funcionamiento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Evidencias del Avance del Proyecto APT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Capturas de pantalla del sistema en funcionamiento</w:t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7940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451100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794000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67970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654300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81940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3086100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1591405" cy="2275791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05" cy="2275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114300" distT="114300" distL="114300" distR="114300">
            <wp:extent cx="5399730" cy="285750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evidencias reflejan el cumplimiento de los objetivos planteados hasta esta etapa, específicamente la creación de un sistema con acceso seguro, roles diferenciados y una arquitectura escalable para su crecimiento futuro.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544260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590.9999999999997" w:tblpY="0"/>
            <w:tblW w:w="9510.0" w:type="dxa"/>
            <w:jc w:val="left"/>
            <w:tblInd w:w="-5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10"/>
            <w:tblGridChange w:id="0">
              <w:tblGrid>
                <w:gridCol w:w="9510"/>
              </w:tblGrid>
            </w:tblGridChange>
          </w:tblGrid>
          <w:tr>
            <w:trPr>
              <w:cantSplit w:val="0"/>
              <w:trHeight w:val="633.8557942708333" w:hRule="atLeast"/>
              <w:tblHeader w:val="0"/>
            </w:trPr>
            <w:tc>
              <w:tcPr>
                <w:tcBorders>
                  <w:top w:color="cccccc" w:space="0" w:sz="8" w:val="single"/>
                  <w:left w:color="b7b7b7" w:space="0" w:sz="8" w:val="single"/>
                  <w:bottom w:color="cccccc" w:space="0" w:sz="8" w:val="single"/>
                  <w:right w:color="b7b7b7" w:space="0" w:sz="8" w:val="single"/>
                </w:tcBorders>
              </w:tcPr>
              <w:p w:rsidR="00000000" w:rsidDel="00000000" w:rsidP="00000000" w:rsidRDefault="00000000" w:rsidRPr="00000000" w14:paraId="00000064">
                <w:pPr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69.6305338541667" w:hRule="atLeast"/>
              <w:tblHeader w:val="0"/>
            </w:trPr>
            <w:tc>
              <w:tcPr>
                <w:tcBorders>
                  <w:top w:color="cccccc" w:space="0" w:sz="8" w:val="single"/>
                  <w:left w:color="b7b7b7" w:space="0" w:sz="8" w:val="single"/>
                  <w:bottom w:color="cccccc" w:space="0" w:sz="8" w:val="single"/>
                  <w:right w:color="b7b7b7" w:space="0" w:sz="8" w:val="single"/>
                </w:tcBorders>
                <w:shd w:fill="c9daf8" w:val="clear"/>
              </w:tcPr>
              <w:p w:rsidR="00000000" w:rsidDel="00000000" w:rsidP="00000000" w:rsidRDefault="00000000" w:rsidRPr="00000000" w14:paraId="00000065">
                <w:pPr>
                  <w:jc w:val="both"/>
                  <w:rPr>
                    <w:color w:val="1f3864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enfocándose especialmente en la columna de avance y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3185998"/>
        <w:tag w:val="goog_rdk_1"/>
      </w:sdtPr>
      <w:sdtContent>
        <w:tbl>
          <w:tblPr>
            <w:tblStyle w:val="Table4"/>
            <w:tblW w:w="9420.0" w:type="dxa"/>
            <w:jc w:val="left"/>
            <w:tblInd w:w="-540.0" w:type="dxa"/>
            <w:tbl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  <w:insideH w:color="b7b7b7" w:space="0" w:sz="8" w:val="single"/>
              <w:insideV w:color="b7b7b7" w:space="0" w:sz="8" w:val="single"/>
            </w:tblBorders>
            <w:tblLayout w:type="fixed"/>
            <w:tblLook w:val="0600"/>
          </w:tblPr>
          <w:tblGrid>
            <w:gridCol w:w="1605"/>
            <w:gridCol w:w="1065"/>
            <w:gridCol w:w="1065"/>
            <w:gridCol w:w="1065"/>
            <w:gridCol w:w="1065"/>
            <w:gridCol w:w="1065"/>
            <w:gridCol w:w="1065"/>
            <w:gridCol w:w="1425"/>
            <w:tblGridChange w:id="0">
              <w:tblGrid>
                <w:gridCol w:w="1605"/>
                <w:gridCol w:w="1065"/>
                <w:gridCol w:w="1065"/>
                <w:gridCol w:w="1065"/>
                <w:gridCol w:w="1065"/>
                <w:gridCol w:w="1065"/>
                <w:gridCol w:w="1065"/>
                <w:gridCol w:w="142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8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32"/>
                    <w:szCs w:val="32"/>
                  </w:rPr>
                </w:pPr>
                <w:r w:rsidDel="00000000" w:rsidR="00000000" w:rsidRPr="00000000">
                  <w:rPr>
                    <w:color w:val="1f3864"/>
                    <w:highlight w:val="white"/>
                    <w:rtl w:val="0"/>
                  </w:rPr>
                  <w:t xml:space="preserve">Plan de Trabajo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Competencia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o unidades de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competencias</w:t>
                </w:r>
              </w:p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Actividades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Recursos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Duración de la actividad</w:t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Observaciones</w:t>
                </w:r>
              </w:p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Estado de avance</w:t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jc w:val="center"/>
                  <w:rPr>
                    <w:color w:val="1f3864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highlight w:val="white"/>
                    <w:rtl w:val="0"/>
                  </w:rPr>
                  <w:t xml:space="preserve">Ajustes</w:t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proyectos informáticos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Planificar tareas, definir los plazos y recursos asignados a cada una de ellas.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Jira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8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8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Se ajustó la metodología del proyecto, modificando por kanban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pacing w:after="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Arquitectura de software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Diagramas y definir el modelo de datos, la arquitectura de la solución y los procesos relacionados a las funcionalidades del sistema.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jc w:val="both"/>
                  <w:rPr>
                    <w:sz w:val="20"/>
                    <w:szCs w:val="20"/>
                  </w:rPr>
                </w:pPr>
                <w:hyperlink r:id="rId17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Draw.io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8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9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9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software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APIs, lógica de negocio y seguridad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jc w:val="both"/>
                  <w:rPr>
                    <w:sz w:val="20"/>
                    <w:szCs w:val="20"/>
                  </w:rPr>
                </w:pPr>
                <w:hyperlink r:id="rId18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Node.js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Dependencias</w:t>
                </w:r>
              </w:p>
              <w:p w:rsidR="00000000" w:rsidDel="00000000" w:rsidP="00000000" w:rsidRDefault="00000000" w:rsidRPr="00000000" w14:paraId="0000009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Copilot</w:t>
                </w:r>
              </w:p>
              <w:p w:rsidR="00000000" w:rsidDel="00000000" w:rsidP="00000000" w:rsidRDefault="00000000" w:rsidRPr="00000000" w14:paraId="0000009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9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 semanas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9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9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progreso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software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Creación de interfaces web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jc w:val="both"/>
                  <w:rPr>
                    <w:sz w:val="20"/>
                    <w:szCs w:val="20"/>
                  </w:rPr>
                </w:pPr>
                <w:hyperlink r:id="rId19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Vue.js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CSS</w:t>
                </w:r>
              </w:p>
              <w:p w:rsidR="00000000" w:rsidDel="00000000" w:rsidP="00000000" w:rsidRDefault="00000000" w:rsidRPr="00000000" w14:paraId="000000A3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Tailwind</w:t>
                </w:r>
              </w:p>
              <w:p w:rsidR="00000000" w:rsidDel="00000000" w:rsidP="00000000" w:rsidRDefault="00000000" w:rsidRPr="00000000" w14:paraId="000000A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Typescript</w:t>
                </w:r>
              </w:p>
              <w:p w:rsidR="00000000" w:rsidDel="00000000" w:rsidP="00000000" w:rsidRDefault="00000000" w:rsidRPr="00000000" w14:paraId="000000A5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Copilot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A6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 semanas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A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A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progreso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Inteligencia de negocios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de paneles con métricas clave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Looker studio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A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A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B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3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DevOps</w:t>
                </w:r>
              </w:p>
              <w:p w:rsidR="00000000" w:rsidDel="00000000" w:rsidP="00000000" w:rsidRDefault="00000000" w:rsidRPr="00000000" w14:paraId="000000B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desplegarán los servicios necesarios.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Supabase,</w:t>
                </w:r>
              </w:p>
              <w:p w:rsidR="00000000" w:rsidDel="00000000" w:rsidP="00000000" w:rsidRDefault="00000000" w:rsidRPr="00000000" w14:paraId="000000B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vercel o railway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B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B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progreso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Calidad de Software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funcionales, seguridad, usabilidad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Jmeter</w:t>
                </w:r>
              </w:p>
              <w:p w:rsidR="00000000" w:rsidDel="00000000" w:rsidP="00000000" w:rsidRDefault="00000000" w:rsidRPr="00000000" w14:paraId="000000C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Jest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C2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C3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6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Gestión de proyectos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Elaboración de informes, manuales y entrega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Word, PDF, GitHub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</w:t>
                </w:r>
              </w:p>
            </w:tc>
            <w:tc>
              <w:tcPr>
                <w:tcBorders>
                  <w:right w:color="ffffff" w:space="0" w:sz="4" w:val="single"/>
                </w:tcBorders>
              </w:tcPr>
              <w:p w:rsidR="00000000" w:rsidDel="00000000" w:rsidP="00000000" w:rsidRDefault="00000000" w:rsidRPr="00000000" w14:paraId="000000C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Todo el equipo</w:t>
                </w:r>
              </w:p>
            </w:tc>
            <w:tc>
              <w:tcPr>
                <w:tcBorders>
                  <w:left w:color="ffffff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C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Sin observación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95959"/>
                    <w:sz w:val="20"/>
                    <w:szCs w:val="20"/>
                    <w:rtl w:val="0"/>
                  </w:rPr>
                  <w:t xml:space="preserve">Sin Ajustes</w:t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D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Calibri" w:cs="Calibri" w:eastAsia="Calibri" w:hAnsi="Calibri"/>
                <w:b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uso del método Kanban facilitó la organización del trabajo y la distribución de tareas, permitiendo mantener un flujo constante de avances. Además, la planificación anticipada de las herramientas y tecnologías como Supabase, Vue y Git ayudó a evitar retrasos y mejorar la coordinación del equipo.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Como dificultad, se presentaron algunos problemas técnicos con la configuración de Supabase y la gestión de roles, los cuales fueron solucionados y realizando pruebas en equipo antes de aplicar los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realizó un ajuste en la metodología de trabajo, cambiando de Scrum a Kanban.</w:t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Este cambio se llevó a cabo debido a que el equipo no contaba con un Product Owner, lo que dificulta la correcta aplicación de Scrum.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adopción de Kanban permite mantener un flujo de trabajo continuo, mejorar la colaboración entre los integrantes y visualizar mejor el progreso mediante el uso de tableros.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Gracias a este ajuste, se logró una organización más flexible y una distribución de tareas más clara, sin afectar los plazos establecidos en el plan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actividades pendientes corresponden a terminar las vistas del software creando el frontend y backend, la integración del módulo de Business Intelligence y las pruebas de calidad. Estas se realizarán en la siguiente fase, siguiendo el cronograma previsto. Para asegurar el cumplimiento, se aumentará la frecuencia de reuniones de seguimiento y se reforzará la asignación de tareas en el tablero Kanban.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hyperlink" Target="http://draw.io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://vue.j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node.js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ZBm9gCaw9u2aJWVG5q0I4T85Q==">CgMxLjAaHwoBMBIaChgICVIUChJ0YWJsZS4zYmV0aDVzNnh5ajAaHwoBMRIaChgICVIUChJ0YWJsZS5kY2I4cXA5bnNzbnMyDmgubnU5N3JncDFvNzNiOAByITFEVVUxbG13RkFHUEkyWURTVDQ1V1NBdUNCRkc0dnpqdw==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