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C5666" w14:textId="3A99921B" w:rsidR="00F90C7F" w:rsidRPr="00F90C7F" w:rsidRDefault="00F90C7F" w:rsidP="00F90C7F">
      <w:pPr>
        <w:jc w:val="center"/>
        <w:rPr>
          <w:b/>
          <w:bCs/>
          <w:sz w:val="28"/>
          <w:szCs w:val="28"/>
        </w:rPr>
      </w:pPr>
      <w:r w:rsidRPr="00F90C7F">
        <w:rPr>
          <w:b/>
          <w:bCs/>
          <w:sz w:val="28"/>
          <w:szCs w:val="28"/>
        </w:rPr>
        <w:t>Assignment 1</w:t>
      </w:r>
    </w:p>
    <w:p w14:paraId="2A2B33A4" w14:textId="77777777" w:rsidR="00F90C7F" w:rsidRPr="00F90C7F" w:rsidRDefault="00F90C7F" w:rsidP="00F90C7F">
      <w:pPr>
        <w:jc w:val="center"/>
        <w:rPr>
          <w:b/>
          <w:bCs/>
          <w:sz w:val="28"/>
          <w:szCs w:val="28"/>
        </w:rPr>
      </w:pPr>
      <w:r w:rsidRPr="00F90C7F">
        <w:rPr>
          <w:b/>
          <w:bCs/>
          <w:sz w:val="28"/>
          <w:szCs w:val="28"/>
        </w:rPr>
        <w:t>Advanced Solidity Patterns &amp; Security Fundamentals</w:t>
      </w:r>
    </w:p>
    <w:p w14:paraId="5668D0FA" w14:textId="77777777" w:rsidR="00F90C7F" w:rsidRPr="00F90C7F" w:rsidRDefault="00F90C7F" w:rsidP="00F90C7F">
      <w:r w:rsidRPr="00F90C7F">
        <w:t xml:space="preserve">Name: Iskander Kustayev </w:t>
      </w:r>
    </w:p>
    <w:p w14:paraId="0E25DBB8" w14:textId="77777777" w:rsidR="00F90C7F" w:rsidRPr="00F90C7F" w:rsidRDefault="00F90C7F" w:rsidP="00F90C7F">
      <w:r w:rsidRPr="00F90C7F">
        <w:t>Group: SE-2403</w:t>
      </w:r>
    </w:p>
    <w:p w14:paraId="725D0ABB" w14:textId="77777777" w:rsidR="00F90C7F" w:rsidRPr="00F90C7F" w:rsidRDefault="00F90C7F">
      <w:pPr>
        <w:rPr>
          <w:b/>
          <w:bCs/>
        </w:rPr>
      </w:pPr>
      <w:r w:rsidRPr="00F90C7F">
        <w:rPr>
          <w:b/>
          <w:bCs/>
        </w:rPr>
        <w:t xml:space="preserve">PART 4 — Theoretical Analysis </w:t>
      </w:r>
    </w:p>
    <w:p w14:paraId="4915C217" w14:textId="064A7AFE" w:rsidR="0074130B" w:rsidRDefault="00F90C7F">
      <w:pPr>
        <w:rPr>
          <w:b/>
          <w:bCs/>
        </w:rPr>
      </w:pPr>
      <w:r w:rsidRPr="00F90C7F">
        <w:rPr>
          <w:b/>
          <w:bCs/>
        </w:rPr>
        <w:t>Task 7: Written Analysis</w:t>
      </w:r>
    </w:p>
    <w:p w14:paraId="01A40169" w14:textId="77777777" w:rsidR="00417AD3" w:rsidRPr="00AD2D1B" w:rsidRDefault="00417AD3">
      <w:pPr>
        <w:rPr>
          <w:b/>
          <w:bCs/>
          <w:lang w:val="en-US"/>
        </w:rPr>
      </w:pPr>
      <w:r w:rsidRPr="00417AD3">
        <w:rPr>
          <w:b/>
          <w:bCs/>
        </w:rPr>
        <w:t xml:space="preserve">Question 1: Proxy Patterns Comparison (4–6 paragraphs) </w:t>
      </w:r>
    </w:p>
    <w:p w14:paraId="351E8DC2" w14:textId="77777777" w:rsidR="00417AD3" w:rsidRPr="00AD2D1B" w:rsidRDefault="00417AD3" w:rsidP="00417AD3">
      <w:pPr>
        <w:rPr>
          <w:lang w:val="en-US"/>
        </w:rPr>
      </w:pPr>
      <w:r w:rsidRPr="00417AD3">
        <w:t xml:space="preserve">• </w:t>
      </w:r>
      <w:r w:rsidRPr="00417AD3">
        <w:rPr>
          <w:b/>
          <w:bCs/>
        </w:rPr>
        <w:t>Compare Transparent Proxy, UUPS, and Diamond (EIP-2535) patterns</w:t>
      </w:r>
      <w:r w:rsidRPr="00417AD3">
        <w:rPr>
          <w:lang w:val="en-US"/>
        </w:rPr>
        <w:br/>
      </w:r>
    </w:p>
    <w:p w14:paraId="7DDBFAE4" w14:textId="4E6FE12E" w:rsidR="00417AD3" w:rsidRDefault="00417AD3" w:rsidP="00417AD3">
      <w:pPr>
        <w:jc w:val="both"/>
      </w:pPr>
      <w:r w:rsidRPr="00417AD3">
        <w:t>When I first started learning about upgradeable smart contracts, it felt almost contradictory to the whole point of blockchain. The code is supposed to be immutable, right? But proxy patterns give us a way around that: users always interact with the same address, while the underlying logic can be swapped out. There are three main approaches worth comparing.</w:t>
      </w:r>
    </w:p>
    <w:p w14:paraId="10613D9C" w14:textId="77777777" w:rsidR="00417AD3" w:rsidRPr="00417AD3" w:rsidRDefault="00417AD3" w:rsidP="00417AD3">
      <w:pPr>
        <w:jc w:val="both"/>
      </w:pPr>
    </w:p>
    <w:p w14:paraId="7B350319" w14:textId="77777777" w:rsidR="00417AD3" w:rsidRPr="00417AD3" w:rsidRDefault="00417AD3" w:rsidP="00417AD3">
      <w:pPr>
        <w:jc w:val="both"/>
      </w:pPr>
      <w:r w:rsidRPr="00417AD3">
        <w:rPr>
          <w:b/>
          <w:bCs/>
        </w:rPr>
        <w:t>Transparent Proxy</w:t>
      </w:r>
      <w:r w:rsidRPr="00417AD3">
        <w:t xml:space="preserve"> is the oldest and probably the most straightforward pattern. The idea is simple: a proxy contract holds the state and forwards calls via delegatecall to a separate implementation contract. The tricky part is that both the admin and regular users call the same proxy address, which creates a risk of selector clashing, where a function selector in the proxy collides with one in the implementation. OpenZeppelin handled this by making the proxy behave differently depending on who is calling: admin calls are handled by the proxy itself, while user calls get forwarded to the implementation. The downside is that every single call requires a "who is calling" check, which adds gas overhead. Early versions of protocols like Compound used a similar approach.</w:t>
      </w:r>
    </w:p>
    <w:p w14:paraId="3BC4C31A" w14:textId="77777777" w:rsidR="00417AD3" w:rsidRPr="00417AD3" w:rsidRDefault="00417AD3" w:rsidP="00417AD3">
      <w:pPr>
        <w:jc w:val="both"/>
      </w:pPr>
      <w:r w:rsidRPr="00417AD3">
        <w:rPr>
          <w:b/>
          <w:bCs/>
        </w:rPr>
        <w:t>UUPS (EIP-1822)</w:t>
      </w:r>
      <w:r w:rsidRPr="00417AD3">
        <w:t xml:space="preserve"> came as a response to the inefficiency of Transparent Proxy. The key difference is that the upgrade logic lives inside the implementation contract rather than the proxy. This makes the proxy itself extremely thin, it just does a delegatecall and nothing else. The result is lower gas cost per call since there is no admin check happening every time. However, there is a serious risk here: if you deploy a new implementation without an upgradeTo function, the contract permanently loses upgradeability. OpenZeppelin even added a dedicated check for this in their UUPSUpgradeable base contract to prevent that mistake. UUPS is arguably the most popular choice today and is used by Aave v3 and many projects built on top of OpenZeppelin Upgrades.</w:t>
      </w:r>
    </w:p>
    <w:p w14:paraId="067DA161" w14:textId="77777777" w:rsidR="00417AD3" w:rsidRPr="00417AD3" w:rsidRDefault="00417AD3" w:rsidP="00417AD3">
      <w:pPr>
        <w:jc w:val="both"/>
      </w:pPr>
      <w:r w:rsidRPr="00417AD3">
        <w:rPr>
          <w:b/>
          <w:bCs/>
        </w:rPr>
        <w:t>Diamond Pattern (EIP-2535)</w:t>
      </w:r>
      <w:r w:rsidRPr="00417AD3">
        <w:t xml:space="preserve"> is a completely different level of complexity. A single proxy contract (the diamond) can delegate calls to multiple implementation contracts called facets, each responsible for its own set of functions. This solves the 24kb contract size limit and allows upgrading only specific parts of the protocol without touching everything else. But storage management becomes a real challenge: each facet shares the same storage space, so if they are not carefully organized, one facet can accidentally overwrite data used by another. This is typically handled using Diamond Storage or AppStorage patterns, where each facet gets its own isolated storage struct at a pseudo-random slot. Real examples include Aavegotchi, which is entirely built on the Diamond pattern, and some components of SushiSwap.</w:t>
      </w:r>
    </w:p>
    <w:p w14:paraId="7FE4F27F" w14:textId="1CA4AD0E" w:rsidR="00417AD3" w:rsidRPr="00417AD3" w:rsidRDefault="00417AD3">
      <w:pPr>
        <w:rPr>
          <w:lang w:val="en-US"/>
        </w:rPr>
      </w:pPr>
    </w:p>
    <w:p w14:paraId="7BCCA95F" w14:textId="77777777" w:rsidR="00417AD3" w:rsidRPr="00417AD3" w:rsidRDefault="00417AD3">
      <w:pPr>
        <w:rPr>
          <w:lang w:val="en-US"/>
        </w:rPr>
      </w:pPr>
    </w:p>
    <w:p w14:paraId="240BEB14" w14:textId="77777777" w:rsidR="00417AD3" w:rsidRPr="00417AD3" w:rsidRDefault="00417AD3">
      <w:pPr>
        <w:rPr>
          <w:b/>
          <w:bCs/>
          <w:lang w:val="en-US"/>
        </w:rPr>
      </w:pPr>
      <w:r w:rsidRPr="00417AD3">
        <w:rPr>
          <w:b/>
          <w:bCs/>
        </w:rPr>
        <w:lastRenderedPageBreak/>
        <w:t xml:space="preserve">• Discuss storage collision risks, gas overhead, and upgrade governance </w:t>
      </w:r>
    </w:p>
    <w:p w14:paraId="05354BB1" w14:textId="17D1353D" w:rsidR="00417AD3" w:rsidRPr="00AD2D1B" w:rsidRDefault="00417AD3" w:rsidP="008734B2">
      <w:pPr>
        <w:jc w:val="both"/>
        <w:rPr>
          <w:lang w:val="en-US"/>
        </w:rPr>
      </w:pPr>
      <w:r w:rsidRPr="00417AD3">
        <w:rPr>
          <w:b/>
          <w:bCs/>
        </w:rPr>
        <w:t>Storage collision</w:t>
      </w:r>
      <w:r w:rsidRPr="00417AD3">
        <w:t xml:space="preserve"> deserves its own explanation because it is one of the most dangerous issues when working with delegatecall. Variables in Solidity are stored by slot position (slot 0, slot 1, etc.), and if the proxy stores the implementation address at slot 0 while the implementation also stores something at slot 0, those will overlap during a delegatecall. OpenZeppelin solved this through unstructured storage: the implementation address is stored at a pseudo-random slot derived from keccak256("eip1967.proxy.implementation") - 1. EIP-1967 standardized these specific slots so that tooling like block explorers can always find them.</w:t>
      </w:r>
    </w:p>
    <w:p w14:paraId="49DC6B03" w14:textId="77777777" w:rsidR="008734B2" w:rsidRPr="00AD2D1B" w:rsidRDefault="008734B2" w:rsidP="008734B2">
      <w:pPr>
        <w:jc w:val="both"/>
        <w:rPr>
          <w:lang w:val="en-US"/>
        </w:rPr>
      </w:pPr>
    </w:p>
    <w:p w14:paraId="48D11451" w14:textId="79E367A4" w:rsidR="00417AD3" w:rsidRPr="00AD2D1B" w:rsidRDefault="00417AD3" w:rsidP="008734B2">
      <w:pPr>
        <w:jc w:val="both"/>
        <w:rPr>
          <w:lang w:val="en-US"/>
        </w:rPr>
      </w:pPr>
      <w:r w:rsidRPr="00417AD3">
        <w:t xml:space="preserve">• </w:t>
      </w:r>
      <w:r w:rsidRPr="00417AD3">
        <w:rPr>
          <w:b/>
          <w:bCs/>
        </w:rPr>
        <w:t>When would you choose each pattern? Provide real-world protocol examples</w:t>
      </w:r>
      <w:r w:rsidRPr="00417AD3">
        <w:t xml:space="preserve"> </w:t>
      </w:r>
    </w:p>
    <w:p w14:paraId="0E03E476" w14:textId="5EA4AE7E" w:rsidR="00417AD3" w:rsidRPr="00417AD3" w:rsidRDefault="00417AD3" w:rsidP="008734B2">
      <w:pPr>
        <w:jc w:val="both"/>
        <w:rPr>
          <w:lang w:val="en-US"/>
        </w:rPr>
      </w:pPr>
      <w:r w:rsidRPr="00417AD3">
        <w:t>When it comes to actually choosing a pattern, my take is that UUPS is the best default for most projects because it balances simplicity and gas efficiency. Transparent Proxy makes sense when the team wants extra protection against accidentally breaking upgradeability, since the upgrade logic being in the proxy means a bad implementation deploy cannot lock you out. Diamond is only justified in specific situations: when you are hitting contract size limits, or when you genuinely need partial upgrades without pausing the entire protocol. Using Diamond just because it sounds sophisticated is probably not a great idea given how much complexity it adds.</w:t>
      </w:r>
    </w:p>
    <w:p w14:paraId="1C7BF14A" w14:textId="77777777" w:rsidR="00417AD3" w:rsidRPr="00417AD3" w:rsidRDefault="00417AD3">
      <w:pPr>
        <w:rPr>
          <w:lang w:val="en-US"/>
        </w:rPr>
      </w:pPr>
    </w:p>
    <w:p w14:paraId="2BA14BEF" w14:textId="795C7F68" w:rsidR="00417AD3" w:rsidRPr="00417AD3" w:rsidRDefault="00417AD3">
      <w:pPr>
        <w:rPr>
          <w:lang w:val="en-US"/>
        </w:rPr>
      </w:pPr>
      <w:r w:rsidRPr="00417AD3">
        <w:rPr>
          <w:lang w:val="en-US"/>
        </w:rPr>
        <w:br w:type="page"/>
      </w:r>
    </w:p>
    <w:p w14:paraId="6C90C14C" w14:textId="77777777" w:rsidR="00417AD3" w:rsidRPr="00417AD3" w:rsidRDefault="00417AD3">
      <w:pPr>
        <w:rPr>
          <w:lang w:val="en-US"/>
        </w:rPr>
      </w:pPr>
    </w:p>
    <w:p w14:paraId="333A76A9" w14:textId="77777777" w:rsidR="00417AD3" w:rsidRPr="00AD2D1B" w:rsidRDefault="00417AD3">
      <w:pPr>
        <w:rPr>
          <w:lang w:val="en-US"/>
        </w:rPr>
      </w:pPr>
      <w:r w:rsidRPr="00417AD3">
        <w:t>Question 2: Smart Contract Security Landscape (5–8 paragraphs)</w:t>
      </w:r>
    </w:p>
    <w:p w14:paraId="0F6A45AE" w14:textId="17858C1A" w:rsidR="00417AD3" w:rsidRPr="00AD2D1B" w:rsidRDefault="00417AD3">
      <w:pPr>
        <w:rPr>
          <w:lang w:val="en-US"/>
        </w:rPr>
      </w:pPr>
      <w:r w:rsidRPr="00417AD3">
        <w:t xml:space="preserve">• Analyze the top 5 most common vulnerabilities in DeFi (cite SWC Registry) </w:t>
      </w:r>
    </w:p>
    <w:p w14:paraId="5CFBB39E" w14:textId="77777777" w:rsidR="008734B2" w:rsidRPr="008734B2" w:rsidRDefault="008734B2" w:rsidP="008734B2">
      <w:r w:rsidRPr="008734B2">
        <w:t xml:space="preserve">Starting with the classic one: </w:t>
      </w:r>
      <w:r w:rsidRPr="008734B2">
        <w:rPr>
          <w:b/>
          <w:bCs/>
        </w:rPr>
        <w:t>Reentrancy (SWC-107)</w:t>
      </w:r>
      <w:r w:rsidRPr="008734B2">
        <w:t>. This attack happens when a contract makes an external call before updating its own state. An attacker's contract can use its fallback function to call back into the vulnerable contract recursively, draining funds in a loop. This is exactly what happened in the DAO hack in 2016, where the attacker exploited a recursive splitDAO() call and drained roughly 3.6 million ETH, worth around $60 million at the time. The incident was significant enough to cause Ethereum's controversial hard fork. The fix is the Checks-Effects-Interactions pattern: validate inputs first, then update state, and only then make external calls. OpenZeppelin's ReentrancyGuard modifier is also a reliable solution.</w:t>
      </w:r>
    </w:p>
    <w:p w14:paraId="3F269AC0" w14:textId="77777777" w:rsidR="008734B2" w:rsidRPr="008734B2" w:rsidRDefault="008734B2" w:rsidP="008734B2">
      <w:r w:rsidRPr="008734B2">
        <w:rPr>
          <w:b/>
          <w:bCs/>
        </w:rPr>
        <w:t>Integer Overflow and Underflow (SWC-101)</w:t>
      </w:r>
      <w:r w:rsidRPr="008734B2">
        <w:t xml:space="preserve"> was a major issue before Solidity 0.8.x, which introduced automatic overflow checks. Before that, if a uint256 exceeded its maximum value, it would wrap around to zero, and subtracting from zero would produce a huge number. The BeautyChain (BEC) token attack in 2018 exploited exactly this to mint trillions of tokens out of nothing. Today the compiler handles this by default, but contracts using unchecked blocks or older compiler versions remain vulnerable, so it is still worth keeping in mind.</w:t>
      </w:r>
    </w:p>
    <w:p w14:paraId="470B963C" w14:textId="77777777" w:rsidR="008734B2" w:rsidRPr="008734B2" w:rsidRDefault="008734B2" w:rsidP="008734B2">
      <w:r w:rsidRPr="008734B2">
        <w:rPr>
          <w:b/>
          <w:bCs/>
        </w:rPr>
        <w:t>Access Control Issues (SWC-105)</w:t>
      </w:r>
      <w:r w:rsidRPr="008734B2">
        <w:t xml:space="preserve"> sounds basic, but it appears in real exploits more often than it should. Functions meant only for admins end up public or missing the right modifiers. The Parity Multisig wallet bug in 2017 is a well-known example: the initWallet function in a library contract could be called by anyone, and someone accidentally claimed ownership of it, then called selfdestruct, permanently freezing around $150 million in ETH. A proper role-based access system using something like OpenZeppelin's AccessControl would have prevented that.</w:t>
      </w:r>
    </w:p>
    <w:p w14:paraId="228F5783" w14:textId="77777777" w:rsidR="008734B2" w:rsidRPr="008734B2" w:rsidRDefault="008734B2" w:rsidP="008734B2">
      <w:r w:rsidRPr="008734B2">
        <w:rPr>
          <w:b/>
          <w:bCs/>
        </w:rPr>
        <w:t>Price Oracle Manipulation (related to SWC-116)</w:t>
      </w:r>
      <w:r w:rsidRPr="008734B2">
        <w:t xml:space="preserve"> is a DeFi-specific problem that became very common with the rise of flash loans. If a protocol reads price from an on-chain source like a Uniswap spot price, an attacker can take a flash loan, manipulate that price within a single transaction, exploit the distorted price in the target protocol, and repay the loan, all in one atomic transaction. The Euler Finance exploit in March 2023, which resulted in a $197 million loss, involved manipulation of reserve accounting through a donateToReserves function combined with flash loan mechanics. Using time-weighted average prices (TWAP) or Chainlink oracle feeds significantly reduces this attack surface.</w:t>
      </w:r>
    </w:p>
    <w:p w14:paraId="4230A18F" w14:textId="77777777" w:rsidR="00417AD3" w:rsidRPr="008734B2" w:rsidRDefault="00417AD3">
      <w:pPr>
        <w:rPr>
          <w:lang w:val="en-US"/>
        </w:rPr>
      </w:pPr>
      <w:r w:rsidRPr="00417AD3">
        <w:t xml:space="preserve">• Discuss the economics of smart contract exploits (reference real incidents: DAO hack, Wormhole, Euler Finance) </w:t>
      </w:r>
    </w:p>
    <w:p w14:paraId="2D054AEC" w14:textId="77777777" w:rsidR="008734B2" w:rsidRDefault="008734B2" w:rsidP="008734B2">
      <w:r w:rsidRPr="008734B2">
        <w:rPr>
          <w:b/>
          <w:bCs/>
        </w:rPr>
        <w:t>Signature Verification Bypass</w:t>
      </w:r>
      <w:r w:rsidRPr="008734B2">
        <w:t xml:space="preserve"> is another category that has caused massive losses. The Wormhole bridge hack in February 2022, which drained $320 million, is probably the most striking example. The attacker found that Wormhole was using a deprecated Solana system instruction for verifying secp256k1 signatures, one that could be spoofed. This allowed minting 120,000 wETH without any actual collateral backing it. This falls under SWC-122 and highlights why cryptographic verification code needs to be treated with extreme care and kept up to date with platform changes.</w:t>
      </w:r>
    </w:p>
    <w:p w14:paraId="6CB983BA" w14:textId="77777777" w:rsidR="005B4C6B" w:rsidRDefault="005B4C6B" w:rsidP="008734B2"/>
    <w:p w14:paraId="17577FE4" w14:textId="77777777" w:rsidR="005B4C6B" w:rsidRDefault="005B4C6B" w:rsidP="008734B2"/>
    <w:p w14:paraId="1EF5EE96" w14:textId="77777777" w:rsidR="005B4C6B" w:rsidRDefault="005B4C6B" w:rsidP="008734B2"/>
    <w:p w14:paraId="2B2CD674" w14:textId="77777777" w:rsidR="00AD2D1B" w:rsidRDefault="00AD2D1B" w:rsidP="008734B2"/>
    <w:p w14:paraId="07988051" w14:textId="77777777" w:rsidR="005B4C6B" w:rsidRPr="005B4C6B" w:rsidRDefault="005B4C6B" w:rsidP="005B4C6B">
      <w:r w:rsidRPr="005B4C6B">
        <w:rPr>
          <w:b/>
          <w:bCs/>
        </w:rPr>
        <w:lastRenderedPageBreak/>
        <w:t>Euler Finance Exploit (March 2023, $197M)</w:t>
      </w:r>
    </w:p>
    <w:p w14:paraId="007F5675" w14:textId="77777777" w:rsidR="005B4C6B" w:rsidRPr="005B4C6B" w:rsidRDefault="005B4C6B" w:rsidP="005B4C6B">
      <w:r w:rsidRPr="005B4C6B">
        <w:t>Euler Finance was a major lending protocol on Ethereum with over $200M in TVL. Despite multiple audits, it was exploited for around $197M in assets like DAI, USDC, WBTC, and stETH.</w:t>
      </w:r>
    </w:p>
    <w:p w14:paraId="30246E5E" w14:textId="77777777" w:rsidR="005B4C6B" w:rsidRPr="005B4C6B" w:rsidRDefault="005B4C6B" w:rsidP="005B4C6B">
      <w:r w:rsidRPr="005B4C6B">
        <w:t>The vulnerability was in the donateToReserves function, which was introduced in a later update. It allowed users to donate eTokens to the protocol reserves, but unlike other functions, it did not perform a health check on the user’s position. Normally, any change to collateral or debt would trigger this check, but here it was missing.</w:t>
      </w:r>
    </w:p>
    <w:p w14:paraId="00AAD7E8" w14:textId="77777777" w:rsidR="005B4C6B" w:rsidRPr="005B4C6B" w:rsidRDefault="005B4C6B" w:rsidP="005B4C6B">
      <w:r w:rsidRPr="005B4C6B">
        <w:t>The attack combined several components. The attacker first took a flash loan from Aave, then used Euler’s mint function to create a leveraged position. After that, they donated part of their collateral using donateToReserves, which made their position undercollateralized without being detected. They then self-liquidated through another address at a discount and captured the profit. This process was repeated across multiple assets.</w:t>
      </w:r>
    </w:p>
    <w:p w14:paraId="35299066" w14:textId="77777777" w:rsidR="005B4C6B" w:rsidRPr="005B4C6B" w:rsidRDefault="005B4C6B" w:rsidP="005B4C6B">
      <w:r w:rsidRPr="005B4C6B">
        <w:t>What makes this case important is that the issue was not obvious in isolation. Each component seemed correct on its own, but the vulnerability appeared when they were combined. This is why automated tools like Slither or Mythril would likely miss it. It required understanding the full system and its economic logic.</w:t>
      </w:r>
    </w:p>
    <w:p w14:paraId="1695623A" w14:textId="77777777" w:rsidR="005B4C6B" w:rsidRPr="005B4C6B" w:rsidRDefault="005B4C6B" w:rsidP="005B4C6B">
      <w:r w:rsidRPr="005B4C6B">
        <w:t>Interestingly, the attacker returned most of the funds, about $177M, after on-chain negotiations. Euler later relaunched as v2 without the vulnerable functionality.</w:t>
      </w:r>
    </w:p>
    <w:p w14:paraId="2371FBE1" w14:textId="103C52AC" w:rsidR="005B4C6B" w:rsidRPr="008734B2" w:rsidRDefault="005B4C6B" w:rsidP="008734B2">
      <w:r w:rsidRPr="005B4C6B">
        <w:t>The key takeaway is that any function affecting balances or debt must enforce invariant checks without exceptions. Proper fuzz testing with rules like “no account should ever become undercollateralized” could have caught this issue before deployment.</w:t>
      </w:r>
    </w:p>
    <w:p w14:paraId="23376065" w14:textId="77777777" w:rsidR="008734B2" w:rsidRPr="005B4C6B" w:rsidRDefault="008734B2">
      <w:pPr>
        <w:rPr>
          <w:lang w:val="ru-RU"/>
        </w:rPr>
      </w:pPr>
    </w:p>
    <w:p w14:paraId="41425F48" w14:textId="77777777" w:rsidR="008734B2" w:rsidRPr="008734B2" w:rsidRDefault="008734B2">
      <w:pPr>
        <w:rPr>
          <w:lang w:val="en-US"/>
        </w:rPr>
      </w:pPr>
    </w:p>
    <w:p w14:paraId="0D733131" w14:textId="77777777" w:rsidR="00417AD3" w:rsidRDefault="00417AD3">
      <w:pPr>
        <w:rPr>
          <w:lang w:val="ru-RU"/>
        </w:rPr>
      </w:pPr>
      <w:r w:rsidRPr="00417AD3">
        <w:t>• Compare automated tools (Slither, Mythril, Echidna) vs manual auditing</w:t>
      </w:r>
    </w:p>
    <w:p w14:paraId="1A92302F" w14:textId="77777777" w:rsidR="008734B2" w:rsidRPr="008734B2" w:rsidRDefault="008734B2" w:rsidP="008734B2">
      <w:r w:rsidRPr="008734B2">
        <w:t xml:space="preserve">In practice these are not alternatives, they are different layers of the same defense strategy. </w:t>
      </w:r>
      <w:r w:rsidRPr="008734B2">
        <w:rPr>
          <w:b/>
          <w:bCs/>
        </w:rPr>
        <w:t>Slither</w:t>
      </w:r>
      <w:r w:rsidRPr="008734B2">
        <w:t xml:space="preserve">, developed by Trail of Bits, is a static analyzer written in Python. It runs fast and reliably catches known vulnerability patterns like reentrancy, misuse of tx.origin, timestamp dependence, and so on. It fits well into a CI/CD pipeline where you want immediate feedback on every pull request. </w:t>
      </w:r>
      <w:r w:rsidRPr="008734B2">
        <w:rPr>
          <w:b/>
          <w:bCs/>
        </w:rPr>
        <w:t>Mythril</w:t>
      </w:r>
      <w:r w:rsidRPr="008734B2">
        <w:t xml:space="preserve"> uses symbolic execution and SMT solvers to analyze EVM bytecode at a deeper level. It can find more subtle logical bugs that Slither would miss, but it is slower and tends to produce more false positives, so it is better suited for targeted analysis rather than every commit. </w:t>
      </w:r>
      <w:r w:rsidRPr="008734B2">
        <w:rPr>
          <w:b/>
          <w:bCs/>
        </w:rPr>
        <w:t>Echidna</w:t>
      </w:r>
      <w:r w:rsidRPr="008734B2">
        <w:t xml:space="preserve"> is a property-based fuzzer: you define invariants yourself, for example "total token supply must never exceed the maximum cap", and Echidna generates thousands of random call sequences trying to violate them. It is particularly good at finding edge cases that neither static analysis nor manual review would catch.</w:t>
      </w:r>
    </w:p>
    <w:p w14:paraId="754F3A03" w14:textId="77777777" w:rsidR="008734B2" w:rsidRPr="008734B2" w:rsidRDefault="008734B2" w:rsidP="008734B2">
      <w:r w:rsidRPr="008734B2">
        <w:t>The limitation of all these tools is that they are blind to business logic. They cannot understand that a particular function should not be callable in a specific sequence for economic reasons, or that an integration with an external protocol creates a systemic risk. That is exactly what manual auditing by firms like Trail of Bits, OpenZeppelin, or Spearbit is for. A skilled auditor models economic attack scenarios, reviews external integrations, and thinks about the protocol as a whole system rather than just individual functions.</w:t>
      </w:r>
    </w:p>
    <w:p w14:paraId="52F3801D" w14:textId="77777777" w:rsidR="008734B2" w:rsidRDefault="008734B2">
      <w:pPr>
        <w:rPr>
          <w:lang w:val="en-US"/>
        </w:rPr>
      </w:pPr>
    </w:p>
    <w:p w14:paraId="1C55A188" w14:textId="77777777" w:rsidR="00AD2D1B" w:rsidRPr="008734B2" w:rsidRDefault="00AD2D1B">
      <w:pPr>
        <w:rPr>
          <w:lang w:val="en-US"/>
        </w:rPr>
      </w:pPr>
    </w:p>
    <w:p w14:paraId="01CA92C7" w14:textId="1732EB9C" w:rsidR="00F90C7F" w:rsidRPr="00AD2D1B" w:rsidRDefault="00417AD3">
      <w:pPr>
        <w:rPr>
          <w:lang w:val="en-US"/>
        </w:rPr>
      </w:pPr>
      <w:r w:rsidRPr="00417AD3">
        <w:lastRenderedPageBreak/>
        <w:t>• Propose a security development lifecycle for a professional blockchain project</w:t>
      </w:r>
    </w:p>
    <w:p w14:paraId="1AC7F948" w14:textId="77777777" w:rsidR="008734B2" w:rsidRPr="008734B2" w:rsidRDefault="008734B2" w:rsidP="008734B2">
      <w:r w:rsidRPr="008734B2">
        <w:t>Based on what I have studied, a reasonable SDL for a professional blockchain project looks roughly like this.</w:t>
      </w:r>
    </w:p>
    <w:p w14:paraId="04B2F230" w14:textId="77777777" w:rsidR="008734B2" w:rsidRPr="008734B2" w:rsidRDefault="008734B2" w:rsidP="008734B2">
      <w:r w:rsidRPr="008734B2">
        <w:t xml:space="preserve">During the </w:t>
      </w:r>
      <w:r w:rsidRPr="008734B2">
        <w:rPr>
          <w:b/>
          <w:bCs/>
        </w:rPr>
        <w:t>design phase</w:t>
      </w:r>
      <w:r w:rsidRPr="008734B2">
        <w:t>, the team should build a threat model: identify potential attackers, possible attack vectors, and define the core system invariants that must never be violated, for example that the sum of all user balances always equals total supply. Security considerations should be part of architecture decisions from day one, not added later.</w:t>
      </w:r>
    </w:p>
    <w:p w14:paraId="6001C34C" w14:textId="77777777" w:rsidR="008734B2" w:rsidRPr="008734B2" w:rsidRDefault="008734B2" w:rsidP="008734B2">
      <w:r w:rsidRPr="008734B2">
        <w:t xml:space="preserve">During </w:t>
      </w:r>
      <w:r w:rsidRPr="008734B2">
        <w:rPr>
          <w:b/>
          <w:bCs/>
        </w:rPr>
        <w:t>development</w:t>
      </w:r>
      <w:r w:rsidRPr="008734B2">
        <w:t>, the rule should be to use battle-tested libraries like OpenZeppelin rather than reinventing standard components, avoid writing custom cryptographic code, follow the CEI pattern consistently, and add meaningful revert messages. Slither should run automatically on every pull request through CI so obvious issues are caught immediately.</w:t>
      </w:r>
    </w:p>
    <w:p w14:paraId="3EAE2CBA" w14:textId="77777777" w:rsidR="008734B2" w:rsidRPr="008734B2" w:rsidRDefault="008734B2" w:rsidP="008734B2">
      <w:r w:rsidRPr="008734B2">
        <w:rPr>
          <w:b/>
          <w:bCs/>
        </w:rPr>
        <w:t>Testing</w:t>
      </w:r>
      <w:r w:rsidRPr="008734B2">
        <w:t xml:space="preserve"> needs to go beyond basic unit tests. You want close to 100% coverage on critical functions, integration tests, and property-based fuzz tests using Echidna or Foundry's built-in fuzzer. Mainnet fork tests are also important for verifying that the protocol behaves correctly when interacting with real external contracts.</w:t>
      </w:r>
    </w:p>
    <w:p w14:paraId="3AF6A78C" w14:textId="77777777" w:rsidR="008734B2" w:rsidRPr="008734B2" w:rsidRDefault="008734B2" w:rsidP="008734B2">
      <w:r w:rsidRPr="008734B2">
        <w:t xml:space="preserve">Before </w:t>
      </w:r>
      <w:r w:rsidRPr="008734B2">
        <w:rPr>
          <w:b/>
          <w:bCs/>
        </w:rPr>
        <w:t>deployment</w:t>
      </w:r>
      <w:r w:rsidRPr="008734B2">
        <w:t>, any production protocol handling real funds should go through at least one external audit from a reputable team. For higher-stakes projects, two independent audits are much safer since different auditors often catch different things.</w:t>
      </w:r>
    </w:p>
    <w:p w14:paraId="238686BE" w14:textId="77777777" w:rsidR="008734B2" w:rsidRPr="008734B2" w:rsidRDefault="008734B2" w:rsidP="008734B2">
      <w:r w:rsidRPr="008734B2">
        <w:rPr>
          <w:b/>
          <w:bCs/>
        </w:rPr>
        <w:t>Post-deployment</w:t>
      </w:r>
      <w:r w:rsidRPr="008734B2">
        <w:t xml:space="preserve"> security means setting up a bug bounty program, Immunefi is the standard platform for this in DeFi, along with on-chain monitoring through tools like Forta or OpenZeppelin Defender. Implementing a Circuit Breaker pattern for emergency pausing and a timelock on admin functions gives the community time to react if a suspicious upgrade is proposed.</w:t>
      </w:r>
    </w:p>
    <w:p w14:paraId="7AEBFB8A" w14:textId="77777777" w:rsidR="008734B2" w:rsidRPr="008734B2" w:rsidRDefault="008734B2" w:rsidP="008734B2">
      <w:r w:rsidRPr="008734B2">
        <w:t>One thing worth emphasizing: an audit is not a security certificate. It is a snapshot of one specific version of the code. Any significant change after the audit requires re-auditing the affected components, and many projects have been exploited through changes made after an otherwise clean audit report.</w:t>
      </w:r>
    </w:p>
    <w:p w14:paraId="68B683C2" w14:textId="77777777" w:rsidR="008734B2" w:rsidRPr="008734B2" w:rsidRDefault="008734B2"/>
    <w:sectPr w:rsidR="008734B2" w:rsidRPr="008734B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C7F"/>
    <w:rsid w:val="00084928"/>
    <w:rsid w:val="00417AD3"/>
    <w:rsid w:val="005B4C6B"/>
    <w:rsid w:val="006C6796"/>
    <w:rsid w:val="0074130B"/>
    <w:rsid w:val="007C3BB7"/>
    <w:rsid w:val="008734B2"/>
    <w:rsid w:val="00AD2D1B"/>
    <w:rsid w:val="00F204B4"/>
    <w:rsid w:val="00F90C7F"/>
  </w:rsids>
  <m:mathPr>
    <m:mathFont m:val="Cambria Math"/>
    <m:brkBin m:val="before"/>
    <m:brkBinSub m:val="--"/>
    <m:smallFrac m:val="0"/>
    <m:dispDef/>
    <m:lMargin m:val="0"/>
    <m:rMargin m:val="0"/>
    <m:defJc m:val="centerGroup"/>
    <m:wrapIndent m:val="1440"/>
    <m:intLim m:val="subSup"/>
    <m:naryLim m:val="undOvr"/>
  </m:mathPr>
  <w:themeFontLang w:val="ru-K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C152"/>
  <w15:chartTrackingRefBased/>
  <w15:docId w15:val="{77FE3290-F692-4B06-A5E7-DDD775A6F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90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90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90C7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90C7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90C7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90C7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90C7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90C7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90C7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90C7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90C7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90C7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90C7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90C7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90C7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90C7F"/>
    <w:rPr>
      <w:rFonts w:eastAsiaTheme="majorEastAsia" w:cstheme="majorBidi"/>
      <w:color w:val="595959" w:themeColor="text1" w:themeTint="A6"/>
    </w:rPr>
  </w:style>
  <w:style w:type="character" w:customStyle="1" w:styleId="80">
    <w:name w:val="Заголовок 8 Знак"/>
    <w:basedOn w:val="a0"/>
    <w:link w:val="8"/>
    <w:uiPriority w:val="9"/>
    <w:semiHidden/>
    <w:rsid w:val="00F90C7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90C7F"/>
    <w:rPr>
      <w:rFonts w:eastAsiaTheme="majorEastAsia" w:cstheme="majorBidi"/>
      <w:color w:val="272727" w:themeColor="text1" w:themeTint="D8"/>
    </w:rPr>
  </w:style>
  <w:style w:type="paragraph" w:styleId="a3">
    <w:name w:val="Title"/>
    <w:basedOn w:val="a"/>
    <w:next w:val="a"/>
    <w:link w:val="a4"/>
    <w:uiPriority w:val="10"/>
    <w:qFormat/>
    <w:rsid w:val="00F90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90C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0C7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90C7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90C7F"/>
    <w:pPr>
      <w:spacing w:before="160"/>
      <w:jc w:val="center"/>
    </w:pPr>
    <w:rPr>
      <w:i/>
      <w:iCs/>
      <w:color w:val="404040" w:themeColor="text1" w:themeTint="BF"/>
    </w:rPr>
  </w:style>
  <w:style w:type="character" w:customStyle="1" w:styleId="22">
    <w:name w:val="Цитата 2 Знак"/>
    <w:basedOn w:val="a0"/>
    <w:link w:val="21"/>
    <w:uiPriority w:val="29"/>
    <w:rsid w:val="00F90C7F"/>
    <w:rPr>
      <w:i/>
      <w:iCs/>
      <w:color w:val="404040" w:themeColor="text1" w:themeTint="BF"/>
    </w:rPr>
  </w:style>
  <w:style w:type="paragraph" w:styleId="a7">
    <w:name w:val="List Paragraph"/>
    <w:basedOn w:val="a"/>
    <w:uiPriority w:val="34"/>
    <w:qFormat/>
    <w:rsid w:val="00F90C7F"/>
    <w:pPr>
      <w:ind w:left="720"/>
      <w:contextualSpacing/>
    </w:pPr>
  </w:style>
  <w:style w:type="character" w:styleId="a8">
    <w:name w:val="Intense Emphasis"/>
    <w:basedOn w:val="a0"/>
    <w:uiPriority w:val="21"/>
    <w:qFormat/>
    <w:rsid w:val="00F90C7F"/>
    <w:rPr>
      <w:i/>
      <w:iCs/>
      <w:color w:val="0F4761" w:themeColor="accent1" w:themeShade="BF"/>
    </w:rPr>
  </w:style>
  <w:style w:type="paragraph" w:styleId="a9">
    <w:name w:val="Intense Quote"/>
    <w:basedOn w:val="a"/>
    <w:next w:val="a"/>
    <w:link w:val="aa"/>
    <w:uiPriority w:val="30"/>
    <w:qFormat/>
    <w:rsid w:val="00F90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90C7F"/>
    <w:rPr>
      <w:i/>
      <w:iCs/>
      <w:color w:val="0F4761" w:themeColor="accent1" w:themeShade="BF"/>
    </w:rPr>
  </w:style>
  <w:style w:type="character" w:styleId="ab">
    <w:name w:val="Intense Reference"/>
    <w:basedOn w:val="a0"/>
    <w:uiPriority w:val="32"/>
    <w:qFormat/>
    <w:rsid w:val="00F90C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2033</Words>
  <Characters>11287</Characters>
  <Application>Microsoft Office Word</Application>
  <DocSecurity>0</DocSecurity>
  <Lines>173</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Iskander Kustayev</dc:creator>
  <cp:keywords/>
  <dc:description/>
  <cp:lastModifiedBy>Iskander Kustayev</cp:lastModifiedBy>
  <cp:revision>2</cp:revision>
  <dcterms:created xsi:type="dcterms:W3CDTF">2026-03-29T14:33:00Z</dcterms:created>
  <dcterms:modified xsi:type="dcterms:W3CDTF">2026-03-29T15:09:00Z</dcterms:modified>
</cp:coreProperties>
</file>