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40" w:before="0"/>
        <w:jc w:val="center"/>
      </w:pPr>
      <w:r>
        <w:rPr>
          <w:rFonts w:ascii="Arial" w:cs="Arial" w:eastAsia="Arial" w:hAnsi="Arial"/>
          <w:b/>
          <w:bCs/>
          <w:color w:val="1B3A5C"/>
          <w:sz w:val="96"/>
          <w:szCs w:val="96"/>
        </w:rPr>
        <w:t xml:space="preserve">FOS</w:t>
      </w:r>
    </w:p>
    <w:p>
      <w:pPr>
        <w:spacing w:after="60" w:before="0"/>
        <w:jc w:val="center"/>
      </w:pPr>
      <w:r>
        <w:rPr>
          <w:rFonts w:ascii="Arial" w:cs="Arial" w:eastAsia="Arial" w:hAnsi="Arial"/>
          <w:b/>
          <w:bCs/>
          <w:color w:val="2E6DA4"/>
          <w:sz w:val="36"/>
          <w:szCs w:val="36"/>
        </w:rPr>
        <w:t xml:space="preserve">Multi-Company Accounting System</w:t>
      </w:r>
    </w:p>
    <w:p>
      <w:pPr>
        <w:spacing w:after="60" w:before="0"/>
        <w:jc w:val="center"/>
      </w:pPr>
      <w:r>
        <w:rPr>
          <w:rFonts w:ascii="Arial" w:cs="Arial" w:eastAsia="Arial" w:hAnsi="Arial"/>
          <w:color w:val="888888"/>
          <w:sz w:val="24"/>
          <w:szCs w:val="24"/>
        </w:rPr>
        <w:t xml:space="preserve">Full Technical Specification</w:t>
      </w:r>
    </w:p>
    <w:p>
      <w:pPr>
        <w:spacing w:after="400" w:before="0"/>
        <w:jc w:val="center"/>
      </w:pPr>
      <w:r>
        <w:rPr>
          <w:rFonts w:ascii="Arial" w:cs="Arial" w:eastAsia="Arial" w:hAnsi="Arial"/>
          <w:color w:val="888888"/>
          <w:sz w:val="20"/>
          <w:szCs w:val="20"/>
        </w:rPr>
        <w:t xml:space="preserve">Version 1.1   |   June 2026</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2E6DA4" w:sz="12"/>
              <w:left w:val="none"/>
              <w:bottom w:val="single" w:color="2E6DA4" w:sz="12"/>
              <w:right w:val="none"/>
            </w:tcBorders>
            <w:shd w:fill="EEF5FB" w:val="clear"/>
            <w:tcMar>
              <w:top w:type="dxa" w:w="200"/>
              <w:left w:type="dxa" w:w="300"/>
              <w:bottom w:type="dxa" w:w="200"/>
              <w:right w:type="dxa" w:w="300"/>
            </w:tcMar>
          </w:tcPr>
          <w:p>
            <w:pPr>
              <w:jc w:val="center"/>
            </w:pPr>
            <w:r>
              <w:rPr>
                <w:rFonts w:ascii="Arial" w:cs="Arial" w:eastAsia="Arial" w:hAnsi="Arial"/>
                <w:b/>
                <w:bCs/>
                <w:color w:val="B22222"/>
                <w:sz w:val="18"/>
                <w:szCs w:val="18"/>
              </w:rPr>
              <w:t xml:space="preserve">CONFIDENTIAL — INTERNAL USE ONLY</w:t>
            </w:r>
          </w:p>
          <w:p>
            <w:pPr>
              <w:spacing w:before="80"/>
              <w:jc w:val="center"/>
            </w:pPr>
            <w:r>
              <w:rPr>
                <w:rFonts w:ascii="Arial" w:cs="Arial" w:eastAsia="Arial" w:hAnsi="Arial"/>
                <w:color w:val="888888"/>
                <w:sz w:val="16"/>
                <w:szCs w:val="16"/>
              </w:rPr>
              <w:t xml:space="preserve">Not for distribution without authorisation from the document owner.</w:t>
            </w:r>
          </w:p>
        </w:tc>
      </w:tr>
    </w:tbl>
    <w:p>
      <w:pPr>
        <w:spacing w:after="0" w:before="40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EEF5FB" w:val="clear"/>
            <w:tcMar>
              <w:top w:type="dxa" w:w="80"/>
              <w:left w:type="dxa" w:w="120"/>
              <w:bottom w:type="dxa" w:w="80"/>
              <w:right w:type="dxa" w:w="120"/>
            </w:tcMar>
          </w:tcPr>
          <w:p>
            <w:r>
              <w:rPr>
                <w:rFonts w:ascii="Arial" w:cs="Arial" w:eastAsia="Arial" w:hAnsi="Arial"/>
                <w:b/>
                <w:bCs/>
                <w:color w:val="1B3A5C"/>
                <w:sz w:val="18"/>
                <w:szCs w:val="18"/>
              </w:rPr>
              <w:t xml:space="preserve">Document Owner</w:t>
            </w:r>
          </w:p>
        </w:tc>
        <w:tc>
          <w:tcPr>
            <w:tcW w:type="dxa" w:w="481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Ilyas Kadri — Network Logic Limited</w:t>
            </w:r>
          </w:p>
        </w:tc>
      </w:tr>
      <w:tr>
        <w:tc>
          <w:tcPr>
            <w:tcW w:type="dxa" w:w="4819"/>
            <w:tcBorders>
              <w:top w:val="none" w:color="FFFFFF" w:sz="0"/>
              <w:left w:val="none" w:color="FFFFFF" w:sz="0"/>
              <w:bottom w:val="none" w:color="FFFFFF" w:sz="0"/>
              <w:right w:val="none" w:color="FFFFFF" w:sz="0"/>
            </w:tcBorders>
            <w:shd w:fill="EEF5FB" w:val="clear"/>
            <w:tcMar>
              <w:top w:type="dxa" w:w="80"/>
              <w:left w:type="dxa" w:w="120"/>
              <w:bottom w:type="dxa" w:w="80"/>
              <w:right w:type="dxa" w:w="120"/>
            </w:tcMar>
          </w:tcPr>
          <w:p>
            <w:r>
              <w:rPr>
                <w:rFonts w:ascii="Arial" w:cs="Arial" w:eastAsia="Arial" w:hAnsi="Arial"/>
                <w:b/>
                <w:bCs/>
                <w:color w:val="1B3A5C"/>
                <w:sz w:val="18"/>
                <w:szCs w:val="18"/>
              </w:rPr>
              <w:t xml:space="preserve">Version</w:t>
            </w:r>
          </w:p>
        </w:tc>
        <w:tc>
          <w:tcPr>
            <w:tcW w:type="dxa" w:w="481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1.1 (Second issue — Company Profile, CoA, AI Allocation, Approval Workflow added)</w:t>
            </w:r>
          </w:p>
        </w:tc>
      </w:tr>
      <w:tr>
        <w:tc>
          <w:tcPr>
            <w:tcW w:type="dxa" w:w="4819"/>
            <w:tcBorders>
              <w:top w:val="none" w:color="FFFFFF" w:sz="0"/>
              <w:left w:val="none" w:color="FFFFFF" w:sz="0"/>
              <w:bottom w:val="none" w:color="FFFFFF" w:sz="0"/>
              <w:right w:val="none" w:color="FFFFFF" w:sz="0"/>
            </w:tcBorders>
            <w:shd w:fill="EEF5FB" w:val="clear"/>
            <w:tcMar>
              <w:top w:type="dxa" w:w="80"/>
              <w:left w:type="dxa" w:w="120"/>
              <w:bottom w:type="dxa" w:w="80"/>
              <w:right w:type="dxa" w:w="120"/>
            </w:tcMar>
          </w:tcPr>
          <w:p>
            <w:r>
              <w:rPr>
                <w:rFonts w:ascii="Arial" w:cs="Arial" w:eastAsia="Arial" w:hAnsi="Arial"/>
                <w:b/>
                <w:bCs/>
                <w:color w:val="1B3A5C"/>
                <w:sz w:val="18"/>
                <w:szCs w:val="18"/>
              </w:rPr>
              <w:t xml:space="preserve">Date</w:t>
            </w:r>
          </w:p>
        </w:tc>
        <w:tc>
          <w:tcPr>
            <w:tcW w:type="dxa" w:w="481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June 2026</w:t>
            </w:r>
          </w:p>
        </w:tc>
      </w:tr>
      <w:tr>
        <w:tc>
          <w:tcPr>
            <w:tcW w:type="dxa" w:w="4819"/>
            <w:tcBorders>
              <w:top w:val="none" w:color="FFFFFF" w:sz="0"/>
              <w:left w:val="none" w:color="FFFFFF" w:sz="0"/>
              <w:bottom w:val="none" w:color="FFFFFF" w:sz="0"/>
              <w:right w:val="none" w:color="FFFFFF" w:sz="0"/>
            </w:tcBorders>
            <w:shd w:fill="EEF5FB" w:val="clear"/>
            <w:tcMar>
              <w:top w:type="dxa" w:w="80"/>
              <w:left w:type="dxa" w:w="120"/>
              <w:bottom w:type="dxa" w:w="80"/>
              <w:right w:type="dxa" w:w="120"/>
            </w:tcMar>
          </w:tcPr>
          <w:p>
            <w:r>
              <w:rPr>
                <w:rFonts w:ascii="Arial" w:cs="Arial" w:eastAsia="Arial" w:hAnsi="Arial"/>
                <w:b/>
                <w:bCs/>
                <w:color w:val="1B3A5C"/>
                <w:sz w:val="18"/>
                <w:szCs w:val="18"/>
              </w:rPr>
              <w:t xml:space="preserve">Status</w:t>
            </w:r>
          </w:p>
        </w:tc>
        <w:tc>
          <w:tcPr>
            <w:tcW w:type="dxa" w:w="481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DRAFT — for review</w:t>
            </w:r>
          </w:p>
        </w:tc>
      </w:tr>
      <w:tr>
        <w:tc>
          <w:tcPr>
            <w:tcW w:type="dxa" w:w="4819"/>
            <w:tcBorders>
              <w:top w:val="none" w:color="FFFFFF" w:sz="0"/>
              <w:left w:val="none" w:color="FFFFFF" w:sz="0"/>
              <w:bottom w:val="none" w:color="FFFFFF" w:sz="0"/>
              <w:right w:val="none" w:color="FFFFFF" w:sz="0"/>
            </w:tcBorders>
            <w:shd w:fill="EEF5FB" w:val="clear"/>
            <w:tcMar>
              <w:top w:type="dxa" w:w="80"/>
              <w:left w:type="dxa" w:w="120"/>
              <w:bottom w:type="dxa" w:w="80"/>
              <w:right w:type="dxa" w:w="120"/>
            </w:tcMar>
          </w:tcPr>
          <w:p>
            <w:r>
              <w:rPr>
                <w:rFonts w:ascii="Arial" w:cs="Arial" w:eastAsia="Arial" w:hAnsi="Arial"/>
                <w:b/>
                <w:bCs/>
                <w:color w:val="1B3A5C"/>
                <w:sz w:val="18"/>
                <w:szCs w:val="18"/>
              </w:rPr>
              <w:t xml:space="preserve">Classification</w:t>
            </w:r>
          </w:p>
        </w:tc>
        <w:tc>
          <w:tcPr>
            <w:tcW w:type="dxa" w:w="481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Confidential</w:t>
            </w:r>
          </w:p>
        </w:tc>
      </w:tr>
      <w:tr>
        <w:tc>
          <w:tcPr>
            <w:tcW w:type="dxa" w:w="4819"/>
            <w:tcBorders>
              <w:top w:val="none" w:color="FFFFFF" w:sz="0"/>
              <w:left w:val="none" w:color="FFFFFF" w:sz="0"/>
              <w:bottom w:val="none" w:color="FFFFFF" w:sz="0"/>
              <w:right w:val="none" w:color="FFFFFF" w:sz="0"/>
            </w:tcBorders>
            <w:shd w:fill="EEF5FB" w:val="clear"/>
            <w:tcMar>
              <w:top w:type="dxa" w:w="80"/>
              <w:left w:type="dxa" w:w="120"/>
              <w:bottom w:type="dxa" w:w="80"/>
              <w:right w:type="dxa" w:w="120"/>
            </w:tcMar>
          </w:tcPr>
          <w:p>
            <w:r>
              <w:rPr>
                <w:rFonts w:ascii="Arial" w:cs="Arial" w:eastAsia="Arial" w:hAnsi="Arial"/>
                <w:b/>
                <w:bCs/>
                <w:color w:val="1B3A5C"/>
                <w:sz w:val="18"/>
                <w:szCs w:val="18"/>
              </w:rPr>
              <w:t xml:space="preserve">Replaces</w:t>
            </w:r>
          </w:p>
        </w:tc>
        <w:tc>
          <w:tcPr>
            <w:tcW w:type="dxa" w:w="481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FOS System Specification v1.0</w:t>
            </w:r>
          </w:p>
        </w:tc>
      </w:tr>
    </w:tbl>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1</w:t>
            </w:r>
          </w:p>
        </w:tc>
        <w:tc>
          <w:tcPr>
            <w:tcW w:type="dxa" w:w="8838"/>
            <w:tcBorders>
              <w:top w:val="none"/>
              <w:left w:val="none"/>
              <w:bottom w:val="none"/>
              <w:right w:val="none"/>
            </w:tcBorders>
            <w:shd w:fill="EEF5FB" w:val="clear"/>
            <w:tcMar>
              <w:top w:type="dxa" w:w="100"/>
              <w:left w:type="dxa" w:w="200"/>
              <w:bottom w:type="dxa" w:w="100"/>
              <w:right w:type="dxa" w:w="120"/>
            </w:tcMar>
          </w:tcPr>
          <w:p>
            <w:r>
              <w:rPr>
                <w:rFonts w:ascii="Arial" w:cs="Arial" w:eastAsia="Arial" w:hAnsi="Arial"/>
                <w:b/>
                <w:bCs/>
                <w:color w:val="1B3A5C"/>
                <w:sz w:val="26"/>
                <w:szCs w:val="26"/>
              </w:rPr>
              <w:t xml:space="preserve">Scope</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1.1 Purpose</w:t>
      </w:r>
    </w:p>
    <w:p>
      <w:pPr>
        <w:spacing w:after="80" w:before="60"/>
      </w:pPr>
      <w:r>
        <w:rPr>
          <w:rFonts w:ascii="Arial" w:cs="Arial" w:eastAsia="Arial" w:hAnsi="Arial"/>
          <w:color w:val="444444"/>
          <w:sz w:val="20"/>
          <w:szCs w:val="20"/>
        </w:rPr>
        <w:t xml:space="preserve">FOS is a locally-installed Windows desktop application (.exe) that consolidates financial data from multiple business entities into a single accounting engine. Its core capabilities are: company profile management, a structured Chart of Accounts (CoA), AI-assisted transaction allocation, a staged owner-approval workflow, and HMRC-ready year-end outputs.</w:t>
      </w:r>
    </w:p>
    <w:p>
      <w:pPr>
        <w:spacing w:after="80" w:before="60"/>
      </w:pPr>
      <w:r>
        <w:rPr>
          <w:rFonts w:ascii="Arial" w:cs="Arial" w:eastAsia="Arial" w:hAnsi="Arial"/>
          <w:color w:val="444444"/>
          <w:sz w:val="20"/>
          <w:szCs w:val="20"/>
        </w:rPr>
        <w:t xml:space="preserve">It is not a cloud SaaS product, a payroll platform, or a regulated filing agent.</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1.2 Version 1.1 — New Capabilities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1400"/>
      </w:tblGrid>
      <w:tr>
        <w:trPr>
          <w:tblHeader/>
        </w:trPr>
        <w:tc>
          <w:tcPr>
            <w:tcW w:type="dxa" w:w="2000"/>
            <w:tcBorders>
              <w:top w:val="single" w:color="BBCFE0" w:sz="1"/>
              <w:left w:val="single" w:color="BBCFE0" w:sz="1"/>
              <w:bottom w:val="single" w:color="BBCFE0" w:sz="1"/>
              <w:right w:val="single" w:color="BBCFE0"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4500"/>
            <w:tcBorders>
              <w:top w:val="single" w:color="BBCFE0" w:sz="1"/>
              <w:left w:val="single" w:color="BBCFE0" w:sz="1"/>
              <w:bottom w:val="single" w:color="BBCFE0" w:sz="1"/>
              <w:right w:val="single" w:color="BBCFE0"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400"/>
            <w:tcBorders>
              <w:top w:val="single" w:color="BBCFE0" w:sz="1"/>
              <w:left w:val="single" w:color="BBCFE0" w:sz="1"/>
              <w:bottom w:val="single" w:color="BBCFE0" w:sz="1"/>
              <w:right w:val="single" w:color="BBCFE0"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Sections</w:t>
            </w:r>
          </w:p>
        </w:tc>
      </w:tr>
      <w:tr>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Company Profile</w:t>
            </w:r>
          </w:p>
        </w:tc>
        <w:tc>
          <w:tcPr>
            <w:tcW w:type="dxa" w:w="4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Full entity profile including addresses, bank accounts, VAT registration and scheme</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Section 2</w:t>
            </w:r>
          </w:p>
        </w:tc>
      </w:tr>
      <w:tr>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Chart of Accounts</w:t>
            </w:r>
          </w:p>
        </w:tc>
        <w:tc>
          <w:tcPr>
            <w:tcW w:type="dxa" w:w="4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Pre-built UK standard CoA with import/customisation option</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Section 3</w:t>
            </w:r>
          </w:p>
        </w:tc>
      </w:tr>
      <w:tr>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AI Transaction Allocation</w:t>
            </w:r>
          </w:p>
        </w:tc>
        <w:tc>
          <w:tcPr>
            <w:tcW w:type="dxa" w:w="4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AI engine maps transactions to CoA codes with confidence scoring</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Section 4</w:t>
            </w:r>
          </w:p>
        </w:tc>
      </w:tr>
      <w:tr>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Staged Approval Workflow</w:t>
            </w:r>
          </w:p>
        </w:tc>
        <w:tc>
          <w:tcPr>
            <w:tcW w:type="dxa" w:w="4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Owner sign-off at four checkpoints before accounts are locked</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Section 5</w:t>
            </w:r>
          </w:p>
        </w:tc>
      </w:tr>
      <w:tr>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GL / TB / Final Accounts</w:t>
            </w:r>
          </w:p>
        </w:tc>
        <w:tc>
          <w:tcPr>
            <w:tcW w:type="dxa" w:w="4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General Ledger, Trial Balance, P&amp;L, Balance Sheet with lock controls</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Section 6</w:t>
            </w:r>
          </w:p>
        </w:tc>
      </w:tr>
    </w:tbl>
    <w:p>
      <w:pPr>
        <w:spacing w:after="0" w:before="100"/>
      </w:pPr>
      <w:r>
        <w:t xml:space="preserve"/>
      </w:r>
    </w:p>
    <w:p>
      <w:pPr>
        <w:pStyle w:val="Heading2"/>
        <w:spacing w:after="80" w:before="280"/>
      </w:pPr>
      <w:r>
        <w:rPr>
          <w:rFonts w:ascii="Arial" w:cs="Arial" w:eastAsia="Arial" w:hAnsi="Arial"/>
          <w:b/>
          <w:bCs/>
          <w:color w:val="2E6DA4"/>
          <w:sz w:val="24"/>
          <w:szCs w:val="24"/>
        </w:rPr>
        <w:t xml:space="preserve">1.3 Out of Scope</w:t>
      </w:r>
    </w:p>
    <w:p>
      <w:pPr>
        <w:pStyle w:val="ListParagraph"/>
        <w:numPr>
          <w:ilvl w:val="0"/>
          <w:numId w:val="2"/>
        </w:numPr>
        <w:spacing w:after="40" w:before="40"/>
      </w:pPr>
      <w:r>
        <w:rPr>
          <w:rFonts w:ascii="Arial" w:cs="Arial" w:eastAsia="Arial" w:hAnsi="Arial"/>
          <w:color w:val="444444"/>
          <w:sz w:val="20"/>
          <w:szCs w:val="20"/>
        </w:rPr>
        <w:t xml:space="preserve">Payroll processing or RTI submissions</w:t>
      </w:r>
    </w:p>
    <w:p>
      <w:pPr>
        <w:pStyle w:val="ListParagraph"/>
        <w:numPr>
          <w:ilvl w:val="0"/>
          <w:numId w:val="2"/>
        </w:numPr>
        <w:spacing w:after="40" w:before="40"/>
      </w:pPr>
      <w:r>
        <w:rPr>
          <w:rFonts w:ascii="Arial" w:cs="Arial" w:eastAsia="Arial" w:hAnsi="Arial"/>
          <w:color w:val="444444"/>
          <w:sz w:val="20"/>
          <w:szCs w:val="20"/>
        </w:rPr>
        <w:t xml:space="preserve">Direct HMRC MTD API filing (outputs are filing-ready; submission is manual)</w:t>
      </w:r>
    </w:p>
    <w:p>
      <w:pPr>
        <w:pStyle w:val="ListParagraph"/>
        <w:numPr>
          <w:ilvl w:val="0"/>
          <w:numId w:val="2"/>
        </w:numPr>
        <w:spacing w:after="40" w:before="40"/>
      </w:pPr>
      <w:r>
        <w:rPr>
          <w:rFonts w:ascii="Arial" w:cs="Arial" w:eastAsia="Arial" w:hAnsi="Arial"/>
          <w:color w:val="444444"/>
          <w:sz w:val="20"/>
          <w:szCs w:val="20"/>
        </w:rPr>
        <w:t xml:space="preserve">Multi-user concurrent access or cloud sync</w:t>
      </w:r>
    </w:p>
    <w:p>
      <w:pPr>
        <w:pStyle w:val="ListParagraph"/>
        <w:numPr>
          <w:ilvl w:val="0"/>
          <w:numId w:val="2"/>
        </w:numPr>
        <w:spacing w:after="40" w:before="40"/>
      </w:pPr>
      <w:r>
        <w:rPr>
          <w:rFonts w:ascii="Arial" w:cs="Arial" w:eastAsia="Arial" w:hAnsi="Arial"/>
          <w:color w:val="444444"/>
          <w:sz w:val="20"/>
          <w:szCs w:val="20"/>
        </w:rPr>
        <w:t xml:space="preserve">Accounts Receivable / invoicing workflow</w:t>
      </w:r>
    </w:p>
    <w:p>
      <w:pPr>
        <w:pStyle w:val="ListParagraph"/>
        <w:numPr>
          <w:ilvl w:val="0"/>
          <w:numId w:val="2"/>
        </w:numPr>
        <w:spacing w:after="40" w:before="40"/>
      </w:pPr>
      <w:r>
        <w:rPr>
          <w:rFonts w:ascii="Arial" w:cs="Arial" w:eastAsia="Arial" w:hAnsi="Arial"/>
          <w:color w:val="444444"/>
          <w:sz w:val="20"/>
          <w:szCs w:val="20"/>
        </w:rPr>
        <w:t xml:space="preserve">Multi-currency (GBP only in v1.1)</w:t>
      </w:r>
    </w:p>
    <w:p>
      <w:pPr>
        <w:pStyle w:val="ListParagraph"/>
        <w:numPr>
          <w:ilvl w:val="0"/>
          <w:numId w:val="2"/>
        </w:numPr>
        <w:spacing w:after="40" w:before="40"/>
      </w:pPr>
      <w:r>
        <w:rPr>
          <w:rFonts w:ascii="Arial" w:cs="Arial" w:eastAsia="Arial" w:hAnsi="Arial"/>
          <w:color w:val="444444"/>
          <w:sz w:val="20"/>
          <w:szCs w:val="20"/>
        </w:rPr>
        <w:t xml:space="preserve">Statutory audit trail or Companies House filing</w:t>
      </w:r>
    </w:p>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2</w:t>
            </w:r>
          </w:p>
        </w:tc>
        <w:tc>
          <w:tcPr>
            <w:tcW w:type="dxa" w:w="8838"/>
            <w:tcBorders>
              <w:top w:val="none"/>
              <w:left w:val="none"/>
              <w:bottom w:val="none"/>
              <w:right w:val="none"/>
            </w:tcBorders>
            <w:shd w:fill="EEF5FB" w:val="clear"/>
            <w:tcMar>
              <w:top w:type="dxa" w:w="100"/>
              <w:left w:type="dxa" w:w="200"/>
              <w:bottom w:type="dxa" w:w="100"/>
              <w:right w:type="dxa" w:w="120"/>
            </w:tcMar>
          </w:tcPr>
          <w:p>
            <w:r>
              <w:rPr>
                <w:rFonts w:ascii="Arial" w:cs="Arial" w:eastAsia="Arial" w:hAnsi="Arial"/>
                <w:b/>
                <w:bCs/>
                <w:color w:val="1B3A5C"/>
                <w:sz w:val="26"/>
                <w:szCs w:val="26"/>
              </w:rPr>
              <w:t xml:space="preserve">Company Profile</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2.1 Purpose of the Company Profile</w:t>
      </w:r>
    </w:p>
    <w:p>
      <w:pPr>
        <w:spacing w:after="80" w:before="60"/>
      </w:pPr>
      <w:r>
        <w:rPr>
          <w:rFonts w:ascii="Arial" w:cs="Arial" w:eastAsia="Arial" w:hAnsi="Arial"/>
          <w:color w:val="444444"/>
          <w:sz w:val="20"/>
          <w:szCs w:val="20"/>
        </w:rPr>
        <w:t xml:space="preserve">The Company Profile is the master reference record for each business entity in FOS. It drives report headers, bank reconciliation matching, VAT calculation method, and approval routing. Every transaction, journal, and report is linked to a Company Profile record.</w:t>
      </w:r>
    </w:p>
    <w:p>
      <w:pPr>
        <w:spacing w:after="80" w:before="60"/>
      </w:pPr>
      <w:r>
        <w:rPr>
          <w:rFonts w:ascii="Arial" w:cs="Arial" w:eastAsia="Arial" w:hAnsi="Arial"/>
          <w:color w:val="444444"/>
          <w:sz w:val="20"/>
          <w:szCs w:val="20"/>
        </w:rPr>
        <w:t xml:space="preserve">A single FOS installation can hold between 1 and 10 Company Profiles under common ownership. Each profile is independent but visible in the consolidated dashboard.</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2.2 Company Profile — Field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100"/>
        <w:gridCol w:w="4538"/>
      </w:tblGrid>
      <w:tr>
        <w:trPr>
          <w:tblHeader/>
        </w:trPr>
        <w:tc>
          <w:tcPr>
            <w:tcW w:type="dxa" w:w="22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5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Entity ID</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System-generated UUID</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Auto</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Internal primary key — never exposed to user</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Legal Name</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Text (100)</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Registered company name as per Companies House</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Trading Name</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Text (100)</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Optional</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If different from legal name — used on report headers</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Company Number</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Text (8)</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 (Ltd)</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Companies House registration number</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Entity Type</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Enum</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Yes</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Limited Company / Sole Trader / Partnership / LLP</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Financial Year Start</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Date</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First day of accounting period</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Financial Year End</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Date</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Yes</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Last day of accounting period — drives year-end lock</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Registered Address Line 1</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Text</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As registered with Companies House</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Registered Address Line 2</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Text</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Optional</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Registered Town / City</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Text</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Registered County</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Text</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Optional</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Registered Postcode</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Text</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Trading Address (if different)</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Text block</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Optional</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Shown on reports if different from registered</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 Registered</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Boolean</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Drives whether VAT engine is active for this entity</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 Registration Number</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Text (9)</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If VAT=Yes</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GB + 9 digits as issued by HMRC</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 Scheme</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Enum</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If VAT=Yes</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Standard Accrual / Cash Accounting / Flat Rate</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Flat Rate Percentage</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Decimal</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If Flat Rate</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HMRC-issued flat rate % for the entity's trade sector</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 Quarter Start Month</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Enum (1–12)</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If VAT=Yes</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Drives VAT period calculation</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Corporation Tax UTR</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Text (10)</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Optional</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10-digit Unique Taxpayer Reference — for report cover sheet only, not transmitted</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Primary Bank Account Name</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Text</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Optional</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For reconciliation matching label</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Bank Sort Code</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Text (6)</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Optional</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Used to match CSV imports to the correct entity</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Primary Bank Account Number</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Text (8)</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Optional</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Used to match CSV imports to the correct entity</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Additional Bank Accounts</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Repeating group</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Optional</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Each: account name, sort code, account number, currency (GBP)</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Approval Authority Name</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Text</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Name of the owner / director who signs off accounts</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Approval Authority Role</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Text</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Yes</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e.g. Director, Sole Trader, Managing Partner</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Approval Authority Email</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Email</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Optional</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For PDF sign-off record — not transmitted externally</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Logo File Path</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File path</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Optional</w:t>
            </w:r>
          </w:p>
        </w:tc>
        <w:tc>
          <w:tcPr>
            <w:tcW w:type="dxa" w:w="4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PNG/JPG — embedded in PDF report headers</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Status</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Enum</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Auto</w:t>
            </w:r>
          </w:p>
        </w:tc>
        <w:tc>
          <w:tcPr>
            <w:tcW w:type="dxa" w:w="4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Active / Dormant / Dissolved — Dormant/Dissolved entities are read-only</w:t>
            </w:r>
          </w:p>
        </w:tc>
      </w:tr>
    </w:tbl>
    <w:p>
      <w:pPr>
        <w:spacing w:after="0" w:before="100"/>
      </w:pPr>
      <w:r>
        <w:t xml:space="preserve"/>
      </w:r>
    </w:p>
    <w:p>
      <w:pPr>
        <w:pStyle w:val="Heading2"/>
        <w:spacing w:after="80" w:before="280"/>
      </w:pPr>
      <w:r>
        <w:rPr>
          <w:rFonts w:ascii="Arial" w:cs="Arial" w:eastAsia="Arial" w:hAnsi="Arial"/>
          <w:b/>
          <w:bCs/>
          <w:color w:val="2E6DA4"/>
          <w:sz w:val="24"/>
          <w:szCs w:val="24"/>
        </w:rPr>
        <w:t xml:space="preserve">2.3 VAT Scheme Logic</w:t>
      </w:r>
    </w:p>
    <w:p>
      <w:pPr>
        <w:spacing w:after="80" w:before="60"/>
      </w:pPr>
      <w:r>
        <w:rPr>
          <w:rFonts w:ascii="Arial" w:cs="Arial" w:eastAsia="Arial" w:hAnsi="Arial"/>
          <w:color w:val="444444"/>
          <w:sz w:val="20"/>
          <w:szCs w:val="20"/>
        </w:rPr>
        <w:t xml:space="preserve">The VAT Scheme field on the Company Profile is not cosmetic — it governs how the VAT engine calculates liability: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38"/>
      </w:tblGrid>
      <w:tr>
        <w:trPr>
          <w:tblHeader/>
        </w:trPr>
        <w:tc>
          <w:tcPr>
            <w:tcW w:type="dxa" w:w="22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Scheme</w:t>
            </w:r>
          </w:p>
        </w:tc>
        <w:tc>
          <w:tcPr>
            <w:tcW w:type="dxa" w:w="35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VAT Calculation Method</w:t>
            </w:r>
          </w:p>
        </w:tc>
        <w:tc>
          <w:tcPr>
            <w:tcW w:type="dxa" w:w="39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Rule</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Standard Accrual</w:t>
            </w:r>
          </w:p>
        </w:tc>
        <w:tc>
          <w:tcPr>
            <w:tcW w:type="dxa" w:w="3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 is accounted for at invoice date regardless of payment</w:t>
            </w:r>
          </w:p>
        </w:tc>
        <w:tc>
          <w:tcPr>
            <w:tcW w:type="dxa" w:w="39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Default for most limited companies over the VAT threshold</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Cash Accounting</w:t>
            </w:r>
          </w:p>
        </w:tc>
        <w:tc>
          <w:tcPr>
            <w:tcW w:type="dxa" w:w="3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 is accounted for when payment is received/made</w:t>
            </w:r>
          </w:p>
        </w:tc>
        <w:tc>
          <w:tcPr>
            <w:tcW w:type="dxa" w:w="39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Available to businesses with taxable turnover under £1.35M</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Flat Rate</w:t>
            </w:r>
          </w:p>
        </w:tc>
        <w:tc>
          <w:tcPr>
            <w:tcW w:type="dxa" w:w="3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Gross sales x flat rate % = VAT payable; input VAT not reclaimed individually</w:t>
            </w:r>
          </w:p>
        </w:tc>
        <w:tc>
          <w:tcPr>
            <w:tcW w:type="dxa" w:w="39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HMRC issues a sector-specific flat rate percentage to the entity</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2E6DA4" w:sz="14"/>
              <w:left w:val="single" w:color="2E6DA4" w:sz="14"/>
              <w:bottom w:val="single" w:color="2E6DA4" w:sz="2"/>
              <w:right w:val="single" w:color="2E6DA4" w:sz="2"/>
            </w:tcBorders>
            <w:shd w:fill="EEF5FB" w:val="clear"/>
            <w:tcMar>
              <w:top w:type="dxa" w:w="120"/>
              <w:left w:type="dxa" w:w="180"/>
              <w:bottom w:type="dxa" w:w="120"/>
              <w:right w:type="dxa" w:w="180"/>
            </w:tcMar>
          </w:tcPr>
          <w:p>
            <w:pPr>
              <w:spacing w:after="80" w:before="0"/>
            </w:pPr>
            <w:r>
              <w:rPr>
                <w:rFonts w:ascii="Arial" w:cs="Arial" w:eastAsia="Arial" w:hAnsi="Arial"/>
                <w:b/>
                <w:bCs/>
                <w:color w:val="2E6DA4"/>
                <w:sz w:val="19"/>
                <w:szCs w:val="19"/>
              </w:rPr>
              <w:t xml:space="preserve">Design Rule</w:t>
            </w:r>
          </w:p>
          <w:p>
            <w:pPr>
              <w:spacing w:after="40" w:before="40"/>
            </w:pPr>
            <w:r>
              <w:rPr>
                <w:rFonts w:ascii="Arial" w:cs="Arial" w:eastAsia="Arial" w:hAnsi="Arial"/>
                <w:color w:val="444444"/>
                <w:sz w:val="18"/>
                <w:szCs w:val="18"/>
              </w:rPr>
              <w:t xml:space="preserve">The accounting engine reads the VAT Scheme from the Company Profile before processing any transaction.</w:t>
            </w:r>
          </w:p>
          <w:p>
            <w:pPr>
              <w:spacing w:after="40" w:before="40"/>
            </w:pPr>
            <w:r>
              <w:rPr>
                <w:rFonts w:ascii="Arial" w:cs="Arial" w:eastAsia="Arial" w:hAnsi="Arial"/>
                <w:color w:val="444444"/>
                <w:sz w:val="18"/>
                <w:szCs w:val="18"/>
              </w:rPr>
              <w:t xml:space="preserve">If the scheme is changed mid-year, a journal adjustment is required. FOS will warn the user and create a scheme-change audit entry.</w:t>
            </w:r>
          </w:p>
          <w:p>
            <w:pPr>
              <w:spacing w:after="40" w:before="40"/>
            </w:pPr>
            <w:r>
              <w:rPr>
                <w:rFonts w:ascii="Arial" w:cs="Arial" w:eastAsia="Arial" w:hAnsi="Arial"/>
                <w:color w:val="444444"/>
                <w:sz w:val="18"/>
                <w:szCs w:val="18"/>
              </w:rPr>
              <w:t xml:space="preserve">Flat Rate entities do not populate VAT Boxes 4 and 7 in the normal way — the engine handles this automatically.</w:t>
            </w:r>
          </w:p>
        </w:tc>
      </w:tr>
    </w:tbl>
    <w:p>
      <w:pPr>
        <w:spacing w:after="0" w:before="100"/>
      </w:pPr>
      <w:r>
        <w:t xml:space="preserve"/>
      </w:r>
    </w:p>
    <w:p>
      <w:pPr>
        <w:pStyle w:val="Heading2"/>
        <w:spacing w:after="80" w:before="280"/>
      </w:pPr>
      <w:r>
        <w:rPr>
          <w:rFonts w:ascii="Arial" w:cs="Arial" w:eastAsia="Arial" w:hAnsi="Arial"/>
          <w:b/>
          <w:bCs/>
          <w:color w:val="2E6DA4"/>
          <w:sz w:val="24"/>
          <w:szCs w:val="24"/>
        </w:rPr>
        <w:t xml:space="preserve">2.4 Bank Account Matching</w:t>
      </w:r>
    </w:p>
    <w:p>
      <w:pPr>
        <w:spacing w:after="80" w:before="60"/>
      </w:pPr>
      <w:r>
        <w:rPr>
          <w:rFonts w:ascii="Arial" w:cs="Arial" w:eastAsia="Arial" w:hAnsi="Arial"/>
          <w:color w:val="444444"/>
          <w:sz w:val="20"/>
          <w:szCs w:val="20"/>
        </w:rPr>
        <w:t xml:space="preserve">When the user imports a CSV bank statement or runs a TrueLayer Open Banking sync, FOS uses the sort code and account number stored in the Company Profile to automatically assign incoming transactions to the correct entity and bank ledger account. If no match is found, the user is prompted to confirm the assignment before import proceeds.</w:t>
      </w:r>
    </w:p>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3</w:t>
            </w:r>
          </w:p>
        </w:tc>
        <w:tc>
          <w:tcPr>
            <w:tcW w:type="dxa" w:w="8838"/>
            <w:tcBorders>
              <w:top w:val="none"/>
              <w:left w:val="none"/>
              <w:bottom w:val="none"/>
              <w:right w:val="none"/>
            </w:tcBorders>
            <w:shd w:fill="F0EAF9" w:val="clear"/>
            <w:tcMar>
              <w:top w:type="dxa" w:w="100"/>
              <w:left w:type="dxa" w:w="200"/>
              <w:bottom w:type="dxa" w:w="100"/>
              <w:right w:type="dxa" w:w="120"/>
            </w:tcMar>
          </w:tcPr>
          <w:p>
            <w:r>
              <w:rPr>
                <w:rFonts w:ascii="Arial" w:cs="Arial" w:eastAsia="Arial" w:hAnsi="Arial"/>
                <w:b/>
                <w:bCs/>
                <w:color w:val="5B2D8E"/>
                <w:sz w:val="26"/>
                <w:szCs w:val="26"/>
              </w:rPr>
              <w:t xml:space="preserve">Chart of Accounts</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3.1 CoA Architecture</w:t>
      </w:r>
    </w:p>
    <w:p>
      <w:pPr>
        <w:spacing w:after="80" w:before="60"/>
      </w:pPr>
      <w:r>
        <w:rPr>
          <w:rFonts w:ascii="Arial" w:cs="Arial" w:eastAsia="Arial" w:hAnsi="Arial"/>
          <w:color w:val="444444"/>
          <w:sz w:val="20"/>
          <w:szCs w:val="20"/>
        </w:rPr>
        <w:t xml:space="preserve">Each Company Profile has its own Chart of Accounts. The CoA is a hierarchical list of ledger accounts, each with a unique numeric code, a type classification, and VAT applicability flags. The CoA drives the General Ledger, Trial Balance, P&amp;L, and Balance Sheet — every posting in the system must reference a valid CoA code.</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3.2 Account Type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200"/>
        <w:gridCol w:w="4238"/>
      </w:tblGrid>
      <w:tr>
        <w:trPr>
          <w:tblHeader/>
        </w:trPr>
        <w:tc>
          <w:tcPr>
            <w:tcW w:type="dxa" w:w="14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Code Range</w:t>
            </w:r>
          </w:p>
        </w:tc>
        <w:tc>
          <w:tcPr>
            <w:tcW w:type="dxa" w:w="14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Balance Sheet / P&amp;L</w:t>
            </w:r>
          </w:p>
        </w:tc>
        <w:tc>
          <w:tcPr>
            <w:tcW w:type="dxa" w:w="12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Normal Balance</w:t>
            </w:r>
          </w:p>
        </w:tc>
        <w:tc>
          <w:tcPr>
            <w:tcW w:type="dxa" w:w="42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Examples</w:t>
            </w:r>
          </w:p>
        </w:tc>
      </w:tr>
      <w:tr>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Assets</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1000–1999</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Balance Sheet</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Bank accounts, debtors, fixed assets, prepayments</w:t>
            </w:r>
          </w:p>
        </w:tc>
      </w:tr>
      <w:tr>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Liabilities</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2000–2999</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Balance Sheet</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42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Creditors, VAT liability, PAYE, director loans, bank loans</w:t>
            </w:r>
          </w:p>
        </w:tc>
      </w:tr>
      <w:tr>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Equity</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3000–3999</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Balance Sheet</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Share capital, retained earnings, owner drawings</w:t>
            </w:r>
          </w:p>
        </w:tc>
      </w:tr>
      <w:tr>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Income</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4000–4999</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P&amp;L</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42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Sales, grants, other income, interest received</w:t>
            </w:r>
          </w:p>
        </w:tc>
      </w:tr>
      <w:tr>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Cost of Sales</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5000–5499</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P&amp;L</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Direct materials, subcontractors, direct wages</w:t>
            </w:r>
          </w:p>
        </w:tc>
      </w:tr>
      <w:tr>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Overheads</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5500–5999</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P&amp;L</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42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Rent, utilities, insurance, subscriptions, marketing</w:t>
            </w:r>
          </w:p>
        </w:tc>
      </w:tr>
      <w:tr>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Tax</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6000–6099</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P&amp;L</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Corporation tax charge, deferred tax</w:t>
            </w:r>
          </w:p>
        </w:tc>
      </w:tr>
    </w:tbl>
    <w:p>
      <w:pPr>
        <w:spacing w:after="0" w:before="100"/>
      </w:pPr>
      <w:r>
        <w:t xml:space="preserve"/>
      </w:r>
    </w:p>
    <w:p>
      <w:pPr>
        <w:pStyle w:val="Heading2"/>
        <w:spacing w:after="80" w:before="280"/>
      </w:pPr>
      <w:r>
        <w:rPr>
          <w:rFonts w:ascii="Arial" w:cs="Arial" w:eastAsia="Arial" w:hAnsi="Arial"/>
          <w:b/>
          <w:bCs/>
          <w:color w:val="2E6DA4"/>
          <w:sz w:val="24"/>
          <w:szCs w:val="24"/>
        </w:rPr>
        <w:t xml:space="preserve">3.3 Pre-Built Standard UK Chart of Accounts</w:t>
      </w:r>
    </w:p>
    <w:p>
      <w:pPr>
        <w:spacing w:after="80" w:before="60"/>
      </w:pPr>
      <w:r>
        <w:rPr>
          <w:rFonts w:ascii="Arial" w:cs="Arial" w:eastAsia="Arial" w:hAnsi="Arial"/>
          <w:color w:val="444444"/>
          <w:sz w:val="20"/>
          <w:szCs w:val="20"/>
        </w:rPr>
        <w:t xml:space="preserve">On entity creation, FOS loads the following standard CoA. The user may rename, add, or deactivate accounts. System-locked accounts (marked *) cannot be deleted as they are required by the VAT engine or year-end process.</w:t>
      </w:r>
    </w:p>
    <w:p>
      <w:pPr>
        <w:spacing w:after="0" w:before="60"/>
      </w:pPr>
      <w:r>
        <w:t xml:space="preserve"/>
      </w:r>
    </w:p>
    <w:p>
      <w:pPr>
        <w:pStyle w:val="Heading3"/>
        <w:spacing w:after="60" w:before="200"/>
      </w:pPr>
      <w:r>
        <w:rPr>
          <w:rFonts w:ascii="Arial" w:cs="Arial" w:eastAsia="Arial" w:hAnsi="Arial"/>
          <w:b/>
          <w:bCs/>
          <w:color w:val="1B3A5C"/>
          <w:sz w:val="21"/>
          <w:szCs w:val="21"/>
        </w:rPr>
        <w:t xml:space="preserve">Assets (1000–1999)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1200"/>
        <w:gridCol w:w="1400"/>
        <w:gridCol w:w="1538"/>
      </w:tblGrid>
      <w:tr>
        <w:trPr>
          <w:tblHeader/>
        </w:trPr>
        <w:tc>
          <w:tcPr>
            <w:tcW w:type="dxa" w:w="9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0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Normal Bal.</w:t>
            </w:r>
          </w:p>
        </w:tc>
        <w:tc>
          <w:tcPr>
            <w:tcW w:type="dxa" w:w="14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VAT Applicable</w:t>
            </w:r>
          </w:p>
        </w:tc>
        <w:tc>
          <w:tcPr>
            <w:tcW w:type="dxa" w:w="1538"/>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1000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Bank — Current Account *</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Asset</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operating bank account. Linked to bank reconciliation.</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1010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Bank — Savings / Reserve</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Asset</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1020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Petty Cash</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Asset</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1100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Trade Debtors *</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Asset</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Amounts owed by customers. Required for accrual VAT scheme.</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1110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Prepayments</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Asset</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Expenses paid in advance.</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1200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 Reclaim Receivable *</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Asset</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Input VAT due back from HMRC. Auto-managed by VAT engine.</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1300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Fixed Assets — Equipment</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Asset</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1310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Fixed Assets — Vehicles</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Asset</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1390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Accumulated Depreciation</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Asset</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Contra asset. Credit balance offsets fixed asset values.</w:t>
            </w:r>
          </w:p>
        </w:tc>
      </w:tr>
    </w:tbl>
    <w:p>
      <w:pPr>
        <w:spacing w:after="0" w:before="60"/>
      </w:pPr>
      <w:r>
        <w:t xml:space="preserve"/>
      </w:r>
    </w:p>
    <w:p>
      <w:pPr>
        <w:pStyle w:val="Heading3"/>
        <w:spacing w:after="60" w:before="200"/>
      </w:pPr>
      <w:r>
        <w:rPr>
          <w:rFonts w:ascii="Arial" w:cs="Arial" w:eastAsia="Arial" w:hAnsi="Arial"/>
          <w:b/>
          <w:bCs/>
          <w:color w:val="1B3A5C"/>
          <w:sz w:val="21"/>
          <w:szCs w:val="21"/>
        </w:rPr>
        <w:t xml:space="preserve">Liabilities (2000–2999)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1200"/>
        <w:gridCol w:w="1400"/>
        <w:gridCol w:w="1538"/>
      </w:tblGrid>
      <w:tr>
        <w:trPr>
          <w:tblHeader/>
        </w:trPr>
        <w:tc>
          <w:tcPr>
            <w:tcW w:type="dxa" w:w="9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0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Normal Bal.</w:t>
            </w:r>
          </w:p>
        </w:tc>
        <w:tc>
          <w:tcPr>
            <w:tcW w:type="dxa" w:w="14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VAT Applicable</w:t>
            </w:r>
          </w:p>
        </w:tc>
        <w:tc>
          <w:tcPr>
            <w:tcW w:type="dxa" w:w="1538"/>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2000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Trade Creditors *</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Liability</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Amounts owed to suppliers.</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2100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 Liability *</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Liability</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Output VAT collected. Auto-managed by VAT engine.</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2110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 Control Account *</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Liability</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Net VAT position (Box 5 equivalent). Auto-managed.</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2200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PAYE / NIC Payable</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Liability</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2300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Corporation Tax Provision</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Liability</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2400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Director Loan Account</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Liability</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Can be debit (asset) if director owes company.</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2500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Bank Loan</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Liability</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2600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Accruals</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Liability</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Expenses incurred but not yet invoiced.</w:t>
            </w:r>
          </w:p>
        </w:tc>
      </w:tr>
    </w:tbl>
    <w:p>
      <w:pPr>
        <w:spacing w:after="0" w:before="60"/>
      </w:pPr>
      <w:r>
        <w:t xml:space="preserve"/>
      </w:r>
    </w:p>
    <w:p>
      <w:pPr>
        <w:pStyle w:val="Heading3"/>
        <w:spacing w:after="60" w:before="200"/>
      </w:pPr>
      <w:r>
        <w:rPr>
          <w:rFonts w:ascii="Arial" w:cs="Arial" w:eastAsia="Arial" w:hAnsi="Arial"/>
          <w:b/>
          <w:bCs/>
          <w:color w:val="1B3A5C"/>
          <w:sz w:val="21"/>
          <w:szCs w:val="21"/>
        </w:rPr>
        <w:t xml:space="preserve">Equity (3000–3999)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1200"/>
        <w:gridCol w:w="1400"/>
        <w:gridCol w:w="1538"/>
      </w:tblGrid>
      <w:tr>
        <w:trPr>
          <w:tblHeader/>
        </w:trPr>
        <w:tc>
          <w:tcPr>
            <w:tcW w:type="dxa" w:w="9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0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Normal Bal.</w:t>
            </w:r>
          </w:p>
        </w:tc>
        <w:tc>
          <w:tcPr>
            <w:tcW w:type="dxa" w:w="14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VAT Applicable</w:t>
            </w:r>
          </w:p>
        </w:tc>
        <w:tc>
          <w:tcPr>
            <w:tcW w:type="dxa" w:w="1538"/>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3000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Share Capital *</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Equity</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Required for Ltd companies.</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3100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Retained Earnings *</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Equity</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Cumulative profit. Auto-updated at year-end.</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3200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Owner Drawings</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Equity</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Withdrawals by owner (sole trader / partnership).</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3300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Current Year Profit / Loss *</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Equity</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System-calculated. Transferred to Retained Earnings at year-end lock.</w:t>
            </w:r>
          </w:p>
        </w:tc>
      </w:tr>
    </w:tbl>
    <w:p>
      <w:pPr>
        <w:spacing w:after="0" w:before="60"/>
      </w:pPr>
      <w:r>
        <w:t xml:space="preserve"/>
      </w:r>
    </w:p>
    <w:p>
      <w:pPr>
        <w:pStyle w:val="Heading3"/>
        <w:spacing w:after="60" w:before="200"/>
      </w:pPr>
      <w:r>
        <w:rPr>
          <w:rFonts w:ascii="Arial" w:cs="Arial" w:eastAsia="Arial" w:hAnsi="Arial"/>
          <w:b/>
          <w:bCs/>
          <w:color w:val="1B3A5C"/>
          <w:sz w:val="21"/>
          <w:szCs w:val="21"/>
        </w:rPr>
        <w:t xml:space="preserve">Income (4000–4999)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1200"/>
        <w:gridCol w:w="1400"/>
        <w:gridCol w:w="1538"/>
      </w:tblGrid>
      <w:tr>
        <w:trPr>
          <w:tblHeader/>
        </w:trPr>
        <w:tc>
          <w:tcPr>
            <w:tcW w:type="dxa" w:w="9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0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Normal Bal.</w:t>
            </w:r>
          </w:p>
        </w:tc>
        <w:tc>
          <w:tcPr>
            <w:tcW w:type="dxa" w:w="14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VAT Applicable</w:t>
            </w:r>
          </w:p>
        </w:tc>
        <w:tc>
          <w:tcPr>
            <w:tcW w:type="dxa" w:w="1538"/>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4000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Sales — Standard Rated *</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Income</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Default sales account for VAT-registered entities.</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4010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Sales — Zero Rated</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Income</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 (0%)</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4020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Sales — Exempt</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Income</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Exempt</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4030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Sales — Outside Scope</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Income</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4100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Grant Income</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Income</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4200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Other Income</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Income</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4300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Interest Received</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Income</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bl>
    <w:p>
      <w:pPr>
        <w:spacing w:after="0" w:before="60"/>
      </w:pPr>
      <w:r>
        <w:t xml:space="preserve"/>
      </w:r>
    </w:p>
    <w:p>
      <w:pPr>
        <w:pStyle w:val="Heading3"/>
        <w:spacing w:after="60" w:before="200"/>
      </w:pPr>
      <w:r>
        <w:rPr>
          <w:rFonts w:ascii="Arial" w:cs="Arial" w:eastAsia="Arial" w:hAnsi="Arial"/>
          <w:b/>
          <w:bCs/>
          <w:color w:val="1B3A5C"/>
          <w:sz w:val="21"/>
          <w:szCs w:val="21"/>
        </w:rPr>
        <w:t xml:space="preserve">Cost of Sales (5000–5499)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1200"/>
        <w:gridCol w:w="1400"/>
        <w:gridCol w:w="1538"/>
      </w:tblGrid>
      <w:tr>
        <w:trPr>
          <w:tblHeader/>
        </w:trPr>
        <w:tc>
          <w:tcPr>
            <w:tcW w:type="dxa" w:w="9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0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Normal Bal.</w:t>
            </w:r>
          </w:p>
        </w:tc>
        <w:tc>
          <w:tcPr>
            <w:tcW w:type="dxa" w:w="14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VAT Applicable</w:t>
            </w:r>
          </w:p>
        </w:tc>
        <w:tc>
          <w:tcPr>
            <w:tcW w:type="dxa" w:w="1538"/>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5000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Direct Materials</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CoS</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5010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Subcontractors</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CoS</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5020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Direct Wages</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CoS</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5030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Carriage / Delivery</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CoS</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bl>
    <w:p>
      <w:pPr>
        <w:spacing w:after="0" w:before="60"/>
      </w:pPr>
      <w:r>
        <w:t xml:space="preserve"/>
      </w:r>
    </w:p>
    <w:p>
      <w:pPr>
        <w:pStyle w:val="Heading3"/>
        <w:spacing w:after="60" w:before="200"/>
      </w:pPr>
      <w:r>
        <w:rPr>
          <w:rFonts w:ascii="Arial" w:cs="Arial" w:eastAsia="Arial" w:hAnsi="Arial"/>
          <w:b/>
          <w:bCs/>
          <w:color w:val="1B3A5C"/>
          <w:sz w:val="21"/>
          <w:szCs w:val="21"/>
        </w:rPr>
        <w:t xml:space="preserve">Overheads (5500–5999)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1200"/>
        <w:gridCol w:w="1400"/>
        <w:gridCol w:w="1538"/>
      </w:tblGrid>
      <w:tr>
        <w:trPr>
          <w:tblHeader/>
        </w:trPr>
        <w:tc>
          <w:tcPr>
            <w:tcW w:type="dxa" w:w="9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0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Normal Bal.</w:t>
            </w:r>
          </w:p>
        </w:tc>
        <w:tc>
          <w:tcPr>
            <w:tcW w:type="dxa" w:w="14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VAT Applicable</w:t>
            </w:r>
          </w:p>
        </w:tc>
        <w:tc>
          <w:tcPr>
            <w:tcW w:type="dxa" w:w="1538"/>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5500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Rent and Rates</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5510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Utilities</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5520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Telephone and Internet</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5530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Insurance</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Exempt</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5540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Subscriptions and Software</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5550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Marketing and Advertising</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5560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Travel and Accommodation</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5570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Meals and Entertainment</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50% disallowable for CT — flag in notes</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5580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Motor Expenses</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Partial VAT reclaim rules apply</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5590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Professional Fees</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Accountancy, legal</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5600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Bank Charges and Interest</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Exempt</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5610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Depreciation</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Non-cash charge. System journal at year-end.</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5620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Sundry Expenses</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Yes (20%)</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Catch-all. High usage here triggers AI review flag.</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5630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Bad Debt Write-Off</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Overhead</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bl>
    <w:p>
      <w:pPr>
        <w:spacing w:after="0" w:before="60"/>
      </w:pPr>
      <w:r>
        <w:t xml:space="preserve"/>
      </w:r>
    </w:p>
    <w:p>
      <w:pPr>
        <w:pStyle w:val="Heading3"/>
        <w:spacing w:after="60" w:before="200"/>
      </w:pPr>
      <w:r>
        <w:rPr>
          <w:rFonts w:ascii="Arial" w:cs="Arial" w:eastAsia="Arial" w:hAnsi="Arial"/>
          <w:b/>
          <w:bCs/>
          <w:color w:val="1B3A5C"/>
          <w:sz w:val="21"/>
          <w:szCs w:val="21"/>
        </w:rPr>
        <w:t xml:space="preserve">Tax (6000–6099)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1200"/>
        <w:gridCol w:w="1400"/>
        <w:gridCol w:w="1538"/>
      </w:tblGrid>
      <w:tr>
        <w:trPr>
          <w:tblHeader/>
        </w:trPr>
        <w:tc>
          <w:tcPr>
            <w:tcW w:type="dxa" w:w="9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0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Account Name</w:t>
            </w:r>
          </w:p>
        </w:tc>
        <w:tc>
          <w:tcPr>
            <w:tcW w:type="dxa" w:w="16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Normal Bal.</w:t>
            </w:r>
          </w:p>
        </w:tc>
        <w:tc>
          <w:tcPr>
            <w:tcW w:type="dxa" w:w="1400"/>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VAT Applicable</w:t>
            </w:r>
          </w:p>
        </w:tc>
        <w:tc>
          <w:tcPr>
            <w:tcW w:type="dxa" w:w="1538"/>
            <w:tcBorders>
              <w:top w:val="single" w:color="BBCFE0" w:sz="1"/>
              <w:left w:val="single" w:color="BBCFE0" w:sz="1"/>
              <w:bottom w:val="single" w:color="BBCFE0" w:sz="1"/>
              <w:right w:val="single" w:color="BBCFE0"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6000</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Corporation Tax Charge</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Tax</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Current year CT estimate.</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6010</w:t>
            </w:r>
          </w:p>
        </w:tc>
        <w:tc>
          <w:tcPr>
            <w:tcW w:type="dxa" w:w="3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Deferred Tax</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Tax</w:t>
            </w:r>
          </w:p>
        </w:tc>
        <w:tc>
          <w:tcPr>
            <w:tcW w:type="dxa" w:w="1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
            </w:r>
          </w:p>
        </w:tc>
      </w:tr>
    </w:tbl>
    <w:p>
      <w:pPr>
        <w:spacing w:after="0" w:before="100"/>
      </w:pPr>
      <w:r>
        <w:t xml:space="preserve"/>
      </w:r>
    </w:p>
    <w:p>
      <w:pPr>
        <w:pStyle w:val="Heading2"/>
        <w:spacing w:after="80" w:before="280"/>
      </w:pPr>
      <w:r>
        <w:rPr>
          <w:rFonts w:ascii="Arial" w:cs="Arial" w:eastAsia="Arial" w:hAnsi="Arial"/>
          <w:b/>
          <w:bCs/>
          <w:color w:val="2E6DA4"/>
          <w:sz w:val="24"/>
          <w:szCs w:val="24"/>
        </w:rPr>
        <w:t xml:space="preserve">3.4 Custom CoA Import</w:t>
      </w:r>
    </w:p>
    <w:p>
      <w:pPr>
        <w:spacing w:after="80" w:before="60"/>
      </w:pPr>
      <w:r>
        <w:rPr>
          <w:rFonts w:ascii="Arial" w:cs="Arial" w:eastAsia="Arial" w:hAnsi="Arial"/>
          <w:color w:val="444444"/>
          <w:sz w:val="20"/>
          <w:szCs w:val="20"/>
        </w:rPr>
        <w:t xml:space="preserve">If the user has an existing CoA from a previous accounting system, FOS accepts a CSV import with the following columns:</w:t>
      </w:r>
    </w:p>
    <w:p>
      <w:pPr>
        <w:pStyle w:val="ListParagraph"/>
        <w:numPr>
          <w:ilvl w:val="0"/>
          <w:numId w:val="2"/>
        </w:numPr>
        <w:spacing w:after="40" w:before="40"/>
      </w:pPr>
      <w:r>
        <w:rPr>
          <w:rFonts w:ascii="Arial" w:cs="Arial" w:eastAsia="Arial" w:hAnsi="Arial"/>
          <w:color w:val="444444"/>
          <w:sz w:val="20"/>
          <w:szCs w:val="20"/>
        </w:rPr>
        <w:t xml:space="preserve">code — numeric account code</w:t>
      </w:r>
    </w:p>
    <w:p>
      <w:pPr>
        <w:pStyle w:val="ListParagraph"/>
        <w:numPr>
          <w:ilvl w:val="0"/>
          <w:numId w:val="2"/>
        </w:numPr>
        <w:spacing w:after="40" w:before="40"/>
      </w:pPr>
      <w:r>
        <w:rPr>
          <w:rFonts w:ascii="Arial" w:cs="Arial" w:eastAsia="Arial" w:hAnsi="Arial"/>
          <w:color w:val="444444"/>
          <w:sz w:val="20"/>
          <w:szCs w:val="20"/>
        </w:rPr>
        <w:t xml:space="preserve">name — account name</w:t>
      </w:r>
    </w:p>
    <w:p>
      <w:pPr>
        <w:pStyle w:val="ListParagraph"/>
        <w:numPr>
          <w:ilvl w:val="0"/>
          <w:numId w:val="2"/>
        </w:numPr>
        <w:spacing w:after="40" w:before="40"/>
      </w:pPr>
      <w:r>
        <w:rPr>
          <w:rFonts w:ascii="Arial" w:cs="Arial" w:eastAsia="Arial" w:hAnsi="Arial"/>
          <w:color w:val="444444"/>
          <w:sz w:val="20"/>
          <w:szCs w:val="20"/>
        </w:rPr>
        <w:t xml:space="preserve">type — one of: Asset, Liability, Equity, Income, CoS, Overhead, Tax</w:t>
      </w:r>
    </w:p>
    <w:p>
      <w:pPr>
        <w:pStyle w:val="ListParagraph"/>
        <w:numPr>
          <w:ilvl w:val="0"/>
          <w:numId w:val="2"/>
        </w:numPr>
        <w:spacing w:after="40" w:before="40"/>
      </w:pPr>
      <w:r>
        <w:rPr>
          <w:rFonts w:ascii="Arial" w:cs="Arial" w:eastAsia="Arial" w:hAnsi="Arial"/>
          <w:color w:val="444444"/>
          <w:sz w:val="20"/>
          <w:szCs w:val="20"/>
        </w:rPr>
        <w:t xml:space="preserve">normal_balance — Debit or Credit</w:t>
      </w:r>
    </w:p>
    <w:p>
      <w:pPr>
        <w:pStyle w:val="ListParagraph"/>
        <w:numPr>
          <w:ilvl w:val="0"/>
          <w:numId w:val="2"/>
        </w:numPr>
        <w:spacing w:after="40" w:before="40"/>
      </w:pPr>
      <w:r>
        <w:rPr>
          <w:rFonts w:ascii="Arial" w:cs="Arial" w:eastAsia="Arial" w:hAnsi="Arial"/>
          <w:color w:val="444444"/>
          <w:sz w:val="20"/>
          <w:szCs w:val="20"/>
        </w:rPr>
        <w:t xml:space="preserve">vat_applicable — Yes/No/Exempt</w:t>
      </w:r>
    </w:p>
    <w:p>
      <w:pPr>
        <w:pStyle w:val="ListParagraph"/>
        <w:numPr>
          <w:ilvl w:val="0"/>
          <w:numId w:val="2"/>
        </w:numPr>
        <w:spacing w:after="40" w:before="40"/>
      </w:pPr>
      <w:r>
        <w:rPr>
          <w:rFonts w:ascii="Arial" w:cs="Arial" w:eastAsia="Arial" w:hAnsi="Arial"/>
          <w:color w:val="444444"/>
          <w:sz w:val="20"/>
          <w:szCs w:val="20"/>
        </w:rPr>
        <w:t xml:space="preserve">vat_rate — 20, 5, 0, or blank</w:t>
      </w:r>
    </w:p>
    <w:p>
      <w:pPr>
        <w:spacing w:after="80" w:before="60"/>
      </w:pPr>
      <w:r>
        <w:rPr>
          <w:rFonts w:ascii="Arial" w:cs="Arial" w:eastAsia="Arial" w:hAnsi="Arial"/>
          <w:color w:val="444444"/>
          <w:sz w:val="20"/>
          <w:szCs w:val="20"/>
        </w:rPr>
        <w:t xml:space="preserve">On import, FOS validates that all system-locked accounts (marked * in Section 3.3) are present. If any are missing, the import is rejected with a gap report. The user may then add the missing accounts or map their equivalent custom accounts to the system-required functions.</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3.5 CoA Governance Rules</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5B2D8E" w:sz="14"/>
              <w:left w:val="single" w:color="5B2D8E" w:sz="14"/>
              <w:bottom w:val="single" w:color="5B2D8E" w:sz="2"/>
              <w:right w:val="single" w:color="5B2D8E" w:sz="2"/>
            </w:tcBorders>
            <w:shd w:fill="F0EAF9" w:val="clear"/>
            <w:tcMar>
              <w:top w:type="dxa" w:w="120"/>
              <w:left w:type="dxa" w:w="180"/>
              <w:bottom w:type="dxa" w:w="120"/>
              <w:right w:type="dxa" w:w="180"/>
            </w:tcMar>
          </w:tcPr>
          <w:p>
            <w:pPr>
              <w:spacing w:after="80" w:before="0"/>
            </w:pPr>
            <w:r>
              <w:rPr>
                <w:rFonts w:ascii="Arial" w:cs="Arial" w:eastAsia="Arial" w:hAnsi="Arial"/>
                <w:b/>
                <w:bCs/>
                <w:color w:val="5B2D8E"/>
                <w:sz w:val="19"/>
                <w:szCs w:val="19"/>
              </w:rPr>
              <w:t xml:space="preserve">CoA Integrity Rules</w:t>
            </w:r>
          </w:p>
          <w:p>
            <w:pPr>
              <w:spacing w:after="40" w:before="40"/>
            </w:pPr>
            <w:r>
              <w:rPr>
                <w:rFonts w:ascii="Arial" w:cs="Arial" w:eastAsia="Arial" w:hAnsi="Arial"/>
                <w:color w:val="444444"/>
                <w:sz w:val="18"/>
                <w:szCs w:val="18"/>
              </w:rPr>
              <w:t xml:space="preserve">Accounts marked * are system-locked and cannot be deleted or have their type changed.</w:t>
            </w:r>
          </w:p>
          <w:p>
            <w:pPr>
              <w:spacing w:after="40" w:before="40"/>
            </w:pPr>
            <w:r>
              <w:rPr>
                <w:rFonts w:ascii="Arial" w:cs="Arial" w:eastAsia="Arial" w:hAnsi="Arial"/>
                <w:color w:val="444444"/>
                <w:sz w:val="18"/>
                <w:szCs w:val="18"/>
              </w:rPr>
              <w:t xml:space="preserve">Account codes must be unique within an entity. The same code may exist in different entities.</w:t>
            </w:r>
          </w:p>
          <w:p>
            <w:pPr>
              <w:spacing w:after="40" w:before="40"/>
            </w:pPr>
            <w:r>
              <w:rPr>
                <w:rFonts w:ascii="Arial" w:cs="Arial" w:eastAsia="Arial" w:hAnsi="Arial"/>
                <w:color w:val="444444"/>
                <w:sz w:val="18"/>
                <w:szCs w:val="18"/>
              </w:rPr>
              <w:t xml:space="preserve">Deactivating an account hides it from new postings but preserves all historical transactions.</w:t>
            </w:r>
          </w:p>
          <w:p>
            <w:pPr>
              <w:spacing w:after="40" w:before="40"/>
            </w:pPr>
            <w:r>
              <w:rPr>
                <w:rFonts w:ascii="Arial" w:cs="Arial" w:eastAsia="Arial" w:hAnsi="Arial"/>
                <w:color w:val="444444"/>
                <w:sz w:val="18"/>
                <w:szCs w:val="18"/>
              </w:rPr>
              <w:t xml:space="preserve">The CoA can only be modified before the year-end is locked. After lock, the CoA is read-only for that period.</w:t>
            </w:r>
          </w:p>
          <w:p>
            <w:pPr>
              <w:spacing w:after="40" w:before="40"/>
            </w:pPr>
            <w:r>
              <w:rPr>
                <w:rFonts w:ascii="Arial" w:cs="Arial" w:eastAsia="Arial" w:hAnsi="Arial"/>
                <w:color w:val="444444"/>
                <w:sz w:val="18"/>
                <w:szCs w:val="18"/>
              </w:rPr>
              <w:t xml:space="preserve">Any CoA change after transactions have been posted triggers an audit log entry.</w:t>
            </w:r>
          </w:p>
        </w:tc>
      </w:tr>
    </w:tbl>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0D6E6E"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4</w:t>
            </w:r>
          </w:p>
        </w:tc>
        <w:tc>
          <w:tcPr>
            <w:tcW w:type="dxa" w:w="8838"/>
            <w:tcBorders>
              <w:top w:val="none"/>
              <w:left w:val="none"/>
              <w:bottom w:val="none"/>
              <w:right w:val="none"/>
            </w:tcBorders>
            <w:shd w:fill="E0F4F4" w:val="clear"/>
            <w:tcMar>
              <w:top w:type="dxa" w:w="100"/>
              <w:left w:type="dxa" w:w="200"/>
              <w:bottom w:type="dxa" w:w="100"/>
              <w:right w:type="dxa" w:w="120"/>
            </w:tcMar>
          </w:tcPr>
          <w:p>
            <w:r>
              <w:rPr>
                <w:rFonts w:ascii="Arial" w:cs="Arial" w:eastAsia="Arial" w:hAnsi="Arial"/>
                <w:b/>
                <w:bCs/>
                <w:color w:val="0D6E6E"/>
                <w:sz w:val="26"/>
                <w:szCs w:val="26"/>
              </w:rPr>
              <w:t xml:space="preserve">AI Transaction Allocation Engine</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4.1 Role of the AI Engine</w:t>
      </w:r>
    </w:p>
    <w:p>
      <w:pPr>
        <w:spacing w:after="80" w:before="60"/>
      </w:pPr>
      <w:r>
        <w:rPr>
          <w:rFonts w:ascii="Arial" w:cs="Arial" w:eastAsia="Arial" w:hAnsi="Arial"/>
          <w:color w:val="444444"/>
          <w:sz w:val="20"/>
          <w:szCs w:val="20"/>
        </w:rPr>
        <w:t xml:space="preserve">Every transaction entering FOS — whether from CSV import, Open Banking sync, or manual entry — passes through the AI Allocation Engine before it is posted to the General Ledger. The engine assigns each transaction a CoA code, a VAT treatment, and a confidence score. No transaction is posted to the GL without a confirmed allocation.</w:t>
      </w:r>
    </w:p>
    <w:p>
      <w:pPr>
        <w:spacing w:after="80" w:before="60"/>
      </w:pPr>
      <w:r>
        <w:rPr>
          <w:rFonts w:ascii="Arial" w:cs="Arial" w:eastAsia="Arial" w:hAnsi="Arial"/>
          <w:color w:val="444444"/>
          <w:sz w:val="20"/>
          <w:szCs w:val="20"/>
        </w:rPr>
        <w:t xml:space="preserve">The AI engine does not make final decisions. It proposes. The approval workflow (Section 5) governs what gets committed.</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4.2 Allocation Signals</w:t>
      </w:r>
    </w:p>
    <w:p>
      <w:pPr>
        <w:spacing w:after="80" w:before="60"/>
      </w:pPr>
      <w:r>
        <w:rPr>
          <w:rFonts w:ascii="Arial" w:cs="Arial" w:eastAsia="Arial" w:hAnsi="Arial"/>
          <w:color w:val="444444"/>
          <w:sz w:val="20"/>
          <w:szCs w:val="20"/>
        </w:rPr>
        <w:t xml:space="preserve">The engine uses the following signals to determine the most likely CoA code for each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738"/>
      </w:tblGrid>
      <w:tr>
        <w:trPr>
          <w:tblHeader/>
        </w:trPr>
        <w:tc>
          <w:tcPr>
            <w:tcW w:type="dxa" w:w="22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6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1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7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Payee / merchant name</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Bank data</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High</w:t>
            </w:r>
          </w:p>
        </w:tc>
        <w:tc>
          <w:tcPr>
            <w:tcW w:type="dxa" w:w="47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Amazon Web Services → 5540 Subscriptions</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Transaction description</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Bank data</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High</w:t>
            </w:r>
          </w:p>
        </w:tc>
        <w:tc>
          <w:tcPr>
            <w:tcW w:type="dxa" w:w="47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MONTHLY DD VODAFONE → 5520 Telephone</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Transaction amount</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Bank data</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Medium</w:t>
            </w:r>
          </w:p>
        </w:tc>
        <w:tc>
          <w:tcPr>
            <w:tcW w:type="dxa" w:w="47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£14.99 recurring → subscription pattern</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Transaction type</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Bank data</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Medium</w:t>
            </w:r>
          </w:p>
        </w:tc>
        <w:tc>
          <w:tcPr>
            <w:tcW w:type="dxa" w:w="47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DD (Direct Debit) → recurring overhead</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 vs debit</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Bank data</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High</w:t>
            </w:r>
          </w:p>
        </w:tc>
        <w:tc>
          <w:tcPr>
            <w:tcW w:type="dxa" w:w="47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 into account → income or liability</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Historical rule match</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Rule library</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High</w:t>
            </w:r>
          </w:p>
        </w:tc>
        <w:tc>
          <w:tcPr>
            <w:tcW w:type="dxa" w:w="47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Same payee previously allocated to same code</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Peer pattern (entity-wide)</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Rule library</w:t>
            </w:r>
          </w:p>
        </w:tc>
        <w:tc>
          <w:tcPr>
            <w:tcW w:type="dxa" w:w="11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Low</w:t>
            </w:r>
          </w:p>
        </w:tc>
        <w:tc>
          <w:tcPr>
            <w:tcW w:type="dxa" w:w="47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Other entities' allocation of same payee</w:t>
            </w:r>
          </w:p>
        </w:tc>
      </w:tr>
      <w:tr>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CoA account description</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CoA</w:t>
            </w:r>
          </w:p>
        </w:tc>
        <w:tc>
          <w:tcPr>
            <w:tcW w:type="dxa" w:w="11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Medium</w:t>
            </w:r>
          </w:p>
        </w:tc>
        <w:tc>
          <w:tcPr>
            <w:tcW w:type="dxa" w:w="47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Account name keywords matched to description</w:t>
            </w:r>
          </w:p>
        </w:tc>
      </w:tr>
    </w:tbl>
    <w:p>
      <w:pPr>
        <w:spacing w:after="0" w:before="100"/>
      </w:pPr>
      <w:r>
        <w:t xml:space="preserve"/>
      </w:r>
    </w:p>
    <w:p>
      <w:pPr>
        <w:pStyle w:val="Heading2"/>
        <w:spacing w:after="80" w:before="280"/>
      </w:pPr>
      <w:r>
        <w:rPr>
          <w:rFonts w:ascii="Arial" w:cs="Arial" w:eastAsia="Arial" w:hAnsi="Arial"/>
          <w:b/>
          <w:bCs/>
          <w:color w:val="2E6DA4"/>
          <w:sz w:val="24"/>
          <w:szCs w:val="24"/>
        </w:rPr>
        <w:t xml:space="preserve">4.3 Confidence Scoring and Routing</w:t>
      </w:r>
    </w:p>
    <w:p>
      <w:pPr>
        <w:spacing w:after="80" w:before="60"/>
      </w:pPr>
      <w:r>
        <w:rPr>
          <w:rFonts w:ascii="Arial" w:cs="Arial" w:eastAsia="Arial" w:hAnsi="Arial"/>
          <w:color w:val="444444"/>
          <w:sz w:val="20"/>
          <w:szCs w:val="20"/>
        </w:rPr>
        <w:t xml:space="preserve">Each AI allocation is assigned a confidence score from 0 to 100. The score determines how the transaction is routed for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800"/>
        <w:gridCol w:w="3538"/>
      </w:tblGrid>
      <w:tr>
        <w:trPr>
          <w:tblHeader/>
        </w:trPr>
        <w:tc>
          <w:tcPr>
            <w:tcW w:type="dxa" w:w="13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20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28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System Action</w:t>
            </w:r>
          </w:p>
        </w:tc>
        <w:tc>
          <w:tcPr>
            <w:tcW w:type="dxa" w:w="35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User Action Required</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90–100</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High Confidence</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Queued for batch approval — green</w:t>
            </w:r>
          </w:p>
        </w:tc>
        <w:tc>
          <w:tcPr>
            <w:tcW w:type="dxa" w:w="3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User approves in batch; one click per group</w:t>
            </w:r>
          </w:p>
        </w:tc>
      </w:tr>
      <w:tr>
        <w:tc>
          <w:tcPr>
            <w:tcW w:type="dxa" w:w="13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70–89</w:t>
            </w:r>
          </w:p>
        </w:tc>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Medium Confidence</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Flagged for individual review — amber</w:t>
            </w:r>
          </w:p>
        </w:tc>
        <w:tc>
          <w:tcPr>
            <w:tcW w:type="dxa" w:w="3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User confirms or overrides each transaction</w:t>
            </w:r>
          </w:p>
        </w:tc>
      </w:tr>
      <w:tr>
        <w:tc>
          <w:tcPr>
            <w:tcW w:type="dxa" w:w="13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50–69</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Low Confidence</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Sent to manual allocation queue — orange</w:t>
            </w:r>
          </w:p>
        </w:tc>
        <w:tc>
          <w:tcPr>
            <w:tcW w:type="dxa" w:w="3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User must select CoA code before proceeding</w:t>
            </w:r>
          </w:p>
        </w:tc>
      </w:tr>
      <w:tr>
        <w:tc>
          <w:tcPr>
            <w:tcW w:type="dxa" w:w="13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0–49</w:t>
            </w:r>
          </w:p>
        </w:tc>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Unclassified</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Held — cannot be posted — red</w:t>
            </w:r>
          </w:p>
        </w:tc>
        <w:tc>
          <w:tcPr>
            <w:tcW w:type="dxa" w:w="3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User must allocate manually</w:t>
            </w:r>
          </w:p>
        </w:tc>
      </w:tr>
    </w:tbl>
    <w:p>
      <w:pPr>
        <w:spacing w:after="0" w:before="10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0D6E6E" w:sz="14"/>
              <w:left w:val="single" w:color="0D6E6E" w:sz="14"/>
              <w:bottom w:val="single" w:color="0D6E6E" w:sz="2"/>
              <w:right w:val="single" w:color="0D6E6E" w:sz="2"/>
            </w:tcBorders>
            <w:shd w:fill="E0F4F4" w:val="clear"/>
            <w:tcMar>
              <w:top w:type="dxa" w:w="120"/>
              <w:left w:type="dxa" w:w="180"/>
              <w:bottom w:type="dxa" w:w="120"/>
              <w:right w:type="dxa" w:w="180"/>
            </w:tcMar>
          </w:tcPr>
          <w:p>
            <w:pPr>
              <w:spacing w:after="80" w:before="0"/>
            </w:pPr>
            <w:r>
              <w:rPr>
                <w:rFonts w:ascii="Arial" w:cs="Arial" w:eastAsia="Arial" w:hAnsi="Arial"/>
                <w:b/>
                <w:bCs/>
                <w:color w:val="0D6E6E"/>
                <w:sz w:val="19"/>
                <w:szCs w:val="19"/>
              </w:rPr>
              <w:t xml:space="preserve">No Silent Posting</w:t>
            </w:r>
          </w:p>
          <w:p>
            <w:pPr>
              <w:spacing w:after="40" w:before="40"/>
            </w:pPr>
            <w:r>
              <w:rPr>
                <w:rFonts w:ascii="Arial" w:cs="Arial" w:eastAsia="Arial" w:hAnsi="Arial"/>
                <w:color w:val="444444"/>
                <w:sz w:val="18"/>
                <w:szCs w:val="18"/>
              </w:rPr>
              <w:t xml:space="preserve">A transaction is never silently posted to the GL with an AI-assigned allocation.</w:t>
            </w:r>
          </w:p>
          <w:p>
            <w:pPr>
              <w:spacing w:after="40" w:before="40"/>
            </w:pPr>
            <w:r>
              <w:rPr>
                <w:rFonts w:ascii="Arial" w:cs="Arial" w:eastAsia="Arial" w:hAnsi="Arial"/>
                <w:color w:val="444444"/>
                <w:sz w:val="18"/>
                <w:szCs w:val="18"/>
              </w:rPr>
              <w:t xml:space="preserve">Every allocation — regardless of confidence score — must pass through at least one of the approval checkpoints defined in Section 5 before it is committed.</w:t>
            </w:r>
          </w:p>
          <w:p>
            <w:pPr>
              <w:spacing w:after="40" w:before="40"/>
            </w:pPr>
            <w:r>
              <w:rPr>
                <w:rFonts w:ascii="Arial" w:cs="Arial" w:eastAsia="Arial" w:hAnsi="Arial"/>
                <w:color w:val="444444"/>
                <w:sz w:val="18"/>
                <w:szCs w:val="18"/>
              </w:rPr>
              <w:t xml:space="preserve">This is the primary control that ensures the owner has line-of-sight to every entry in the accounts.</w:t>
            </w:r>
          </w:p>
        </w:tc>
      </w:tr>
    </w:tbl>
    <w:p>
      <w:pPr>
        <w:spacing w:after="0" w:before="100"/>
      </w:pPr>
      <w:r>
        <w:t xml:space="preserve"/>
      </w:r>
    </w:p>
    <w:p>
      <w:pPr>
        <w:pStyle w:val="Heading2"/>
        <w:spacing w:after="80" w:before="280"/>
      </w:pPr>
      <w:r>
        <w:rPr>
          <w:rFonts w:ascii="Arial" w:cs="Arial" w:eastAsia="Arial" w:hAnsi="Arial"/>
          <w:b/>
          <w:bCs/>
          <w:color w:val="2E6DA4"/>
          <w:sz w:val="24"/>
          <w:szCs w:val="24"/>
        </w:rPr>
        <w:t xml:space="preserve">4.4 Rule Learning</w:t>
      </w:r>
    </w:p>
    <w:p>
      <w:pPr>
        <w:spacing w:after="80" w:before="60"/>
      </w:pPr>
      <w:r>
        <w:rPr>
          <w:rFonts w:ascii="Arial" w:cs="Arial" w:eastAsia="Arial" w:hAnsi="Arial"/>
          <w:color w:val="444444"/>
          <w:sz w:val="20"/>
          <w:szCs w:val="20"/>
        </w:rPr>
        <w:t xml:space="preserve">When a user overrides an AI allocation, the system asks: 'Apply this to all future transactions from this payee?' If confirmed, a rule is written to the rule library. Future transactions from the same payee are allocated by rule (confidence 100) rather than by AI inference, reducing the review burden over time.</w:t>
      </w:r>
    </w:p>
    <w:p>
      <w:pPr>
        <w:spacing w:after="80" w:before="60"/>
      </w:pPr>
      <w:r>
        <w:rPr>
          <w:rFonts w:ascii="Arial" w:cs="Arial" w:eastAsia="Arial" w:hAnsi="Arial"/>
          <w:color w:val="444444"/>
          <w:sz w:val="20"/>
          <w:szCs w:val="20"/>
        </w:rPr>
        <w:t xml:space="preserve">Rules are entity-specific by default. The user may optionally promote a rule to apply across all entities in the installation.</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4.5 VAT Allocation by AI Engine</w:t>
      </w:r>
    </w:p>
    <w:p>
      <w:pPr>
        <w:spacing w:after="80" w:before="60"/>
      </w:pPr>
      <w:r>
        <w:rPr>
          <w:rFonts w:ascii="Arial" w:cs="Arial" w:eastAsia="Arial" w:hAnsi="Arial"/>
          <w:color w:val="444444"/>
          <w:sz w:val="20"/>
          <w:szCs w:val="20"/>
        </w:rPr>
        <w:t xml:space="preserve">Alongside the CoA code, the AI engine assigns a VAT treatment to each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138"/>
      </w:tblGrid>
      <w:tr>
        <w:trPr>
          <w:tblHeader/>
        </w:trPr>
        <w:tc>
          <w:tcPr>
            <w:tcW w:type="dxa" w:w="25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VAT Treatment</w:t>
            </w:r>
          </w:p>
        </w:tc>
        <w:tc>
          <w:tcPr>
            <w:tcW w:type="dxa" w:w="10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61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When Assigned</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Standard Rate Input</w:t>
            </w:r>
          </w:p>
        </w:tc>
        <w:tc>
          <w:tcPr>
            <w:tcW w:type="dxa" w:w="1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SR-I</w:t>
            </w:r>
          </w:p>
        </w:tc>
        <w:tc>
          <w:tcPr>
            <w:tcW w:type="dxa" w:w="6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Purchase with 20% VAT — CoA code is a VAT-applicable expense</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Standard Rate Output</w:t>
            </w:r>
          </w:p>
        </w:tc>
        <w:tc>
          <w:tcPr>
            <w:tcW w:type="dxa" w:w="1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SR-O</w:t>
            </w:r>
          </w:p>
        </w:tc>
        <w:tc>
          <w:tcPr>
            <w:tcW w:type="dxa" w:w="6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Sale with 20% VAT — CoA code is a standard-rated income account</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Zero Rate</w:t>
            </w:r>
          </w:p>
        </w:tc>
        <w:tc>
          <w:tcPr>
            <w:tcW w:type="dxa" w:w="1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ZR</w:t>
            </w:r>
          </w:p>
        </w:tc>
        <w:tc>
          <w:tcPr>
            <w:tcW w:type="dxa" w:w="6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Purchase or sale at 0% VAT</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Exempt</w:t>
            </w:r>
          </w:p>
        </w:tc>
        <w:tc>
          <w:tcPr>
            <w:tcW w:type="dxa" w:w="1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EX</w:t>
            </w:r>
          </w:p>
        </w:tc>
        <w:tc>
          <w:tcPr>
            <w:tcW w:type="dxa" w:w="6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Insurance, finance charges, postage — no VAT reclaimable</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Outside Scope</w:t>
            </w:r>
          </w:p>
        </w:tc>
        <w:tc>
          <w:tcPr>
            <w:tcW w:type="dxa" w:w="1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OS</w:t>
            </w:r>
          </w:p>
        </w:tc>
        <w:tc>
          <w:tcPr>
            <w:tcW w:type="dxa" w:w="6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Payroll, HMRC payments, inter-entity transfers</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Flat Rate Override</w:t>
            </w:r>
          </w:p>
        </w:tc>
        <w:tc>
          <w:tcPr>
            <w:tcW w:type="dxa" w:w="1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FRO</w:t>
            </w:r>
          </w:p>
        </w:tc>
        <w:tc>
          <w:tcPr>
            <w:tcW w:type="dxa" w:w="6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Flat Rate scheme entity — output VAT calculated at entity flat rate, not per-transaction</w:t>
            </w:r>
          </w:p>
        </w:tc>
      </w:tr>
    </w:tbl>
    <w:p>
      <w:pPr>
        <w:spacing w:after="80" w:before="60"/>
      </w:pPr>
      <w:r>
        <w:rPr>
          <w:rFonts w:ascii="Arial" w:cs="Arial" w:eastAsia="Arial" w:hAnsi="Arial"/>
          <w:color w:val="444444"/>
          <w:sz w:val="20"/>
          <w:szCs w:val="20"/>
        </w:rPr>
        <w:t xml:space="preserve">The VAT treatment feeds directly into the VAT return calculation. If the user overrides a VAT code, the change is logged with a reason field — required for potential HMRC enquiry defence.</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4.6 AI Allocation — Technical Implementation</w:t>
      </w:r>
    </w:p>
    <w:p>
      <w:pPr>
        <w:spacing w:after="80" w:before="60"/>
      </w:pPr>
      <w:r>
        <w:rPr>
          <w:rFonts w:ascii="Arial" w:cs="Arial" w:eastAsia="Arial" w:hAnsi="Arial"/>
          <w:color w:val="444444"/>
          <w:sz w:val="20"/>
          <w:szCs w:val="20"/>
        </w:rPr>
        <w:t xml:space="preserve">In v1.1 the AI allocation engine is implemented as a local rule-based classifier with machine learning features derived from the transaction history within the installation. It does not call an external AI API and does not transmit transaction data to any third party.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tblHeader/>
        </w:trPr>
        <w:tc>
          <w:tcPr>
            <w:tcW w:type="dxa" w:w="24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4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Rule engine</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Python dict-based matcher</w:t>
            </w:r>
          </w:p>
        </w:tc>
        <w:tc>
          <w:tcPr>
            <w:tcW w:type="dxa" w:w="44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Exact and keyword rules from rule library — priority 1</w:t>
            </w:r>
          </w:p>
        </w:tc>
      </w:tr>
      <w:tr>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ML classifier</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scikit-learn TF-IDF + Logistic Regression</w:t>
            </w:r>
          </w:p>
        </w:tc>
        <w:tc>
          <w:tcPr>
            <w:tcW w:type="dxa" w:w="44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Trained on entity's own transaction history — priority 2</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Fallback heuristics</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Amount + type + credit/debit rules</w:t>
            </w:r>
          </w:p>
        </w:tc>
        <w:tc>
          <w:tcPr>
            <w:tcW w:type="dxa" w:w="44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Catches transactions with no prior history — priority 3</w:t>
            </w:r>
          </w:p>
        </w:tc>
      </w:tr>
      <w:tr>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Model persistence</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Pickled model per entity in encrypted SQLite</w:t>
            </w:r>
          </w:p>
        </w:tc>
        <w:tc>
          <w:tcPr>
            <w:tcW w:type="dxa" w:w="44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Model retrained automatically when rule library changes</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Confidence calibration</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Probability output from classifier</w:t>
            </w:r>
          </w:p>
        </w:tc>
        <w:tc>
          <w:tcPr>
            <w:tcW w:type="dxa" w:w="44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Maps to 0–100 score and routing bands above</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2E6DA4" w:sz="14"/>
              <w:left w:val="single" w:color="2E6DA4" w:sz="14"/>
              <w:bottom w:val="single" w:color="2E6DA4" w:sz="2"/>
              <w:right w:val="single" w:color="2E6DA4" w:sz="2"/>
            </w:tcBorders>
            <w:shd w:fill="EEF5FB" w:val="clear"/>
            <w:tcMar>
              <w:top w:type="dxa" w:w="120"/>
              <w:left w:type="dxa" w:w="180"/>
              <w:bottom w:type="dxa" w:w="120"/>
              <w:right w:type="dxa" w:w="180"/>
            </w:tcMar>
          </w:tcPr>
          <w:p>
            <w:pPr>
              <w:spacing w:after="80" w:before="0"/>
            </w:pPr>
            <w:r>
              <w:rPr>
                <w:rFonts w:ascii="Arial" w:cs="Arial" w:eastAsia="Arial" w:hAnsi="Arial"/>
                <w:b/>
                <w:bCs/>
                <w:color w:val="2E6DA4"/>
                <w:sz w:val="19"/>
                <w:szCs w:val="19"/>
              </w:rPr>
              <w:t xml:space="preserve">Future Upgrade Path</w:t>
            </w:r>
          </w:p>
          <w:p>
            <w:pPr>
              <w:spacing w:after="40" w:before="40"/>
            </w:pPr>
            <w:r>
              <w:rPr>
                <w:rFonts w:ascii="Arial" w:cs="Arial" w:eastAsia="Arial" w:hAnsi="Arial"/>
                <w:color w:val="444444"/>
                <w:sz w:val="18"/>
                <w:szCs w:val="18"/>
              </w:rPr>
              <w:t xml:space="preserve">A future v2 option will allow the user to route low-confidence transactions to a local LLM (e.g. Ollama) for richer description-based inference.</w:t>
            </w:r>
          </w:p>
          <w:p>
            <w:pPr>
              <w:spacing w:after="40" w:before="40"/>
            </w:pPr>
            <w:r>
              <w:rPr>
                <w:rFonts w:ascii="Arial" w:cs="Arial" w:eastAsia="Arial" w:hAnsi="Arial"/>
                <w:color w:val="444444"/>
                <w:sz w:val="18"/>
                <w:szCs w:val="18"/>
              </w:rPr>
              <w:t xml:space="preserve">This remains out of scope for v1.1. No external AI API will be used without explicit user consent and a clear data-sharing disclosure.</w:t>
            </w:r>
          </w:p>
        </w:tc>
      </w:tr>
    </w:tbl>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C87000"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5</w:t>
            </w:r>
          </w:p>
        </w:tc>
        <w:tc>
          <w:tcPr>
            <w:tcW w:type="dxa" w:w="8838"/>
            <w:tcBorders>
              <w:top w:val="none"/>
              <w:left w:val="none"/>
              <w:bottom w:val="none"/>
              <w:right w:val="none"/>
            </w:tcBorders>
            <w:shd w:fill="FEF3E2" w:val="clear"/>
            <w:tcMar>
              <w:top w:type="dxa" w:w="100"/>
              <w:left w:type="dxa" w:w="200"/>
              <w:bottom w:type="dxa" w:w="100"/>
              <w:right w:type="dxa" w:w="120"/>
            </w:tcMar>
          </w:tcPr>
          <w:p>
            <w:r>
              <w:rPr>
                <w:rFonts w:ascii="Arial" w:cs="Arial" w:eastAsia="Arial" w:hAnsi="Arial"/>
                <w:b/>
                <w:bCs/>
                <w:color w:val="C87000"/>
                <w:sz w:val="26"/>
                <w:szCs w:val="26"/>
              </w:rPr>
              <w:t xml:space="preserve">Staged Owner Approval Workflow</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5.1 Philosophy</w:t>
      </w:r>
    </w:p>
    <w:p>
      <w:pPr>
        <w:spacing w:after="80" w:before="60"/>
      </w:pPr>
      <w:r>
        <w:rPr>
          <w:rFonts w:ascii="Arial" w:cs="Arial" w:eastAsia="Arial" w:hAnsi="Arial"/>
          <w:color w:val="444444"/>
          <w:sz w:val="20"/>
          <w:szCs w:val="20"/>
        </w:rPr>
        <w:t xml:space="preserve">The approval workflow is the control layer between raw data and committed accounts. It ensures the business owner — not the software — makes every consequential accounting decision. No transaction reaches the General Ledger, no VAT return is exported, and no year-end is locked without the owner's explicit sign-off at each stage.</w:t>
      </w:r>
    </w:p>
    <w:p>
      <w:pPr>
        <w:spacing w:after="80" w:before="60"/>
      </w:pPr>
      <w:r>
        <w:rPr>
          <w:rFonts w:ascii="Arial" w:cs="Arial" w:eastAsia="Arial" w:hAnsi="Arial"/>
          <w:color w:val="444444"/>
          <w:sz w:val="20"/>
          <w:szCs w:val="20"/>
        </w:rPr>
        <w:t xml:space="preserve">The four approval checkpoints map to the four natural accounting milestones: allocation, period close, VAT return, and final accounts.</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5.2 The Four Approval Checkpoints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600"/>
        <w:gridCol w:w="2200"/>
        <w:gridCol w:w="1538"/>
      </w:tblGrid>
      <w:tr>
        <w:trPr>
          <w:tblHeader/>
        </w:trPr>
        <w:tc>
          <w:tcPr>
            <w:tcW w:type="dxa" w:w="500"/>
            <w:tcBorders>
              <w:top w:val="single" w:color="BBCFE0" w:sz="1"/>
              <w:left w:val="single" w:color="BBCFE0" w:sz="1"/>
              <w:bottom w:val="single" w:color="BBCFE0" w:sz="1"/>
              <w:right w:val="single" w:color="BBCFE0"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BBCFE0" w:sz="1"/>
              <w:left w:val="single" w:color="BBCFE0" w:sz="1"/>
              <w:bottom w:val="single" w:color="BBCFE0" w:sz="1"/>
              <w:right w:val="single" w:color="BBCFE0"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000"/>
            <w:tcBorders>
              <w:top w:val="single" w:color="BBCFE0" w:sz="1"/>
              <w:left w:val="single" w:color="BBCFE0" w:sz="1"/>
              <w:bottom w:val="single" w:color="BBCFE0" w:sz="1"/>
              <w:right w:val="single" w:color="BBCFE0"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600"/>
            <w:tcBorders>
              <w:top w:val="single" w:color="BBCFE0" w:sz="1"/>
              <w:left w:val="single" w:color="BBCFE0" w:sz="1"/>
              <w:bottom w:val="single" w:color="BBCFE0" w:sz="1"/>
              <w:right w:val="single" w:color="BBCFE0"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Approver</w:t>
            </w:r>
          </w:p>
        </w:tc>
        <w:tc>
          <w:tcPr>
            <w:tcW w:type="dxa" w:w="2200"/>
            <w:tcBorders>
              <w:top w:val="single" w:color="BBCFE0" w:sz="1"/>
              <w:left w:val="single" w:color="BBCFE0" w:sz="1"/>
              <w:bottom w:val="single" w:color="BBCFE0" w:sz="1"/>
              <w:right w:val="single" w:color="BBCFE0"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Approve Action</w:t>
            </w:r>
          </w:p>
        </w:tc>
        <w:tc>
          <w:tcPr>
            <w:tcW w:type="dxa" w:w="1538"/>
            <w:tcBorders>
              <w:top w:val="single" w:color="BBCFE0" w:sz="1"/>
              <w:left w:val="single" w:color="BBCFE0" w:sz="1"/>
              <w:bottom w:val="single" w:color="BBCFE0" w:sz="1"/>
              <w:right w:val="single" w:color="BBCFE0"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Lock Effect</w:t>
            </w:r>
          </w:p>
        </w:tc>
      </w:tr>
      <w:tr>
        <w:tc>
          <w:tcPr>
            <w:tcW w:type="dxa" w:w="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1</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Transaction Allocation Review</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After each import / sync batch</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Company owner (per profile)</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Approve batch (high confidence) or review individually (medium/low)</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Approved transactions move from staging to GL. Rejected transactions stay in queue.</w:t>
            </w:r>
          </w:p>
        </w:tc>
      </w:tr>
      <w:tr>
        <w:tc>
          <w:tcPr>
            <w:tcW w:type="dxa" w:w="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2</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Trial Balance Sign-Off</w:t>
            </w:r>
          </w:p>
        </w:tc>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Before year-end lock is requested</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Company owner (per profile)</w:t>
            </w:r>
          </w:p>
        </w:tc>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Review TB for each entity. Confirm balances are correct.</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TB approval gates the year-end lock. Cannot proceed without it.</w:t>
            </w:r>
          </w:p>
        </w:tc>
      </w:tr>
      <w:tr>
        <w:tc>
          <w:tcPr>
            <w:tcW w:type="dxa" w:w="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3</w:t>
            </w:r>
          </w:p>
        </w:tc>
        <w:tc>
          <w:tcPr>
            <w:tcW w:type="dxa" w:w="1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 Return Approval</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At end of each VAT quarter</w:t>
            </w:r>
          </w:p>
        </w:tc>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Company owner (per profile)</w:t>
            </w:r>
          </w:p>
        </w:tc>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Review Box 1–9 summary. Confirm figures match expectation.</w:t>
            </w:r>
          </w:p>
        </w:tc>
        <w:tc>
          <w:tcPr>
            <w:tcW w:type="dxa" w:w="15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Approved VAT return is exported as PDF + CSV. Return is marked filed-pending.</w:t>
            </w:r>
          </w:p>
        </w:tc>
      </w:tr>
      <w:tr>
        <w:tc>
          <w:tcPr>
            <w:tcW w:type="dxa" w:w="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4</w:t>
            </w:r>
          </w:p>
        </w:tc>
        <w:tc>
          <w:tcPr>
            <w:tcW w:type="dxa" w:w="1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Final Accounts Sign-Off</w:t>
            </w:r>
          </w:p>
        </w:tc>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After year-end lock, before PDF generation</w:t>
            </w:r>
          </w:p>
        </w:tc>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Company owner (per profile)</w:t>
            </w:r>
          </w:p>
        </w:tc>
        <w:tc>
          <w:tcPr>
            <w:tcW w:type="dxa" w:w="22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Review P&amp;L and Balance Sheet. Confirm year-end figures.</w:t>
            </w:r>
          </w:p>
        </w:tc>
        <w:tc>
          <w:tcPr>
            <w:tcW w:type="dxa" w:w="15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Final accounts PDF is generated with approval timestamp and approver name embedded.</w:t>
            </w:r>
          </w:p>
        </w:tc>
      </w:tr>
    </w:tbl>
    <w:p>
      <w:pPr>
        <w:spacing w:after="0" w:before="100"/>
      </w:pPr>
      <w:r>
        <w:t xml:space="preserve"/>
      </w:r>
    </w:p>
    <w:p>
      <w:pPr>
        <w:pStyle w:val="Heading2"/>
        <w:spacing w:after="80" w:before="280"/>
      </w:pPr>
      <w:r>
        <w:rPr>
          <w:rFonts w:ascii="Arial" w:cs="Arial" w:eastAsia="Arial" w:hAnsi="Arial"/>
          <w:b/>
          <w:bCs/>
          <w:color w:val="2E6DA4"/>
          <w:sz w:val="24"/>
          <w:szCs w:val="24"/>
        </w:rPr>
        <w:t xml:space="preserve">5.3 Approval Record</w:t>
      </w:r>
    </w:p>
    <w:p>
      <w:pPr>
        <w:spacing w:after="80" w:before="60"/>
      </w:pPr>
      <w:r>
        <w:rPr>
          <w:rFonts w:ascii="Arial" w:cs="Arial" w:eastAsia="Arial" w:hAnsi="Arial"/>
          <w:color w:val="444444"/>
          <w:sz w:val="20"/>
          <w:szCs w:val="20"/>
        </w:rPr>
        <w:t xml:space="preserve">Every approval action is recorded in the approvals table with the following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1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approval_id</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System UUID</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entity_id</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Which company profile this approval relates to</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checkpoint</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1 / 2 / 3 / 4 — maps to the four checkpoints above</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period</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Financial year or VAT quarter the approval covers</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approver_name</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Pulled from Company Profile — Approval Authority Name</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approver_role</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Pulled from Company Profile — Approval Authority Role</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timestamp</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Date and time of approval action</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action</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APPROVED / REJECTED / OVERRIDDEN</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notes</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Free text — user may add a comment, especially for overrides</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document_hash</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SHA-256 hash of the document (TB, VAT summary, or P&amp;L/BS) at point of approval — tamper evidence</w:t>
            </w:r>
          </w:p>
        </w:tc>
      </w:tr>
    </w:tbl>
    <w:p>
      <w:pPr>
        <w:spacing w:after="0" w:before="100"/>
      </w:pPr>
      <w:r>
        <w:t xml:space="preserve"/>
      </w:r>
    </w:p>
    <w:p>
      <w:pPr>
        <w:pStyle w:val="Heading2"/>
        <w:spacing w:after="80" w:before="280"/>
      </w:pPr>
      <w:r>
        <w:rPr>
          <w:rFonts w:ascii="Arial" w:cs="Arial" w:eastAsia="Arial" w:hAnsi="Arial"/>
          <w:b/>
          <w:bCs/>
          <w:color w:val="2E6DA4"/>
          <w:sz w:val="24"/>
          <w:szCs w:val="24"/>
        </w:rPr>
        <w:t xml:space="preserve">5.4 Approval UI Flow — Checkpoint 1 (Transaction Allocation Review)</w:t>
      </w:r>
    </w:p>
    <w:p>
      <w:pPr>
        <w:pStyle w:val="ListParagraph"/>
        <w:numPr>
          <w:ilvl w:val="0"/>
          <w:numId w:val="2"/>
        </w:numPr>
        <w:spacing w:after="40" w:before="40"/>
      </w:pPr>
      <w:r>
        <w:rPr>
          <w:rFonts w:ascii="Arial" w:cs="Arial" w:eastAsia="Arial" w:hAnsi="Arial"/>
          <w:color w:val="444444"/>
          <w:sz w:val="20"/>
          <w:szCs w:val="20"/>
        </w:rPr>
        <w:t xml:space="preserve">After import or sync, the staging queue is displayed grouped by confidence band</w:t>
      </w:r>
    </w:p>
    <w:p>
      <w:pPr>
        <w:pStyle w:val="ListParagraph"/>
        <w:numPr>
          <w:ilvl w:val="0"/>
          <w:numId w:val="2"/>
        </w:numPr>
        <w:spacing w:after="40" w:before="40"/>
      </w:pPr>
      <w:r>
        <w:rPr>
          <w:rFonts w:ascii="Arial" w:cs="Arial" w:eastAsia="Arial" w:hAnsi="Arial"/>
          <w:color w:val="444444"/>
          <w:sz w:val="20"/>
          <w:szCs w:val="20"/>
        </w:rPr>
        <w:t xml:space="preserve">Green band (90–100): shown as a summary — 'n transactions allocated to [account], total £x.xx — Approve All or Review'</w:t>
      </w:r>
    </w:p>
    <w:p>
      <w:pPr>
        <w:pStyle w:val="ListParagraph"/>
        <w:numPr>
          <w:ilvl w:val="0"/>
          <w:numId w:val="2"/>
        </w:numPr>
        <w:spacing w:after="40" w:before="40"/>
      </w:pPr>
      <w:r>
        <w:rPr>
          <w:rFonts w:ascii="Arial" w:cs="Arial" w:eastAsia="Arial" w:hAnsi="Arial"/>
          <w:color w:val="444444"/>
          <w:sz w:val="20"/>
          <w:szCs w:val="20"/>
        </w:rPr>
        <w:t xml:space="preserve">Amber band (70–89): each transaction shown individually with AI-suggested code — user clicks Confirm or Override</w:t>
      </w:r>
    </w:p>
    <w:p>
      <w:pPr>
        <w:pStyle w:val="ListParagraph"/>
        <w:numPr>
          <w:ilvl w:val="0"/>
          <w:numId w:val="2"/>
        </w:numPr>
        <w:spacing w:after="40" w:before="40"/>
      </w:pPr>
      <w:r>
        <w:rPr>
          <w:rFonts w:ascii="Arial" w:cs="Arial" w:eastAsia="Arial" w:hAnsi="Arial"/>
          <w:color w:val="444444"/>
          <w:sz w:val="20"/>
          <w:szCs w:val="20"/>
        </w:rPr>
        <w:t xml:space="preserve">Orange band (50–69): user must select CoA code from dropdown before Confirm is available</w:t>
      </w:r>
    </w:p>
    <w:p>
      <w:pPr>
        <w:pStyle w:val="ListParagraph"/>
        <w:numPr>
          <w:ilvl w:val="0"/>
          <w:numId w:val="2"/>
        </w:numPr>
        <w:spacing w:after="40" w:before="40"/>
      </w:pPr>
      <w:r>
        <w:rPr>
          <w:rFonts w:ascii="Arial" w:cs="Arial" w:eastAsia="Arial" w:hAnsi="Arial"/>
          <w:color w:val="444444"/>
          <w:sz w:val="20"/>
          <w:szCs w:val="20"/>
        </w:rPr>
        <w:t xml:space="preserve">Red band (0–49): user must select CoA code and VAT treatment before Confirm is available</w:t>
      </w:r>
    </w:p>
    <w:p>
      <w:pPr>
        <w:pStyle w:val="ListParagraph"/>
        <w:numPr>
          <w:ilvl w:val="0"/>
          <w:numId w:val="2"/>
        </w:numPr>
        <w:spacing w:after="40" w:before="40"/>
      </w:pPr>
      <w:r>
        <w:rPr>
          <w:rFonts w:ascii="Arial" w:cs="Arial" w:eastAsia="Arial" w:hAnsi="Arial"/>
          <w:color w:val="444444"/>
          <w:sz w:val="20"/>
          <w:szCs w:val="20"/>
        </w:rPr>
        <w:t xml:space="preserve">Once all transactions in the queue are actioned, user clicks 'Commit to GL' — this triggers the Checkpoint 1 approval record</w:t>
      </w:r>
    </w:p>
    <w:p>
      <w:pPr>
        <w:pStyle w:val="ListParagraph"/>
        <w:numPr>
          <w:ilvl w:val="0"/>
          <w:numId w:val="2"/>
        </w:numPr>
        <w:spacing w:after="40" w:before="40"/>
      </w:pPr>
      <w:r>
        <w:rPr>
          <w:rFonts w:ascii="Arial" w:cs="Arial" w:eastAsia="Arial" w:hAnsi="Arial"/>
          <w:color w:val="444444"/>
          <w:sz w:val="20"/>
          <w:szCs w:val="20"/>
        </w:rPr>
        <w:t xml:space="preserve">Committed transactions are moved from staging to the General Ledger and are no longer editable except via journal correction</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5.5 Approval UI Flow — Checkpoint 2 (Trial Balance)</w:t>
      </w:r>
    </w:p>
    <w:p>
      <w:pPr>
        <w:pStyle w:val="ListParagraph"/>
        <w:numPr>
          <w:ilvl w:val="0"/>
          <w:numId w:val="2"/>
        </w:numPr>
        <w:spacing w:after="40" w:before="40"/>
      </w:pPr>
      <w:r>
        <w:rPr>
          <w:rFonts w:ascii="Arial" w:cs="Arial" w:eastAsia="Arial" w:hAnsi="Arial"/>
          <w:color w:val="444444"/>
          <w:sz w:val="20"/>
          <w:szCs w:val="20"/>
        </w:rPr>
        <w:t xml:space="preserve">User navigates to year-end workflow and selects 'Review Trial Balance'</w:t>
      </w:r>
    </w:p>
    <w:p>
      <w:pPr>
        <w:pStyle w:val="ListParagraph"/>
        <w:numPr>
          <w:ilvl w:val="0"/>
          <w:numId w:val="2"/>
        </w:numPr>
        <w:spacing w:after="40" w:before="40"/>
      </w:pPr>
      <w:r>
        <w:rPr>
          <w:rFonts w:ascii="Arial" w:cs="Arial" w:eastAsia="Arial" w:hAnsi="Arial"/>
          <w:color w:val="444444"/>
          <w:sz w:val="20"/>
          <w:szCs w:val="20"/>
        </w:rPr>
        <w:t xml:space="preserve">TB is displayed per entity, showing debit and debit totals with difference (must be zero to proceed)</w:t>
      </w:r>
    </w:p>
    <w:p>
      <w:pPr>
        <w:pStyle w:val="ListParagraph"/>
        <w:numPr>
          <w:ilvl w:val="0"/>
          <w:numId w:val="2"/>
        </w:numPr>
        <w:spacing w:after="40" w:before="40"/>
      </w:pPr>
      <w:r>
        <w:rPr>
          <w:rFonts w:ascii="Arial" w:cs="Arial" w:eastAsia="Arial" w:hAnsi="Arial"/>
          <w:color w:val="444444"/>
          <w:sz w:val="20"/>
          <w:szCs w:val="20"/>
        </w:rPr>
        <w:t xml:space="preserve">User reviews each balance — may drill down to underlying transactions</w:t>
      </w:r>
    </w:p>
    <w:p>
      <w:pPr>
        <w:pStyle w:val="ListParagraph"/>
        <w:numPr>
          <w:ilvl w:val="0"/>
          <w:numId w:val="2"/>
        </w:numPr>
        <w:spacing w:after="40" w:before="40"/>
      </w:pPr>
      <w:r>
        <w:rPr>
          <w:rFonts w:ascii="Arial" w:cs="Arial" w:eastAsia="Arial" w:hAnsi="Arial"/>
          <w:color w:val="444444"/>
          <w:sz w:val="20"/>
          <w:szCs w:val="20"/>
        </w:rPr>
        <w:t xml:space="preserve">User enters any correcting journals if needed (which re-enter the Checkpoint 1 queue)</w:t>
      </w:r>
    </w:p>
    <w:p>
      <w:pPr>
        <w:pStyle w:val="ListParagraph"/>
        <w:numPr>
          <w:ilvl w:val="0"/>
          <w:numId w:val="2"/>
        </w:numPr>
        <w:spacing w:after="40" w:before="40"/>
      </w:pPr>
      <w:r>
        <w:rPr>
          <w:rFonts w:ascii="Arial" w:cs="Arial" w:eastAsia="Arial" w:hAnsi="Arial"/>
          <w:color w:val="444444"/>
          <w:sz w:val="20"/>
          <w:szCs w:val="20"/>
        </w:rPr>
        <w:t xml:space="preserve">When satisfied, user clicks 'Approve Trial Balance' — triggers Checkpoint 2 approval record</w:t>
      </w:r>
    </w:p>
    <w:p>
      <w:pPr>
        <w:pStyle w:val="ListParagraph"/>
        <w:numPr>
          <w:ilvl w:val="0"/>
          <w:numId w:val="2"/>
        </w:numPr>
        <w:spacing w:after="40" w:before="40"/>
      </w:pPr>
      <w:r>
        <w:rPr>
          <w:rFonts w:ascii="Arial" w:cs="Arial" w:eastAsia="Arial" w:hAnsi="Arial"/>
          <w:color w:val="444444"/>
          <w:sz w:val="20"/>
          <w:szCs w:val="20"/>
        </w:rPr>
        <w:t xml:space="preserve">TB is locked — no further journal postings to the period are permitted after this point</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5.6 Approval UI Flow — Checkpoint 3 (VAT Return)</w:t>
      </w:r>
    </w:p>
    <w:p>
      <w:pPr>
        <w:pStyle w:val="ListParagraph"/>
        <w:numPr>
          <w:ilvl w:val="0"/>
          <w:numId w:val="2"/>
        </w:numPr>
        <w:spacing w:after="40" w:before="40"/>
      </w:pPr>
      <w:r>
        <w:rPr>
          <w:rFonts w:ascii="Arial" w:cs="Arial" w:eastAsia="Arial" w:hAnsi="Arial"/>
          <w:color w:val="444444"/>
          <w:sz w:val="20"/>
          <w:szCs w:val="20"/>
        </w:rPr>
        <w:t xml:space="preserve">At VAT quarter end, system calculates Box 1–9 values per the entity's VAT scheme</w:t>
      </w:r>
    </w:p>
    <w:p>
      <w:pPr>
        <w:pStyle w:val="ListParagraph"/>
        <w:numPr>
          <w:ilvl w:val="0"/>
          <w:numId w:val="2"/>
        </w:numPr>
        <w:spacing w:after="40" w:before="40"/>
      </w:pPr>
      <w:r>
        <w:rPr>
          <w:rFonts w:ascii="Arial" w:cs="Arial" w:eastAsia="Arial" w:hAnsi="Arial"/>
          <w:color w:val="444444"/>
          <w:sz w:val="20"/>
          <w:szCs w:val="20"/>
        </w:rPr>
        <w:t xml:space="preserve">VAT return summary is presented with transaction-level drill-down available for each box</w:t>
      </w:r>
    </w:p>
    <w:p>
      <w:pPr>
        <w:pStyle w:val="ListParagraph"/>
        <w:numPr>
          <w:ilvl w:val="0"/>
          <w:numId w:val="2"/>
        </w:numPr>
        <w:spacing w:after="40" w:before="40"/>
      </w:pPr>
      <w:r>
        <w:rPr>
          <w:rFonts w:ascii="Arial" w:cs="Arial" w:eastAsia="Arial" w:hAnsi="Arial"/>
          <w:color w:val="444444"/>
          <w:sz w:val="20"/>
          <w:szCs w:val="20"/>
        </w:rPr>
        <w:t xml:space="preserve">User reviews and clicks 'Approve VAT Return' — triggers Checkpoint 3 approval record</w:t>
      </w:r>
    </w:p>
    <w:p>
      <w:pPr>
        <w:pStyle w:val="ListParagraph"/>
        <w:numPr>
          <w:ilvl w:val="0"/>
          <w:numId w:val="2"/>
        </w:numPr>
        <w:spacing w:after="40" w:before="40"/>
      </w:pPr>
      <w:r>
        <w:rPr>
          <w:rFonts w:ascii="Arial" w:cs="Arial" w:eastAsia="Arial" w:hAnsi="Arial"/>
          <w:color w:val="444444"/>
          <w:sz w:val="20"/>
          <w:szCs w:val="20"/>
        </w:rPr>
        <w:t xml:space="preserve">VAT return PDF and CSV are generated with approval timestamp embedded</w:t>
      </w:r>
    </w:p>
    <w:p>
      <w:pPr>
        <w:pStyle w:val="ListParagraph"/>
        <w:numPr>
          <w:ilvl w:val="0"/>
          <w:numId w:val="2"/>
        </w:numPr>
        <w:spacing w:after="40" w:before="40"/>
      </w:pPr>
      <w:r>
        <w:rPr>
          <w:rFonts w:ascii="Arial" w:cs="Arial" w:eastAsia="Arial" w:hAnsi="Arial"/>
          <w:color w:val="444444"/>
          <w:sz w:val="20"/>
          <w:szCs w:val="20"/>
        </w:rPr>
        <w:t xml:space="preserve">Return is marked 'Approved — Pending Portal Submission' in the entity status panel</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5.7 Approval UI Flow — Checkpoint 4 (Final Accounts)</w:t>
      </w:r>
    </w:p>
    <w:p>
      <w:pPr>
        <w:pStyle w:val="ListParagraph"/>
        <w:numPr>
          <w:ilvl w:val="0"/>
          <w:numId w:val="2"/>
        </w:numPr>
        <w:spacing w:after="40" w:before="40"/>
      </w:pPr>
      <w:r>
        <w:rPr>
          <w:rFonts w:ascii="Arial" w:cs="Arial" w:eastAsia="Arial" w:hAnsi="Arial"/>
          <w:color w:val="444444"/>
          <w:sz w:val="20"/>
          <w:szCs w:val="20"/>
        </w:rPr>
        <w:t xml:space="preserve">After TB approval (Checkpoint 2), year-end lock is executed automatically</w:t>
      </w:r>
    </w:p>
    <w:p>
      <w:pPr>
        <w:pStyle w:val="ListParagraph"/>
        <w:numPr>
          <w:ilvl w:val="0"/>
          <w:numId w:val="2"/>
        </w:numPr>
        <w:spacing w:after="40" w:before="40"/>
      </w:pPr>
      <w:r>
        <w:rPr>
          <w:rFonts w:ascii="Arial" w:cs="Arial" w:eastAsia="Arial" w:hAnsi="Arial"/>
          <w:color w:val="444444"/>
          <w:sz w:val="20"/>
          <w:szCs w:val="20"/>
        </w:rPr>
        <w:t xml:space="preserve">System generates draft P&amp;L for the period and draft Balance Sheet as at year-end date</w:t>
      </w:r>
    </w:p>
    <w:p>
      <w:pPr>
        <w:pStyle w:val="ListParagraph"/>
        <w:numPr>
          <w:ilvl w:val="0"/>
          <w:numId w:val="2"/>
        </w:numPr>
        <w:spacing w:after="40" w:before="40"/>
      </w:pPr>
      <w:r>
        <w:rPr>
          <w:rFonts w:ascii="Arial" w:cs="Arial" w:eastAsia="Arial" w:hAnsi="Arial"/>
          <w:color w:val="444444"/>
          <w:sz w:val="20"/>
          <w:szCs w:val="20"/>
        </w:rPr>
        <w:t xml:space="preserve">User reviews both statements — may add a management notes field</w:t>
      </w:r>
    </w:p>
    <w:p>
      <w:pPr>
        <w:pStyle w:val="ListParagraph"/>
        <w:numPr>
          <w:ilvl w:val="0"/>
          <w:numId w:val="2"/>
        </w:numPr>
        <w:spacing w:after="40" w:before="40"/>
      </w:pPr>
      <w:r>
        <w:rPr>
          <w:rFonts w:ascii="Arial" w:cs="Arial" w:eastAsia="Arial" w:hAnsi="Arial"/>
          <w:color w:val="444444"/>
          <w:sz w:val="20"/>
          <w:szCs w:val="20"/>
        </w:rPr>
        <w:t xml:space="preserve">User clicks 'Approve Final Accounts' — triggers Checkpoint 4 approval record</w:t>
      </w:r>
    </w:p>
    <w:p>
      <w:pPr>
        <w:pStyle w:val="ListParagraph"/>
        <w:numPr>
          <w:ilvl w:val="0"/>
          <w:numId w:val="2"/>
        </w:numPr>
        <w:spacing w:after="40" w:before="40"/>
      </w:pPr>
      <w:r>
        <w:rPr>
          <w:rFonts w:ascii="Arial" w:cs="Arial" w:eastAsia="Arial" w:hAnsi="Arial"/>
          <w:color w:val="444444"/>
          <w:sz w:val="20"/>
          <w:szCs w:val="20"/>
        </w:rPr>
        <w:t xml:space="preserve">Final accounts PDF is generated with approver name, role, and timestamp on the cover page</w:t>
      </w:r>
    </w:p>
    <w:p>
      <w:pPr>
        <w:pStyle w:val="ListParagraph"/>
        <w:numPr>
          <w:ilvl w:val="0"/>
          <w:numId w:val="2"/>
        </w:numPr>
        <w:spacing w:after="40" w:before="40"/>
      </w:pPr>
      <w:r>
        <w:rPr>
          <w:rFonts w:ascii="Arial" w:cs="Arial" w:eastAsia="Arial" w:hAnsi="Arial"/>
          <w:color w:val="444444"/>
          <w:sz w:val="20"/>
          <w:szCs w:val="20"/>
        </w:rPr>
        <w:t xml:space="preserve">The period is marked CLOSED. No further changes are possible to that financial year.</w:t>
      </w:r>
    </w:p>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6</w:t>
            </w:r>
          </w:p>
        </w:tc>
        <w:tc>
          <w:tcPr>
            <w:tcW w:type="dxa" w:w="8838"/>
            <w:tcBorders>
              <w:top w:val="none"/>
              <w:left w:val="none"/>
              <w:bottom w:val="none"/>
              <w:right w:val="none"/>
            </w:tcBorders>
            <w:shd w:fill="EEF5FB" w:val="clear"/>
            <w:tcMar>
              <w:top w:type="dxa" w:w="100"/>
              <w:left w:type="dxa" w:w="200"/>
              <w:bottom w:type="dxa" w:w="100"/>
              <w:right w:type="dxa" w:w="120"/>
            </w:tcMar>
          </w:tcPr>
          <w:p>
            <w:r>
              <w:rPr>
                <w:rFonts w:ascii="Arial" w:cs="Arial" w:eastAsia="Arial" w:hAnsi="Arial"/>
                <w:b/>
                <w:bCs/>
                <w:color w:val="1B3A5C"/>
                <w:sz w:val="26"/>
                <w:szCs w:val="26"/>
              </w:rPr>
              <w:t xml:space="preserve">General Ledger, Trial Balance and Final Accounts</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6.1 General Ledger (GL)</w:t>
      </w:r>
    </w:p>
    <w:p>
      <w:pPr>
        <w:spacing w:after="80" w:before="60"/>
      </w:pPr>
      <w:r>
        <w:rPr>
          <w:rFonts w:ascii="Arial" w:cs="Arial" w:eastAsia="Arial" w:hAnsi="Arial"/>
          <w:color w:val="444444"/>
          <w:sz w:val="20"/>
          <w:szCs w:val="20"/>
        </w:rPr>
        <w:t xml:space="preserve">The General Ledger is the complete record of all committed financial transactions for an entity, organised by CoA account code. A transaction enters the GL only after passing Checkpoint 1 approval. Once in the GL, a transaction can only be corrected via a new journal entry — it cannot be edited or deleted.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GL Record Field</w:t>
            </w:r>
          </w:p>
        </w:tc>
        <w:tc>
          <w:tcPr>
            <w:tcW w:type="dxa" w:w="71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gl_id</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System UUID</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entity_id</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Company profile reference</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account_code</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CoA account code assigned by AI engine and confirmed by user</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date</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Transaction date (bank date or journal date)</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description</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Payee / description from source, plus any user annotation</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Debit amount (GBP)</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Credit amount (GBP)</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vat_code</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 treatment code (SR-I, SR-O, ZR, EX, OS, FRO)</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vat_amount</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 element of the transaction</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source</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CSV_IMPORT / OB_SYNC / MANUAL_ENTRY / JOURNAL</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batch_id</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Links to the import/sync batch — for traceability</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approval_id</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Links to the Checkpoint 1 approval record</w:t>
            </w:r>
          </w:p>
        </w:tc>
      </w:tr>
      <w:tr>
        <w:tc>
          <w:tcPr>
            <w:tcW w:type="dxa" w:w="25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period</w:t>
            </w:r>
          </w:p>
        </w:tc>
        <w:tc>
          <w:tcPr>
            <w:tcW w:type="dxa" w:w="71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YYYY-MM financial period — used for TB and VAT calculations</w:t>
            </w:r>
          </w:p>
        </w:tc>
      </w:tr>
      <w:tr>
        <w:tc>
          <w:tcPr>
            <w:tcW w:type="dxa" w:w="25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locked</w:t>
            </w:r>
          </w:p>
        </w:tc>
        <w:tc>
          <w:tcPr>
            <w:tcW w:type="dxa" w:w="71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Boolean — true once TB approval (Checkpoint 2) is complete</w:t>
            </w:r>
          </w:p>
        </w:tc>
      </w:tr>
    </w:tbl>
    <w:p>
      <w:pPr>
        <w:spacing w:after="0" w:before="100"/>
      </w:pPr>
      <w:r>
        <w:t xml:space="preserve"/>
      </w:r>
    </w:p>
    <w:p>
      <w:pPr>
        <w:pStyle w:val="Heading2"/>
        <w:spacing w:after="80" w:before="280"/>
      </w:pPr>
      <w:r>
        <w:rPr>
          <w:rFonts w:ascii="Arial" w:cs="Arial" w:eastAsia="Arial" w:hAnsi="Arial"/>
          <w:b/>
          <w:bCs/>
          <w:color w:val="2E6DA4"/>
          <w:sz w:val="24"/>
          <w:szCs w:val="24"/>
        </w:rPr>
        <w:t xml:space="preserve">6.2 Journal Corrections</w:t>
      </w:r>
    </w:p>
    <w:p>
      <w:pPr>
        <w:spacing w:after="80" w:before="60"/>
      </w:pPr>
      <w:r>
        <w:rPr>
          <w:rFonts w:ascii="Arial" w:cs="Arial" w:eastAsia="Arial" w:hAnsi="Arial"/>
          <w:color w:val="444444"/>
          <w:sz w:val="20"/>
          <w:szCs w:val="20"/>
        </w:rPr>
        <w:t xml:space="preserve">If an error is found after GL posting, the user raises a correcting journal. The journal must specify:</w:t>
      </w:r>
    </w:p>
    <w:p>
      <w:pPr>
        <w:pStyle w:val="ListParagraph"/>
        <w:numPr>
          <w:ilvl w:val="0"/>
          <w:numId w:val="2"/>
        </w:numPr>
        <w:spacing w:after="40" w:before="40"/>
      </w:pPr>
      <w:r>
        <w:rPr>
          <w:rFonts w:ascii="Arial" w:cs="Arial" w:eastAsia="Arial" w:hAnsi="Arial"/>
          <w:color w:val="444444"/>
          <w:sz w:val="20"/>
          <w:szCs w:val="20"/>
        </w:rPr>
        <w:t xml:space="preserve">The original GL entry being corrected (by gl_id)</w:t>
      </w:r>
    </w:p>
    <w:p>
      <w:pPr>
        <w:pStyle w:val="ListParagraph"/>
        <w:numPr>
          <w:ilvl w:val="0"/>
          <w:numId w:val="2"/>
        </w:numPr>
        <w:spacing w:after="40" w:before="40"/>
      </w:pPr>
      <w:r>
        <w:rPr>
          <w:rFonts w:ascii="Arial" w:cs="Arial" w:eastAsia="Arial" w:hAnsi="Arial"/>
          <w:color w:val="444444"/>
          <w:sz w:val="20"/>
          <w:szCs w:val="20"/>
        </w:rPr>
        <w:t xml:space="preserve">The correcting debit and credit entries</w:t>
      </w:r>
    </w:p>
    <w:p>
      <w:pPr>
        <w:pStyle w:val="ListParagraph"/>
        <w:numPr>
          <w:ilvl w:val="0"/>
          <w:numId w:val="2"/>
        </w:numPr>
        <w:spacing w:after="40" w:before="40"/>
      </w:pPr>
      <w:r>
        <w:rPr>
          <w:rFonts w:ascii="Arial" w:cs="Arial" w:eastAsia="Arial" w:hAnsi="Arial"/>
          <w:color w:val="444444"/>
          <w:sz w:val="20"/>
          <w:szCs w:val="20"/>
        </w:rPr>
        <w:t xml:space="preserve">A mandatory reason / narrative field</w:t>
      </w:r>
    </w:p>
    <w:p>
      <w:pPr>
        <w:pStyle w:val="ListParagraph"/>
        <w:numPr>
          <w:ilvl w:val="0"/>
          <w:numId w:val="2"/>
        </w:numPr>
        <w:spacing w:after="40" w:before="40"/>
      </w:pPr>
      <w:r>
        <w:rPr>
          <w:rFonts w:ascii="Arial" w:cs="Arial" w:eastAsia="Arial" w:hAnsi="Arial"/>
          <w:color w:val="444444"/>
          <w:sz w:val="20"/>
          <w:szCs w:val="20"/>
        </w:rPr>
        <w:t xml:space="preserve">The period the correction applies to</w:t>
      </w:r>
    </w:p>
    <w:p>
      <w:pPr>
        <w:spacing w:after="80" w:before="60"/>
      </w:pPr>
      <w:r>
        <w:rPr>
          <w:rFonts w:ascii="Arial" w:cs="Arial" w:eastAsia="Arial" w:hAnsi="Arial"/>
          <w:color w:val="444444"/>
          <w:sz w:val="20"/>
          <w:szCs w:val="20"/>
        </w:rPr>
        <w:t xml:space="preserve">Correcting journals re-enter Checkpoint 1 for approval before being posted to the GL. If the period has been TB-approved (Checkpoint 2), the user is warned that a TB re-approval will be required after the correction.</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6.3 Trial Balance</w:t>
      </w:r>
    </w:p>
    <w:p>
      <w:pPr>
        <w:spacing w:after="80" w:before="60"/>
      </w:pPr>
      <w:r>
        <w:rPr>
          <w:rFonts w:ascii="Arial" w:cs="Arial" w:eastAsia="Arial" w:hAnsi="Arial"/>
          <w:color w:val="444444"/>
          <w:sz w:val="20"/>
          <w:szCs w:val="20"/>
        </w:rPr>
        <w:t xml:space="preserve">The Trial Balance is generated from the GL by summing all debits and credits per account code for a given period. A correctly balanced set of accounts will show total debits equal to total credits. The TB is produced per entity and also as a consolidated view across all entities.</w:t>
      </w:r>
    </w:p>
    <w:p>
      <w:pPr>
        <w:spacing w:after="80" w:before="60"/>
      </w:pPr>
      <w:r>
        <w:rPr>
          <w:rFonts w:ascii="Arial" w:cs="Arial" w:eastAsia="Arial" w:hAnsi="Arial"/>
          <w:color w:val="444444"/>
          <w:sz w:val="20"/>
          <w:szCs w:val="20"/>
        </w:rPr>
        <w:t xml:space="preserve">The TB view includes: account code, account name, account type, total debits for period, total credits for period, and closing balance. The TB cannot be exported until the debit/credit totals agree.</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6.4 Profit and Loss Account</w:t>
      </w:r>
    </w:p>
    <w:p>
      <w:pPr>
        <w:spacing w:after="80" w:before="60"/>
      </w:pPr>
      <w:r>
        <w:rPr>
          <w:rFonts w:ascii="Arial" w:cs="Arial" w:eastAsia="Arial" w:hAnsi="Arial"/>
          <w:color w:val="444444"/>
          <w:sz w:val="20"/>
          <w:szCs w:val="20"/>
        </w:rPr>
        <w:t xml:space="preserve">The P&amp;L is derived from the TB by extracting Income (4xxx), Cost of Sales (5000–5499), and Overhead (5500–5999) accounts. Structure:</w:t>
      </w:r>
    </w:p>
    <w:p>
      <w:pPr>
        <w:pStyle w:val="ListParagraph"/>
        <w:numPr>
          <w:ilvl w:val="0"/>
          <w:numId w:val="2"/>
        </w:numPr>
        <w:spacing w:after="40" w:before="40"/>
      </w:pPr>
      <w:r>
        <w:rPr>
          <w:rFonts w:ascii="Arial" w:cs="Arial" w:eastAsia="Arial" w:hAnsi="Arial"/>
          <w:color w:val="444444"/>
          <w:sz w:val="20"/>
          <w:szCs w:val="20"/>
        </w:rPr>
        <w:t xml:space="preserve">Turnover — sum of all Income accounts</w:t>
      </w:r>
    </w:p>
    <w:p>
      <w:pPr>
        <w:pStyle w:val="ListParagraph"/>
        <w:numPr>
          <w:ilvl w:val="0"/>
          <w:numId w:val="2"/>
        </w:numPr>
        <w:spacing w:after="40" w:before="40"/>
      </w:pPr>
      <w:r>
        <w:rPr>
          <w:rFonts w:ascii="Arial" w:cs="Arial" w:eastAsia="Arial" w:hAnsi="Arial"/>
          <w:color w:val="444444"/>
          <w:sz w:val="20"/>
          <w:szCs w:val="20"/>
        </w:rPr>
        <w:t xml:space="preserve">Less: Cost of Sales — sum of 5000–5499</w:t>
      </w:r>
    </w:p>
    <w:p>
      <w:pPr>
        <w:pStyle w:val="ListParagraph"/>
        <w:numPr>
          <w:ilvl w:val="0"/>
          <w:numId w:val="2"/>
        </w:numPr>
        <w:spacing w:after="40" w:before="40"/>
      </w:pPr>
      <w:r>
        <w:rPr>
          <w:rFonts w:ascii="Arial" w:cs="Arial" w:eastAsia="Arial" w:hAnsi="Arial"/>
          <w:color w:val="444444"/>
          <w:sz w:val="20"/>
          <w:szCs w:val="20"/>
        </w:rPr>
        <w:t xml:space="preserve">Gross Profit</w:t>
      </w:r>
    </w:p>
    <w:p>
      <w:pPr>
        <w:pStyle w:val="ListParagraph"/>
        <w:numPr>
          <w:ilvl w:val="0"/>
          <w:numId w:val="2"/>
        </w:numPr>
        <w:spacing w:after="40" w:before="40"/>
      </w:pPr>
      <w:r>
        <w:rPr>
          <w:rFonts w:ascii="Arial" w:cs="Arial" w:eastAsia="Arial" w:hAnsi="Arial"/>
          <w:color w:val="444444"/>
          <w:sz w:val="20"/>
          <w:szCs w:val="20"/>
        </w:rPr>
        <w:t xml:space="preserve">Less: Overheads — sum of 5500–5999</w:t>
      </w:r>
    </w:p>
    <w:p>
      <w:pPr>
        <w:pStyle w:val="ListParagraph"/>
        <w:numPr>
          <w:ilvl w:val="0"/>
          <w:numId w:val="2"/>
        </w:numPr>
        <w:spacing w:after="40" w:before="40"/>
      </w:pPr>
      <w:r>
        <w:rPr>
          <w:rFonts w:ascii="Arial" w:cs="Arial" w:eastAsia="Arial" w:hAnsi="Arial"/>
          <w:color w:val="444444"/>
          <w:sz w:val="20"/>
          <w:szCs w:val="20"/>
        </w:rPr>
        <w:t xml:space="preserve">Operating Profit</w:t>
      </w:r>
    </w:p>
    <w:p>
      <w:pPr>
        <w:pStyle w:val="ListParagraph"/>
        <w:numPr>
          <w:ilvl w:val="0"/>
          <w:numId w:val="2"/>
        </w:numPr>
        <w:spacing w:after="40" w:before="40"/>
      </w:pPr>
      <w:r>
        <w:rPr>
          <w:rFonts w:ascii="Arial" w:cs="Arial" w:eastAsia="Arial" w:hAnsi="Arial"/>
          <w:color w:val="444444"/>
          <w:sz w:val="20"/>
          <w:szCs w:val="20"/>
        </w:rPr>
        <w:t xml:space="preserve">Less: Tax (6xxx)</w:t>
      </w:r>
    </w:p>
    <w:p>
      <w:pPr>
        <w:pStyle w:val="ListParagraph"/>
        <w:numPr>
          <w:ilvl w:val="0"/>
          <w:numId w:val="2"/>
        </w:numPr>
        <w:spacing w:after="40" w:before="40"/>
      </w:pPr>
      <w:r>
        <w:rPr>
          <w:rFonts w:ascii="Arial" w:cs="Arial" w:eastAsia="Arial" w:hAnsi="Arial"/>
          <w:color w:val="444444"/>
          <w:sz w:val="20"/>
          <w:szCs w:val="20"/>
        </w:rPr>
        <w:t xml:space="preserve">Net Profit / Loss for the period</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6.5 Balance Sheet</w:t>
      </w:r>
    </w:p>
    <w:p>
      <w:pPr>
        <w:spacing w:after="80" w:before="60"/>
      </w:pPr>
      <w:r>
        <w:rPr>
          <w:rFonts w:ascii="Arial" w:cs="Arial" w:eastAsia="Arial" w:hAnsi="Arial"/>
          <w:color w:val="444444"/>
          <w:sz w:val="20"/>
          <w:szCs w:val="20"/>
        </w:rPr>
        <w:t xml:space="preserve">The Balance Sheet is derived from the TB by extracting Asset (1xxx), Liability (2xxx), and Equity (3xxx) accounts. It presents the financial position as at the period-end date:</w:t>
      </w:r>
    </w:p>
    <w:p>
      <w:pPr>
        <w:pStyle w:val="ListParagraph"/>
        <w:numPr>
          <w:ilvl w:val="0"/>
          <w:numId w:val="2"/>
        </w:numPr>
        <w:spacing w:after="40" w:before="40"/>
      </w:pPr>
      <w:r>
        <w:rPr>
          <w:rFonts w:ascii="Arial" w:cs="Arial" w:eastAsia="Arial" w:hAnsi="Arial"/>
          <w:color w:val="444444"/>
          <w:sz w:val="20"/>
          <w:szCs w:val="20"/>
        </w:rPr>
        <w:t xml:space="preserve">Fixed Assets (1300–1390 net of depreciation)</w:t>
      </w:r>
    </w:p>
    <w:p>
      <w:pPr>
        <w:pStyle w:val="ListParagraph"/>
        <w:numPr>
          <w:ilvl w:val="0"/>
          <w:numId w:val="2"/>
        </w:numPr>
        <w:spacing w:after="40" w:before="40"/>
      </w:pPr>
      <w:r>
        <w:rPr>
          <w:rFonts w:ascii="Arial" w:cs="Arial" w:eastAsia="Arial" w:hAnsi="Arial"/>
          <w:color w:val="444444"/>
          <w:sz w:val="20"/>
          <w:szCs w:val="20"/>
        </w:rPr>
        <w:t xml:space="preserve">Current Assets (1000–1299)</w:t>
      </w:r>
    </w:p>
    <w:p>
      <w:pPr>
        <w:pStyle w:val="ListParagraph"/>
        <w:numPr>
          <w:ilvl w:val="0"/>
          <w:numId w:val="2"/>
        </w:numPr>
        <w:spacing w:after="40" w:before="40"/>
      </w:pPr>
      <w:r>
        <w:rPr>
          <w:rFonts w:ascii="Arial" w:cs="Arial" w:eastAsia="Arial" w:hAnsi="Arial"/>
          <w:color w:val="444444"/>
          <w:sz w:val="20"/>
          <w:szCs w:val="20"/>
        </w:rPr>
        <w:t xml:space="preserve">Current Liabilities (2000–2699 due within 12 months)</w:t>
      </w:r>
    </w:p>
    <w:p>
      <w:pPr>
        <w:pStyle w:val="ListParagraph"/>
        <w:numPr>
          <w:ilvl w:val="0"/>
          <w:numId w:val="2"/>
        </w:numPr>
        <w:spacing w:after="40" w:before="40"/>
      </w:pPr>
      <w:r>
        <w:rPr>
          <w:rFonts w:ascii="Arial" w:cs="Arial" w:eastAsia="Arial" w:hAnsi="Arial"/>
          <w:color w:val="444444"/>
          <w:sz w:val="20"/>
          <w:szCs w:val="20"/>
        </w:rPr>
        <w:t xml:space="preserve">Long-term Liabilities (loans etc. due beyond 12 months)</w:t>
      </w:r>
    </w:p>
    <w:p>
      <w:pPr>
        <w:pStyle w:val="ListParagraph"/>
        <w:numPr>
          <w:ilvl w:val="0"/>
          <w:numId w:val="2"/>
        </w:numPr>
        <w:spacing w:after="40" w:before="40"/>
      </w:pPr>
      <w:r>
        <w:rPr>
          <w:rFonts w:ascii="Arial" w:cs="Arial" w:eastAsia="Arial" w:hAnsi="Arial"/>
          <w:color w:val="444444"/>
          <w:sz w:val="20"/>
          <w:szCs w:val="20"/>
        </w:rPr>
        <w:t xml:space="preserve">Net Assets</w:t>
      </w:r>
    </w:p>
    <w:p>
      <w:pPr>
        <w:pStyle w:val="ListParagraph"/>
        <w:numPr>
          <w:ilvl w:val="0"/>
          <w:numId w:val="2"/>
        </w:numPr>
        <w:spacing w:after="40" w:before="40"/>
      </w:pPr>
      <w:r>
        <w:rPr>
          <w:rFonts w:ascii="Arial" w:cs="Arial" w:eastAsia="Arial" w:hAnsi="Arial"/>
          <w:color w:val="444444"/>
          <w:sz w:val="20"/>
          <w:szCs w:val="20"/>
        </w:rPr>
        <w:t xml:space="preserve">Equity — Share Capital + Retained Earnings + Current Year Profit</w:t>
      </w:r>
    </w:p>
    <w:p>
      <w:pPr>
        <w:spacing w:after="80" w:before="60"/>
      </w:pPr>
      <w:r>
        <w:rPr>
          <w:rFonts w:ascii="Arial" w:cs="Arial" w:eastAsia="Arial" w:hAnsi="Arial"/>
          <w:color w:val="444444"/>
          <w:sz w:val="20"/>
          <w:szCs w:val="20"/>
        </w:rPr>
        <w:t xml:space="preserve">Net Assets must equal total Equity. If not, the Balance Sheet will not generate and the user is directed back to the TB to find the imbalance.</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6.6 Period Lock and Audit Integrity</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C87000" w:sz="14"/>
              <w:left w:val="single" w:color="C87000" w:sz="14"/>
              <w:bottom w:val="single" w:color="C87000" w:sz="2"/>
              <w:right w:val="single" w:color="C87000" w:sz="2"/>
            </w:tcBorders>
            <w:shd w:fill="FEF3E2" w:val="clear"/>
            <w:tcMar>
              <w:top w:type="dxa" w:w="120"/>
              <w:left w:type="dxa" w:w="180"/>
              <w:bottom w:type="dxa" w:w="120"/>
              <w:right w:type="dxa" w:w="180"/>
            </w:tcMar>
          </w:tcPr>
          <w:p>
            <w:pPr>
              <w:spacing w:after="80" w:before="0"/>
            </w:pPr>
            <w:r>
              <w:rPr>
                <w:rFonts w:ascii="Arial" w:cs="Arial" w:eastAsia="Arial" w:hAnsi="Arial"/>
                <w:b/>
                <w:bCs/>
                <w:color w:val="C87000"/>
                <w:sz w:val="19"/>
                <w:szCs w:val="19"/>
              </w:rPr>
              <w:t xml:space="preserve">Period Lock Rules</w:t>
            </w:r>
          </w:p>
          <w:p>
            <w:pPr>
              <w:spacing w:after="40" w:before="40"/>
            </w:pPr>
            <w:r>
              <w:rPr>
                <w:rFonts w:ascii="Arial" w:cs="Arial" w:eastAsia="Arial" w:hAnsi="Arial"/>
                <w:color w:val="444444"/>
                <w:sz w:val="18"/>
                <w:szCs w:val="18"/>
              </w:rPr>
              <w:t xml:space="preserve">Once Checkpoint 2 (TB Sign-Off) is approved, the period is locked for direct edits.</w:t>
            </w:r>
          </w:p>
          <w:p>
            <w:pPr>
              <w:spacing w:after="40" w:before="40"/>
            </w:pPr>
            <w:r>
              <w:rPr>
                <w:rFonts w:ascii="Arial" w:cs="Arial" w:eastAsia="Arial" w:hAnsi="Arial"/>
                <w:color w:val="444444"/>
                <w:sz w:val="18"/>
                <w:szCs w:val="18"/>
              </w:rPr>
              <w:t xml:space="preserve">Correcting journals after lock create a new GL entry in the same period — they do not alter the original entry.</w:t>
            </w:r>
          </w:p>
          <w:p>
            <w:pPr>
              <w:spacing w:after="40" w:before="40"/>
            </w:pPr>
            <w:r>
              <w:rPr>
                <w:rFonts w:ascii="Arial" w:cs="Arial" w:eastAsia="Arial" w:hAnsi="Arial"/>
                <w:color w:val="444444"/>
                <w:sz w:val="18"/>
                <w:szCs w:val="18"/>
              </w:rPr>
              <w:t xml:space="preserve">Once Checkpoint 4 (Final Accounts Sign-Off) is approved, the entire financial year is CLOSED.</w:t>
            </w:r>
          </w:p>
          <w:p>
            <w:pPr>
              <w:spacing w:after="40" w:before="40"/>
            </w:pPr>
            <w:r>
              <w:rPr>
                <w:rFonts w:ascii="Arial" w:cs="Arial" w:eastAsia="Arial" w:hAnsi="Arial"/>
                <w:color w:val="444444"/>
                <w:sz w:val="18"/>
                <w:szCs w:val="18"/>
              </w:rPr>
              <w:t xml:space="preserve">A closed period is fully read-only. No entry of any kind can be made to a closed period.</w:t>
            </w:r>
          </w:p>
          <w:p>
            <w:pPr>
              <w:spacing w:after="40" w:before="40"/>
            </w:pPr>
            <w:r>
              <w:rPr>
                <w:rFonts w:ascii="Arial" w:cs="Arial" w:eastAsia="Arial" w:hAnsi="Arial"/>
                <w:color w:val="444444"/>
                <w:sz w:val="18"/>
                <w:szCs w:val="18"/>
              </w:rPr>
              <w:t xml:space="preserve">The document hash stored at each approval checkpoint provides evidence that the approved figures have not been altered after sign-off.</w:t>
            </w:r>
          </w:p>
        </w:tc>
      </w:tr>
    </w:tbl>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7</w:t>
            </w:r>
          </w:p>
        </w:tc>
        <w:tc>
          <w:tcPr>
            <w:tcW w:type="dxa" w:w="8838"/>
            <w:tcBorders>
              <w:top w:val="none"/>
              <w:left w:val="none"/>
              <w:bottom w:val="none"/>
              <w:right w:val="none"/>
            </w:tcBorders>
            <w:shd w:fill="EEF5FB" w:val="clear"/>
            <w:tcMar>
              <w:top w:type="dxa" w:w="100"/>
              <w:left w:type="dxa" w:w="200"/>
              <w:bottom w:type="dxa" w:w="100"/>
              <w:right w:type="dxa" w:w="120"/>
            </w:tcMar>
          </w:tcPr>
          <w:p>
            <w:r>
              <w:rPr>
                <w:rFonts w:ascii="Arial" w:cs="Arial" w:eastAsia="Arial" w:hAnsi="Arial"/>
                <w:b/>
                <w:bCs/>
                <w:color w:val="1B3A5C"/>
                <w:sz w:val="26"/>
                <w:szCs w:val="26"/>
              </w:rPr>
              <w:t xml:space="preserve">Data Architecture</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7.1 Updated Schema — Full Table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4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42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entities</w:t>
            </w:r>
          </w:p>
        </w:tc>
        <w:tc>
          <w:tcPr>
            <w:tcW w:type="dxa" w:w="3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entity_id, legal_name, trading_name, company_number, entity_type, fy_start, fy_end, status</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Company Profile master record</w:t>
            </w:r>
          </w:p>
        </w:tc>
      </w:tr>
      <w:tr>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entity_addresses</w:t>
            </w:r>
          </w:p>
        </w:tc>
        <w:tc>
          <w:tcPr>
            <w:tcW w:type="dxa" w:w="3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address_id, entity_id, address_type (registered/trading), lines, postcode</w:t>
            </w:r>
          </w:p>
        </w:tc>
        <w:tc>
          <w:tcPr>
            <w:tcW w:type="dxa" w:w="42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Addresses per entity</w:t>
            </w:r>
          </w:p>
        </w:tc>
      </w:tr>
      <w:tr>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entity_vat</w:t>
            </w:r>
          </w:p>
        </w:tc>
        <w:tc>
          <w:tcPr>
            <w:tcW w:type="dxa" w:w="3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vat_id, entity_id, vat_registered, vat_number, scheme, flat_rate_pct, quarter_start_month</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 configuration per entity</w:t>
            </w:r>
          </w:p>
        </w:tc>
      </w:tr>
      <w:tr>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entity_banks</w:t>
            </w:r>
          </w:p>
        </w:tc>
        <w:tc>
          <w:tcPr>
            <w:tcW w:type="dxa" w:w="3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bank_id, entity_id, account_name, sort_code, account_number, is_primary</w:t>
            </w:r>
          </w:p>
        </w:tc>
        <w:tc>
          <w:tcPr>
            <w:tcW w:type="dxa" w:w="42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Bank accounts per entity for reconciliation matching</w:t>
            </w:r>
          </w:p>
        </w:tc>
      </w:tr>
      <w:tr>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approval_auth</w:t>
            </w:r>
          </w:p>
        </w:tc>
        <w:tc>
          <w:tcPr>
            <w:tcW w:type="dxa" w:w="3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auth_id, entity_id, name, role, email</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Approval authority per entity</w:t>
            </w:r>
          </w:p>
        </w:tc>
      </w:tr>
      <w:tr>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coa</w:t>
            </w:r>
          </w:p>
        </w:tc>
        <w:tc>
          <w:tcPr>
            <w:tcW w:type="dxa" w:w="3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account_id, entity_id, code, name, type, normal_balance, vat_applicable, vat_rate, system_locked, active</w:t>
            </w:r>
          </w:p>
        </w:tc>
        <w:tc>
          <w:tcPr>
            <w:tcW w:type="dxa" w:w="42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Chart of Accounts per entity</w:t>
            </w:r>
          </w:p>
        </w:tc>
      </w:tr>
      <w:tr>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transactions</w:t>
            </w:r>
          </w:p>
        </w:tc>
        <w:tc>
          <w:tcPr>
            <w:tcW w:type="dxa" w:w="3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tx_id, entity_id, batch_id, date, amount, description, payee, source, status (staged/approved/rejected)</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Raw staging table — pre-approval</w:t>
            </w:r>
          </w:p>
        </w:tc>
      </w:tr>
      <w:tr>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gl</w:t>
            </w:r>
          </w:p>
        </w:tc>
        <w:tc>
          <w:tcPr>
            <w:tcW w:type="dxa" w:w="3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gl_id, entity_id, account_code, date, debit, credit, vat_code, vat_amount, source, batch_id, approval_id, period, locked</w:t>
            </w:r>
          </w:p>
        </w:tc>
        <w:tc>
          <w:tcPr>
            <w:tcW w:type="dxa" w:w="42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General Ledger — committed entries only</w:t>
            </w:r>
          </w:p>
        </w:tc>
      </w:tr>
      <w:tr>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journals</w:t>
            </w:r>
          </w:p>
        </w:tc>
        <w:tc>
          <w:tcPr>
            <w:tcW w:type="dxa" w:w="3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journal_id, entity_id, date, reason, lines(gl references), approval_id</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Correcting journal header records</w:t>
            </w:r>
          </w:p>
        </w:tc>
      </w:tr>
      <w:tr>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ai_allocations</w:t>
            </w:r>
          </w:p>
        </w:tc>
        <w:tc>
          <w:tcPr>
            <w:tcW w:type="dxa" w:w="3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alloc_id, tx_id, account_code, vat_code, confidence, method (rule/ml/heuristic), rule_id</w:t>
            </w:r>
          </w:p>
        </w:tc>
        <w:tc>
          <w:tcPr>
            <w:tcW w:type="dxa" w:w="42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AI allocation proposals — one per transaction</w:t>
            </w:r>
          </w:p>
        </w:tc>
      </w:tr>
      <w:tr>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rule_library</w:t>
            </w:r>
          </w:p>
        </w:tc>
        <w:tc>
          <w:tcPr>
            <w:tcW w:type="dxa" w:w="3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rule_id, entity_id, scope (entity/global), payee_pattern, keyword_pattern, account_code, vat_code, created_from_tx_id</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Allocation rules</w:t>
            </w:r>
          </w:p>
        </w:tc>
      </w:tr>
      <w:tr>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approvals</w:t>
            </w:r>
          </w:p>
        </w:tc>
        <w:tc>
          <w:tcPr>
            <w:tcW w:type="dxa" w:w="3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approval_id, entity_id, checkpoint, period, approver_name, approver_role, timestamp, action, notes, document_hash</w:t>
            </w:r>
          </w:p>
        </w:tc>
        <w:tc>
          <w:tcPr>
            <w:tcW w:type="dxa" w:w="42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Approval audit trail</w:t>
            </w:r>
          </w:p>
        </w:tc>
      </w:tr>
      <w:tr>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vat_returns</w:t>
            </w:r>
          </w:p>
        </w:tc>
        <w:tc>
          <w:tcPr>
            <w:tcW w:type="dxa" w:w="3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return_id, entity_id, period_start, period_end, box1..box9, status, approval_id</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 return records</w:t>
            </w:r>
          </w:p>
        </w:tc>
      </w:tr>
      <w:tr>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bank_connections</w:t>
            </w:r>
          </w:p>
        </w:tc>
        <w:tc>
          <w:tcPr>
            <w:tcW w:type="dxa" w:w="3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connection_id, entity_id, provider, account_ref, token_ref, last_sync</w:t>
            </w:r>
          </w:p>
        </w:tc>
        <w:tc>
          <w:tcPr>
            <w:tcW w:type="dxa" w:w="42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TrueLayer connections</w:t>
            </w:r>
          </w:p>
        </w:tc>
      </w:tr>
      <w:tr>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tokens</w:t>
            </w:r>
          </w:p>
        </w:tc>
        <w:tc>
          <w:tcPr>
            <w:tcW w:type="dxa" w:w="3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token_ref, encrypted_access, encrypted_refresh, expiry</w:t>
            </w:r>
          </w:p>
        </w:tc>
        <w:tc>
          <w:tcPr>
            <w:tcW w:type="dxa" w:w="42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Encrypted API tokens</w:t>
            </w:r>
          </w:p>
        </w:tc>
      </w:tr>
      <w:tr>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sync_log</w:t>
            </w:r>
          </w:p>
        </w:tc>
        <w:tc>
          <w:tcPr>
            <w:tcW w:type="dxa" w:w="3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log_id, connection_id, timestamp, status, tx_count, error_msg</w:t>
            </w:r>
          </w:p>
        </w:tc>
        <w:tc>
          <w:tcPr>
            <w:tcW w:type="dxa" w:w="42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Bank sync audit log</w:t>
            </w:r>
          </w:p>
        </w:tc>
      </w:tr>
    </w:tbl>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B22222"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8</w:t>
            </w:r>
          </w:p>
        </w:tc>
        <w:tc>
          <w:tcPr>
            <w:tcW w:type="dxa" w:w="8838"/>
            <w:tcBorders>
              <w:top w:val="none"/>
              <w:left w:val="none"/>
              <w:bottom w:val="none"/>
              <w:right w:val="none"/>
            </w:tcBorders>
            <w:shd w:fill="FDECEA" w:val="clear"/>
            <w:tcMar>
              <w:top w:type="dxa" w:w="100"/>
              <w:left w:type="dxa" w:w="200"/>
              <w:bottom w:type="dxa" w:w="100"/>
              <w:right w:type="dxa" w:w="120"/>
            </w:tcMar>
          </w:tcPr>
          <w:p>
            <w:r>
              <w:rPr>
                <w:rFonts w:ascii="Arial" w:cs="Arial" w:eastAsia="Arial" w:hAnsi="Arial"/>
                <w:b/>
                <w:bCs/>
                <w:color w:val="B22222"/>
                <w:sz w:val="26"/>
                <w:szCs w:val="26"/>
              </w:rPr>
              <w:t xml:space="preserve">Security Model</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8.1 Master Password and Encryption</w:t>
      </w:r>
    </w:p>
    <w:p>
      <w:pPr>
        <w:pStyle w:val="ListParagraph"/>
        <w:numPr>
          <w:ilvl w:val="0"/>
          <w:numId w:val="2"/>
        </w:numPr>
        <w:spacing w:after="40" w:before="40"/>
      </w:pPr>
      <w:r>
        <w:rPr>
          <w:rFonts w:ascii="Arial" w:cs="Arial" w:eastAsia="Arial" w:hAnsi="Arial"/>
          <w:color w:val="444444"/>
          <w:sz w:val="20"/>
          <w:szCs w:val="20"/>
        </w:rPr>
        <w:t xml:space="preserve">PBKDF2-HMAC-SHA256 with random 32-byte salt, 200,000 iterations — derives 256-bit session key</w:t>
      </w:r>
    </w:p>
    <w:p>
      <w:pPr>
        <w:pStyle w:val="ListParagraph"/>
        <w:numPr>
          <w:ilvl w:val="0"/>
          <w:numId w:val="2"/>
        </w:numPr>
        <w:spacing w:after="40" w:before="40"/>
      </w:pPr>
      <w:r>
        <w:rPr>
          <w:rFonts w:ascii="Arial" w:cs="Arial" w:eastAsia="Arial" w:hAnsi="Arial"/>
          <w:color w:val="444444"/>
          <w:sz w:val="20"/>
          <w:szCs w:val="20"/>
        </w:rPr>
        <w:t xml:space="preserve">SQLCipher AES-256 encrypts the entire SQLite database file</w:t>
      </w:r>
    </w:p>
    <w:p>
      <w:pPr>
        <w:pStyle w:val="ListParagraph"/>
        <w:numPr>
          <w:ilvl w:val="0"/>
          <w:numId w:val="2"/>
        </w:numPr>
        <w:spacing w:after="40" w:before="40"/>
      </w:pPr>
      <w:r>
        <w:rPr>
          <w:rFonts w:ascii="Arial" w:cs="Arial" w:eastAsia="Arial" w:hAnsi="Arial"/>
          <w:color w:val="444444"/>
          <w:sz w:val="20"/>
          <w:szCs w:val="20"/>
        </w:rPr>
        <w:t xml:space="preserve">Session key held in memory only; zeroed on application close</w:t>
      </w:r>
    </w:p>
    <w:p>
      <w:pPr>
        <w:pStyle w:val="ListParagraph"/>
        <w:numPr>
          <w:ilvl w:val="0"/>
          <w:numId w:val="2"/>
        </w:numPr>
        <w:spacing w:after="40" w:before="40"/>
      </w:pPr>
      <w:r>
        <w:rPr>
          <w:rFonts w:ascii="Arial" w:cs="Arial" w:eastAsia="Arial" w:hAnsi="Arial"/>
          <w:color w:val="444444"/>
          <w:sz w:val="20"/>
          <w:szCs w:val="20"/>
        </w:rPr>
        <w:t xml:space="preserve">No password recovery mechanism — users must maintain secure offline backup</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8.2 API Token Security</w:t>
      </w:r>
    </w:p>
    <w:p>
      <w:pPr>
        <w:pStyle w:val="ListParagraph"/>
        <w:numPr>
          <w:ilvl w:val="0"/>
          <w:numId w:val="2"/>
        </w:numPr>
        <w:spacing w:after="40" w:before="40"/>
      </w:pPr>
      <w:r>
        <w:rPr>
          <w:rFonts w:ascii="Arial" w:cs="Arial" w:eastAsia="Arial" w:hAnsi="Arial"/>
          <w:color w:val="444444"/>
          <w:sz w:val="20"/>
          <w:szCs w:val="20"/>
        </w:rPr>
        <w:t xml:space="preserve">TrueLayer access and refresh tokens encrypted with AES-256-GCM before storage</w:t>
      </w:r>
    </w:p>
    <w:p>
      <w:pPr>
        <w:pStyle w:val="ListParagraph"/>
        <w:numPr>
          <w:ilvl w:val="0"/>
          <w:numId w:val="2"/>
        </w:numPr>
        <w:spacing w:after="40" w:before="40"/>
      </w:pPr>
      <w:r>
        <w:rPr>
          <w:rFonts w:ascii="Arial" w:cs="Arial" w:eastAsia="Arial" w:hAnsi="Arial"/>
          <w:color w:val="444444"/>
          <w:sz w:val="20"/>
          <w:szCs w:val="20"/>
        </w:rPr>
        <w:t xml:space="preserve">Tokens decrypted in memory only at point of API call</w:t>
      </w:r>
    </w:p>
    <w:p>
      <w:pPr>
        <w:pStyle w:val="ListParagraph"/>
        <w:numPr>
          <w:ilvl w:val="0"/>
          <w:numId w:val="2"/>
        </w:numPr>
        <w:spacing w:after="40" w:before="40"/>
      </w:pPr>
      <w:r>
        <w:rPr>
          <w:rFonts w:ascii="Arial" w:cs="Arial" w:eastAsia="Arial" w:hAnsi="Arial"/>
          <w:color w:val="444444"/>
          <w:sz w:val="20"/>
          <w:szCs w:val="20"/>
        </w:rPr>
        <w:t xml:space="preserve">Token values never written to logs, error messages, or any file</w:t>
      </w:r>
    </w:p>
    <w:p>
      <w:pPr>
        <w:pStyle w:val="ListParagraph"/>
        <w:numPr>
          <w:ilvl w:val="0"/>
          <w:numId w:val="2"/>
        </w:numPr>
        <w:spacing w:after="40" w:before="40"/>
      </w:pPr>
      <w:r>
        <w:rPr>
          <w:rFonts w:ascii="Arial" w:cs="Arial" w:eastAsia="Arial" w:hAnsi="Arial"/>
          <w:color w:val="444444"/>
          <w:sz w:val="20"/>
          <w:szCs w:val="20"/>
        </w:rPr>
        <w:t xml:space="preserve">On connection deletion: token bytes overwritten before record deletion</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8.3 Approval Tamper Evidence</w:t>
      </w:r>
    </w:p>
    <w:p>
      <w:pPr>
        <w:pStyle w:val="ListParagraph"/>
        <w:numPr>
          <w:ilvl w:val="0"/>
          <w:numId w:val="2"/>
        </w:numPr>
        <w:spacing w:after="40" w:before="40"/>
      </w:pPr>
      <w:r>
        <w:rPr>
          <w:rFonts w:ascii="Arial" w:cs="Arial" w:eastAsia="Arial" w:hAnsi="Arial"/>
          <w:color w:val="444444"/>
          <w:sz w:val="20"/>
          <w:szCs w:val="20"/>
        </w:rPr>
        <w:t xml:space="preserve">SHA-256 hash of the approved document (TB, VAT return, or P&amp;L/BS) is stored in the approvals table at point of sign-off</w:t>
      </w:r>
    </w:p>
    <w:p>
      <w:pPr>
        <w:pStyle w:val="ListParagraph"/>
        <w:numPr>
          <w:ilvl w:val="0"/>
          <w:numId w:val="2"/>
        </w:numPr>
        <w:spacing w:after="40" w:before="40"/>
      </w:pPr>
      <w:r>
        <w:rPr>
          <w:rFonts w:ascii="Arial" w:cs="Arial" w:eastAsia="Arial" w:hAnsi="Arial"/>
          <w:color w:val="444444"/>
          <w:sz w:val="20"/>
          <w:szCs w:val="20"/>
        </w:rPr>
        <w:t xml:space="preserve">On any subsequent view of a closed-period document, FOS recomputes the hash and compares — any discrepancy is flagged</w:t>
      </w:r>
    </w:p>
    <w:p>
      <w:pPr>
        <w:pStyle w:val="ListParagraph"/>
        <w:numPr>
          <w:ilvl w:val="0"/>
          <w:numId w:val="2"/>
        </w:numPr>
        <w:spacing w:after="40" w:before="40"/>
      </w:pPr>
      <w:r>
        <w:rPr>
          <w:rFonts w:ascii="Arial" w:cs="Arial" w:eastAsia="Arial" w:hAnsi="Arial"/>
          <w:color w:val="444444"/>
          <w:sz w:val="20"/>
          <w:szCs w:val="20"/>
        </w:rPr>
        <w:t xml:space="preserve">This provides the owner with evidence that approved figures have not been altered after sign-off</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8.4 What is Never Stored</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B22222" w:sz="14"/>
              <w:left w:val="single" w:color="B22222" w:sz="14"/>
              <w:bottom w:val="single" w:color="B22222" w:sz="2"/>
              <w:right w:val="single" w:color="B22222" w:sz="2"/>
            </w:tcBorders>
            <w:shd w:fill="FDECEA" w:val="clear"/>
            <w:tcMar>
              <w:top w:type="dxa" w:w="120"/>
              <w:left w:type="dxa" w:w="180"/>
              <w:bottom w:type="dxa" w:w="120"/>
              <w:right w:type="dxa" w:w="180"/>
            </w:tcMar>
          </w:tcPr>
          <w:p>
            <w:pPr>
              <w:spacing w:after="80" w:before="0"/>
            </w:pPr>
            <w:r>
              <w:rPr>
                <w:rFonts w:ascii="Arial" w:cs="Arial" w:eastAsia="Arial" w:hAnsi="Arial"/>
                <w:b/>
                <w:bCs/>
                <w:color w:val="B22222"/>
                <w:sz w:val="19"/>
                <w:szCs w:val="19"/>
              </w:rPr>
              <w:t xml:space="preserve">Hard Rules</w:t>
            </w:r>
          </w:p>
          <w:p>
            <w:pPr>
              <w:spacing w:after="40" w:before="40"/>
            </w:pPr>
            <w:r>
              <w:rPr>
                <w:rFonts w:ascii="Arial" w:cs="Arial" w:eastAsia="Arial" w:hAnsi="Arial"/>
                <w:color w:val="444444"/>
                <w:sz w:val="18"/>
                <w:szCs w:val="18"/>
              </w:rPr>
              <w:t xml:space="preserve">Online banking usernames, passwords, MFA codes, or security answers</w:t>
            </w:r>
          </w:p>
          <w:p>
            <w:pPr>
              <w:spacing w:after="40" w:before="40"/>
            </w:pPr>
            <w:r>
              <w:rPr>
                <w:rFonts w:ascii="Arial" w:cs="Arial" w:eastAsia="Arial" w:hAnsi="Arial"/>
                <w:color w:val="444444"/>
                <w:sz w:val="18"/>
                <w:szCs w:val="18"/>
              </w:rPr>
              <w:t xml:space="preserve">HMRC Government Gateway credentials</w:t>
            </w:r>
          </w:p>
          <w:p>
            <w:pPr>
              <w:spacing w:after="40" w:before="40"/>
            </w:pPr>
            <w:r>
              <w:rPr>
                <w:rFonts w:ascii="Arial" w:cs="Arial" w:eastAsia="Arial" w:hAnsi="Arial"/>
                <w:color w:val="444444"/>
                <w:sz w:val="18"/>
                <w:szCs w:val="18"/>
              </w:rPr>
              <w:t xml:space="preserve">Plaintext API tokens of any kind</w:t>
            </w:r>
          </w:p>
          <w:p>
            <w:pPr>
              <w:spacing w:after="40" w:before="40"/>
            </w:pPr>
            <w:r>
              <w:rPr>
                <w:rFonts w:ascii="Arial" w:cs="Arial" w:eastAsia="Arial" w:hAnsi="Arial"/>
                <w:color w:val="444444"/>
                <w:sz w:val="18"/>
                <w:szCs w:val="18"/>
              </w:rPr>
              <w:t xml:space="preserve">Personal identifiers beyond company number, VAT number, and approval authority name/role</w:t>
            </w:r>
          </w:p>
        </w:tc>
      </w:tr>
    </w:tbl>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9</w:t>
            </w:r>
          </w:p>
        </w:tc>
        <w:tc>
          <w:tcPr>
            <w:tcW w:type="dxa" w:w="8838"/>
            <w:tcBorders>
              <w:top w:val="none"/>
              <w:left w:val="none"/>
              <w:bottom w:val="none"/>
              <w:right w:val="none"/>
            </w:tcBorders>
            <w:shd w:fill="EEF5FB" w:val="clear"/>
            <w:tcMar>
              <w:top w:type="dxa" w:w="100"/>
              <w:left w:type="dxa" w:w="200"/>
              <w:bottom w:type="dxa" w:w="100"/>
              <w:right w:type="dxa" w:w="120"/>
            </w:tcMar>
          </w:tcPr>
          <w:p>
            <w:r>
              <w:rPr>
                <w:rFonts w:ascii="Arial" w:cs="Arial" w:eastAsia="Arial" w:hAnsi="Arial"/>
                <w:b/>
                <w:bCs/>
                <w:color w:val="1B3A5C"/>
                <w:sz w:val="26"/>
                <w:szCs w:val="26"/>
              </w:rPr>
              <w:t xml:space="preserve">Open Banking Integration (TrueLayer)</w:t>
            </w:r>
          </w:p>
        </w:tc>
      </w:tr>
    </w:tbl>
    <w:p>
      <w:pPr>
        <w:spacing w:after="0" w:before="80"/>
      </w:pPr>
      <w:r>
        <w:t xml:space="preserve"/>
      </w:r>
    </w:p>
    <w:p>
      <w:pPr>
        <w:spacing w:after="80" w:before="60"/>
      </w:pPr>
      <w:r>
        <w:rPr>
          <w:rFonts w:ascii="Arial" w:cs="Arial" w:eastAsia="Arial" w:hAnsi="Arial"/>
          <w:color w:val="444444"/>
          <w:sz w:val="20"/>
          <w:szCs w:val="20"/>
        </w:rPr>
        <w:t xml:space="preserve">The Open Banking layer is unchanged from v1.0 in architectural terms. It is an optional sync adapter — not a core dependency. Full integration specification is in the v1.0 document. This section summarises the v1.1 integration points.</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9.1 Integration with Company Profile</w:t>
      </w:r>
    </w:p>
    <w:p>
      <w:pPr>
        <w:spacing w:after="80" w:before="60"/>
      </w:pPr>
      <w:r>
        <w:rPr>
          <w:rFonts w:ascii="Arial" w:cs="Arial" w:eastAsia="Arial" w:hAnsi="Arial"/>
          <w:color w:val="444444"/>
          <w:sz w:val="20"/>
          <w:szCs w:val="20"/>
        </w:rPr>
        <w:t xml:space="preserve">TrueLayer bank connections are now linked to both the entity_id and the bank account record in entity_banks. On sync, FOS uses the sort code and account number from the TrueLayer account data to match the connection to the correct entity_banks record, ensuring transactions are attributed to the right entity automatically.</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9.2 Integration with AI Allocation Engine</w:t>
      </w:r>
    </w:p>
    <w:p>
      <w:pPr>
        <w:spacing w:after="80" w:before="60"/>
      </w:pPr>
      <w:r>
        <w:rPr>
          <w:rFonts w:ascii="Arial" w:cs="Arial" w:eastAsia="Arial" w:hAnsi="Arial"/>
          <w:color w:val="444444"/>
          <w:sz w:val="20"/>
          <w:szCs w:val="20"/>
        </w:rPr>
        <w:t xml:space="preserve">Transactions retrieved via TrueLayer feed directly into the AI Allocation Engine (Section 4) as source = OB_SYNC. The merchant_name field from the TrueLayer response is used as the primary payee signal for the allocation engine, typically yielding higher confidence scores than CSV imports where payee data is less structured.</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9.3 Cost and Fallback</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C87000" w:sz="14"/>
              <w:left w:val="single" w:color="C87000" w:sz="14"/>
              <w:bottom w:val="single" w:color="C87000" w:sz="2"/>
              <w:right w:val="single" w:color="C87000" w:sz="2"/>
            </w:tcBorders>
            <w:shd w:fill="FEF3E2" w:val="clear"/>
            <w:tcMar>
              <w:top w:type="dxa" w:w="120"/>
              <w:left w:type="dxa" w:w="180"/>
              <w:bottom w:type="dxa" w:w="120"/>
              <w:right w:type="dxa" w:w="180"/>
            </w:tcMar>
          </w:tcPr>
          <w:p>
            <w:pPr>
              <w:spacing w:after="80" w:before="0"/>
            </w:pPr>
            <w:r>
              <w:rPr>
                <w:rFonts w:ascii="Arial" w:cs="Arial" w:eastAsia="Arial" w:hAnsi="Arial"/>
                <w:b/>
                <w:bCs/>
                <w:color w:val="C87000"/>
                <w:sz w:val="19"/>
                <w:szCs w:val="19"/>
              </w:rPr>
              <w:t xml:space="preserve">Cost Reminder</w:t>
            </w:r>
          </w:p>
          <w:p>
            <w:pPr>
              <w:spacing w:after="40" w:before="40"/>
            </w:pPr>
            <w:r>
              <w:rPr>
                <w:rFonts w:ascii="Arial" w:cs="Arial" w:eastAsia="Arial" w:hAnsi="Arial"/>
                <w:color w:val="444444"/>
                <w:sz w:val="18"/>
                <w:szCs w:val="18"/>
              </w:rPr>
              <w:t xml:space="preserve">TrueLayer production usage is not free. Expected cost: approximately £20–£200/month depending on connection count.</w:t>
            </w:r>
          </w:p>
          <w:p>
            <w:pPr>
              <w:spacing w:after="40" w:before="40"/>
            </w:pPr>
            <w:r>
              <w:rPr>
                <w:rFonts w:ascii="Arial" w:cs="Arial" w:eastAsia="Arial" w:hAnsi="Arial"/>
                <w:color w:val="444444"/>
                <w:sz w:val="18"/>
                <w:szCs w:val="18"/>
              </w:rPr>
              <w:t xml:space="preserve">If cost is not justifiable, the system operates fully on CSV import with no loss of core functionality.</w:t>
            </w:r>
          </w:p>
          <w:p>
            <w:pPr>
              <w:spacing w:after="40" w:before="40"/>
            </w:pPr>
            <w:r>
              <w:rPr>
                <w:rFonts w:ascii="Arial" w:cs="Arial" w:eastAsia="Arial" w:hAnsi="Arial"/>
                <w:color w:val="444444"/>
                <w:sz w:val="18"/>
                <w:szCs w:val="18"/>
              </w:rPr>
              <w:t xml:space="preserve">The approval workflow, AI allocation, GL, TB, and final accounts all function identically regardless of whether Open Banking is enabled.</w:t>
            </w:r>
          </w:p>
        </w:tc>
      </w:tr>
    </w:tbl>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10</w:t>
            </w:r>
          </w:p>
        </w:tc>
        <w:tc>
          <w:tcPr>
            <w:tcW w:type="dxa" w:w="8838"/>
            <w:tcBorders>
              <w:top w:val="none"/>
              <w:left w:val="none"/>
              <w:bottom w:val="none"/>
              <w:right w:val="none"/>
            </w:tcBorders>
            <w:shd w:fill="EEF5FB" w:val="clear"/>
            <w:tcMar>
              <w:top w:type="dxa" w:w="100"/>
              <w:left w:type="dxa" w:w="200"/>
              <w:bottom w:type="dxa" w:w="100"/>
              <w:right w:type="dxa" w:w="120"/>
            </w:tcMar>
          </w:tcPr>
          <w:p>
            <w:r>
              <w:rPr>
                <w:rFonts w:ascii="Arial" w:cs="Arial" w:eastAsia="Arial" w:hAnsi="Arial"/>
                <w:b/>
                <w:bCs/>
                <w:color w:val="1B3A5C"/>
                <w:sz w:val="26"/>
                <w:szCs w:val="26"/>
              </w:rPr>
              <w:t xml:space="preserve">HMRC Reporting Requirements</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10.1 VAT Return Output</w:t>
      </w:r>
    </w:p>
    <w:p>
      <w:pPr>
        <w:spacing w:after="80" w:before="60"/>
      </w:pPr>
      <w:r>
        <w:rPr>
          <w:rFonts w:ascii="Arial" w:cs="Arial" w:eastAsia="Arial" w:hAnsi="Arial"/>
          <w:color w:val="444444"/>
          <w:sz w:val="20"/>
          <w:szCs w:val="20"/>
        </w:rPr>
        <w:t xml:space="preserve">VAT return calculation is driven by the VAT scheme in the Company Profile (Section 2.3) and the VAT codes assigned by the AI engine and confirmed through the approval workflow. The nine VAT return boxes are calculated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938"/>
      </w:tblGrid>
      <w:tr>
        <w:trPr>
          <w:tblHeader/>
        </w:trPr>
        <w:tc>
          <w:tcPr>
            <w:tcW w:type="dxa" w:w="9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Box</w:t>
            </w:r>
          </w:p>
        </w:tc>
        <w:tc>
          <w:tcPr>
            <w:tcW w:type="dxa" w:w="28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59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Calculation Source in FOS</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Box 1</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 due on sales and outputs</w:t>
            </w:r>
          </w:p>
        </w:tc>
        <w:tc>
          <w:tcPr>
            <w:tcW w:type="dxa" w:w="59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Sum of vat_amount where vat_code = SR-O for the period</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Box 2</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 due on EC acquisitions</w:t>
            </w:r>
          </w:p>
        </w:tc>
        <w:tc>
          <w:tcPr>
            <w:tcW w:type="dxa" w:w="59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Zero for most post-Brexit UK businesses — manual override available</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Box 3</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Total VAT due</w:t>
            </w:r>
          </w:p>
        </w:tc>
        <w:tc>
          <w:tcPr>
            <w:tcW w:type="dxa" w:w="59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Box 1 + Box 2</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Box 4</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 reclaimed on inputs</w:t>
            </w:r>
          </w:p>
        </w:tc>
        <w:tc>
          <w:tcPr>
            <w:tcW w:type="dxa" w:w="59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Sum of vat_amount where vat_code = SR-I (not applicable for Flat Rate entities)</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Box 5</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Net VAT payable / reclaimable</w:t>
            </w:r>
          </w:p>
        </w:tc>
        <w:tc>
          <w:tcPr>
            <w:tcW w:type="dxa" w:w="59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Box 3 minus Box 4</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Box 6</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Total sales excluding VAT</w:t>
            </w:r>
          </w:p>
        </w:tc>
        <w:tc>
          <w:tcPr>
            <w:tcW w:type="dxa" w:w="59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Sum of net sales values (income accounts, all VAT treatments)</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Box 7</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Total purchases excluding VAT</w:t>
            </w:r>
          </w:p>
        </w:tc>
        <w:tc>
          <w:tcPr>
            <w:tcW w:type="dxa" w:w="59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Sum of net purchase values (expense accounts, all VAT treatments)</w:t>
            </w:r>
          </w:p>
        </w:tc>
      </w:tr>
      <w:tr>
        <w:tc>
          <w:tcPr>
            <w:tcW w:type="dxa" w:w="9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Box 8</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EC supplies of goods</w:t>
            </w:r>
          </w:p>
        </w:tc>
        <w:tc>
          <w:tcPr>
            <w:tcW w:type="dxa" w:w="59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Zero for most post-Brexit businesses — manual override available</w:t>
            </w:r>
          </w:p>
        </w:tc>
      </w:tr>
      <w:tr>
        <w:tc>
          <w:tcPr>
            <w:tcW w:type="dxa" w:w="9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Box 9</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EC acquisitions of goods</w:t>
            </w:r>
          </w:p>
        </w:tc>
        <w:tc>
          <w:tcPr>
            <w:tcW w:type="dxa" w:w="59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Zero for most post-Brexit businesses — manual override available</w:t>
            </w:r>
          </w:p>
        </w:tc>
      </w:tr>
    </w:tbl>
    <w:p>
      <w:pPr>
        <w:spacing w:after="80" w:before="60"/>
      </w:pPr>
      <w:r>
        <w:rPr>
          <w:rFonts w:ascii="Arial" w:cs="Arial" w:eastAsia="Arial" w:hAnsi="Arial"/>
          <w:color w:val="444444"/>
          <w:sz w:val="20"/>
          <w:szCs w:val="20"/>
        </w:rPr>
        <w:t xml:space="preserve">For Flat Rate scheme entities, Box 1 = Gross turnover x flat rate percentage (from Company Profile). Boxes 4 and 7 are still populated for information but do not affect the payable amount.</w:t>
      </w:r>
    </w:p>
    <w:p>
      <w:pPr>
        <w:spacing w:after="0" w:before="100"/>
      </w:pPr>
      <w:r>
        <w:t xml:space="preserve"/>
      </w:r>
    </w:p>
    <w:p>
      <w:pPr>
        <w:pStyle w:val="Heading2"/>
        <w:spacing w:after="80" w:before="280"/>
      </w:pPr>
      <w:r>
        <w:rPr>
          <w:rFonts w:ascii="Arial" w:cs="Arial" w:eastAsia="Arial" w:hAnsi="Arial"/>
          <w:b/>
          <w:bCs/>
          <w:color w:val="2E6DA4"/>
          <w:sz w:val="24"/>
          <w:szCs w:val="24"/>
        </w:rPr>
        <w:t xml:space="preserve">10.2 Year-End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838"/>
      </w:tblGrid>
      <w:tr>
        <w:trPr>
          <w:tblHeader/>
        </w:trPr>
        <w:tc>
          <w:tcPr>
            <w:tcW w:type="dxa" w:w="24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14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0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W w:type="dxa" w:w="38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Approval Gate</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Trial Balance</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PDF + CSV</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Accountant / owner</w:t>
            </w:r>
          </w:p>
        </w:tc>
        <w:tc>
          <w:tcPr>
            <w:tcW w:type="dxa" w:w="38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Checkpoint 2</w:t>
            </w:r>
          </w:p>
        </w:tc>
      </w:tr>
      <w:tr>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Profit and Loss Account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PDF</w:t>
            </w:r>
          </w:p>
        </w:tc>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Accountant / owner</w:t>
            </w:r>
          </w:p>
        </w:tc>
        <w:tc>
          <w:tcPr>
            <w:tcW w:type="dxa" w:w="38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Checkpoint 4</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Balance Sheet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PDF</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Accountant / owner</w:t>
            </w:r>
          </w:p>
        </w:tc>
        <w:tc>
          <w:tcPr>
            <w:tcW w:type="dxa" w:w="38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Checkpoint 4</w:t>
            </w:r>
          </w:p>
        </w:tc>
      </w:tr>
      <w:tr>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 Return Summary</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PDF + CSV</w:t>
            </w:r>
          </w:p>
        </w:tc>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Owner — for portal submission</w:t>
            </w:r>
          </w:p>
        </w:tc>
        <w:tc>
          <w:tcPr>
            <w:tcW w:type="dxa" w:w="38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Checkpoint 3</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GL Transaction Export</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CSV</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Accountant</w:t>
            </w:r>
          </w:p>
        </w:tc>
        <w:tc>
          <w:tcPr>
            <w:tcW w:type="dxa" w:w="38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Post Checkpoint 2 (read-only)</w:t>
            </w:r>
          </w:p>
        </w:tc>
      </w:tr>
      <w:tr>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Approval Audit Report</w:t>
            </w:r>
          </w:p>
        </w:tc>
        <w:tc>
          <w:tcPr>
            <w:tcW w:type="dxa" w:w="1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PDF</w:t>
            </w:r>
          </w:p>
        </w:tc>
        <w:tc>
          <w:tcPr>
            <w:tcW w:type="dxa" w:w="20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Owner / auditor / HMRC enquiry</w:t>
            </w:r>
          </w:p>
        </w:tc>
        <w:tc>
          <w:tcPr>
            <w:tcW w:type="dxa" w:w="38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Available at any time</w:t>
            </w:r>
          </w:p>
        </w:tc>
      </w:tr>
    </w:tbl>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11</w:t>
            </w:r>
          </w:p>
        </w:tc>
        <w:tc>
          <w:tcPr>
            <w:tcW w:type="dxa" w:w="8838"/>
            <w:tcBorders>
              <w:top w:val="none"/>
              <w:left w:val="none"/>
              <w:bottom w:val="none"/>
              <w:right w:val="none"/>
            </w:tcBorders>
            <w:shd w:fill="EEF5FB" w:val="clear"/>
            <w:tcMar>
              <w:top w:type="dxa" w:w="100"/>
              <w:left w:type="dxa" w:w="200"/>
              <w:bottom w:type="dxa" w:w="100"/>
              <w:right w:type="dxa" w:w="120"/>
            </w:tcMar>
          </w:tcPr>
          <w:p>
            <w:r>
              <w:rPr>
                <w:rFonts w:ascii="Arial" w:cs="Arial" w:eastAsia="Arial" w:hAnsi="Arial"/>
                <w:b/>
                <w:bCs/>
                <w:color w:val="1B3A5C"/>
                <w:sz w:val="26"/>
                <w:szCs w:val="26"/>
              </w:rPr>
              <w:t xml:space="preserve">Known Limitations</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38"/>
      </w:tblGrid>
      <w:tr>
        <w:trPr>
          <w:tblHeader/>
        </w:trPr>
        <w:tc>
          <w:tcPr>
            <w:tcW w:type="dxa" w:w="26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Limitation</w:t>
            </w:r>
          </w:p>
        </w:tc>
        <w:tc>
          <w:tcPr>
            <w:tcW w:type="dxa" w:w="24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46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Mitigation / Notes</w:t>
            </w:r>
          </w:p>
        </w:tc>
      </w:tr>
      <w:tr>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GBP only — no multi-currency</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Foreign currency transactions must be manually converted before entry</w:t>
            </w:r>
          </w:p>
        </w:tc>
        <w:tc>
          <w:tcPr>
            <w:tcW w:type="dxa" w:w="46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Planned for v2</w:t>
            </w:r>
          </w:p>
        </w:tc>
      </w:tr>
      <w:tr>
        <w:tc>
          <w:tcPr>
            <w:tcW w:type="dxa" w:w="2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Single user — no concurrent access</w:t>
            </w:r>
          </w:p>
        </w:tc>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One user at a time; no cloud sync</w:t>
            </w:r>
          </w:p>
        </w:tc>
        <w:tc>
          <w:tcPr>
            <w:tcW w:type="dxa" w:w="46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By design for v1.1</w:t>
            </w:r>
          </w:p>
        </w:tc>
      </w:tr>
      <w:tr>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 direct MTD submission</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VAT returns submitted manually via HMRC portal</w:t>
            </w:r>
          </w:p>
        </w:tc>
        <w:tc>
          <w:tcPr>
            <w:tcW w:type="dxa" w:w="46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Deliberate — avoids regulated agent status</w:t>
            </w:r>
          </w:p>
        </w:tc>
      </w:tr>
      <w:tr>
        <w:tc>
          <w:tcPr>
            <w:tcW w:type="dxa" w:w="2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 payroll</w:t>
            </w:r>
          </w:p>
        </w:tc>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Wages imported as net amounts or via CSV</w:t>
            </w:r>
          </w:p>
        </w:tc>
        <w:tc>
          <w:tcPr>
            <w:tcW w:type="dxa" w:w="46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Out of scope; document clearly for users</w:t>
            </w:r>
          </w:p>
        </w:tc>
      </w:tr>
      <w:tr>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AI model cold-start</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Low confidence on first use for a new entity; improves with transaction volume</w:t>
            </w:r>
          </w:p>
        </w:tc>
        <w:tc>
          <w:tcPr>
            <w:tcW w:type="dxa" w:w="46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Rule library seeded with common UK payees to reduce cold-start period</w:t>
            </w:r>
          </w:p>
        </w:tc>
      </w:tr>
      <w:tr>
        <w:tc>
          <w:tcPr>
            <w:tcW w:type="dxa" w:w="2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TrueLayer historical data limit</w:t>
            </w:r>
          </w:p>
        </w:tc>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~90 days on initial connection; older data via CSV</w:t>
            </w:r>
          </w:p>
        </w:tc>
        <w:tc>
          <w:tcPr>
            <w:tcW w:type="dxa" w:w="46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CSV import covers the gap</w:t>
            </w:r>
          </w:p>
        </w:tc>
      </w:tr>
      <w:tr>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Windows only</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No Mac or Linux support in v1.1</w:t>
            </w:r>
          </w:p>
        </w:tc>
        <w:tc>
          <w:tcPr>
            <w:tcW w:type="dxa" w:w="46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Cross-platform considered for v2</w:t>
            </w:r>
          </w:p>
        </w:tc>
      </w:tr>
      <w:tr>
        <w:tc>
          <w:tcPr>
            <w:tcW w:type="dxa" w:w="2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No invoice / AR workflow</w:t>
            </w:r>
          </w:p>
        </w:tc>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FOS is a bank-transaction-in accounting system, not a full AR platform</w:t>
            </w:r>
          </w:p>
        </w:tc>
        <w:tc>
          <w:tcPr>
            <w:tcW w:type="dxa" w:w="46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Scope boundary — documented</w:t>
            </w:r>
          </w:p>
        </w:tc>
      </w:tr>
      <w:tr>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Intercompany reconciliation</w:t>
            </w:r>
          </w:p>
        </w:tc>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Cross-entity journals supported but intercompany balance reconciliation is manual</w:t>
            </w:r>
          </w:p>
        </w:tc>
        <w:tc>
          <w:tcPr>
            <w:tcW w:type="dxa" w:w="46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Automated interco reconciliation considered for v2</w:t>
            </w:r>
          </w:p>
        </w:tc>
      </w:tr>
    </w:tbl>
    <w:p>
      <w:r>
        <w:br w:type="pag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800"/>
        <w:gridCol w:w="8838"/>
      </w:tblGrid>
      <w:tr>
        <w:tc>
          <w:tcPr>
            <w:tcW w:type="dxa" w:w="800"/>
            <w:tcBorders>
              <w:top w:val="none" w:color="FFFFFF" w:sz="0"/>
              <w:left w:val="none" w:color="FFFFFF" w:sz="0"/>
              <w:bottom w:val="none" w:color="FFFFFF" w:sz="0"/>
              <w:right w:val="none" w:color="FFFFFF" w:sz="0"/>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12</w:t>
            </w:r>
          </w:p>
        </w:tc>
        <w:tc>
          <w:tcPr>
            <w:tcW w:type="dxa" w:w="8838"/>
            <w:tcBorders>
              <w:top w:val="none"/>
              <w:left w:val="none"/>
              <w:bottom w:val="none"/>
              <w:right w:val="none"/>
            </w:tcBorders>
            <w:shd w:fill="F4F4F4" w:val="clear"/>
            <w:tcMar>
              <w:top w:type="dxa" w:w="100"/>
              <w:left w:type="dxa" w:w="200"/>
              <w:bottom w:type="dxa" w:w="100"/>
              <w:right w:type="dxa" w:w="120"/>
            </w:tcMar>
          </w:tcPr>
          <w:p>
            <w:r>
              <w:rPr>
                <w:rFonts w:ascii="Arial" w:cs="Arial" w:eastAsia="Arial" w:hAnsi="Arial"/>
                <w:b/>
                <w:bCs/>
                <w:color w:val="1B3A5C"/>
                <w:sz w:val="26"/>
                <w:szCs w:val="26"/>
              </w:rPr>
              <w:t xml:space="preserve">Appendices</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Appendix A —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tblHeader/>
        </w:trPr>
        <w:tc>
          <w:tcPr>
            <w:tcW w:type="dxa" w:w="24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4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Application runtime</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Python 3.11+ / PyInstaller .exe</w:t>
            </w:r>
          </w:p>
        </w:tc>
        <w:tc>
          <w:tcPr>
            <w:tcW w:type="dxa" w:w="44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Single executable, no separate Python install</w:t>
            </w:r>
          </w:p>
        </w:tc>
      </w:tr>
      <w:tr>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UI framework</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PyQt6</w:t>
            </w:r>
          </w:p>
        </w:tc>
        <w:tc>
          <w:tcPr>
            <w:tcW w:type="dxa" w:w="44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Native Windows controls</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Database</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SQLite + SQLCipher</w:t>
            </w:r>
          </w:p>
        </w:tc>
        <w:tc>
          <w:tcPr>
            <w:tcW w:type="dxa" w:w="44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AES-256 encrypted local store</w:t>
            </w:r>
          </w:p>
        </w:tc>
      </w:tr>
      <w:tr>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AI allocation engine</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scikit-learn (TF-IDF + LogReg)</w:t>
            </w:r>
          </w:p>
        </w:tc>
        <w:tc>
          <w:tcPr>
            <w:tcW w:type="dxa" w:w="44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Fully local — no external API calls</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HTTP client</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httpx (async)</w:t>
            </w:r>
          </w:p>
        </w:tc>
        <w:tc>
          <w:tcPr>
            <w:tcW w:type="dxa" w:w="44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TrueLayer API calls</w:t>
            </w:r>
          </w:p>
        </w:tc>
      </w:tr>
      <w:tr>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Cryptography</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PyCA cryptography library</w:t>
            </w:r>
          </w:p>
        </w:tc>
        <w:tc>
          <w:tcPr>
            <w:tcW w:type="dxa" w:w="44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PBKDF2, AES-256-GCM</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PDF generation</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ReportLab</w:t>
            </w:r>
          </w:p>
        </w:tc>
        <w:tc>
          <w:tcPr>
            <w:tcW w:type="dxa" w:w="44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All HMRC report outputs</w:t>
            </w:r>
          </w:p>
        </w:tc>
      </w:tr>
      <w:tr>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CSV handling</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Python csv + pandas</w:t>
            </w:r>
          </w:p>
        </w:tc>
        <w:tc>
          <w:tcPr>
            <w:tcW w:type="dxa" w:w="44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Import and export</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Open Banking</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TrueLayer Data API v1</w:t>
            </w:r>
          </w:p>
        </w:tc>
        <w:tc>
          <w:tcPr>
            <w:tcW w:type="dxa" w:w="44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Optional sync adapter</w:t>
            </w:r>
          </w:p>
        </w:tc>
      </w:tr>
      <w:tr>
        <w:tc>
          <w:tcPr>
            <w:tcW w:type="dxa" w:w="24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Document hashing</w:t>
            </w:r>
          </w:p>
        </w:tc>
        <w:tc>
          <w:tcPr>
            <w:tcW w:type="dxa" w:w="28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hashlib SHA-256</w:t>
            </w:r>
          </w:p>
        </w:tc>
        <w:tc>
          <w:tcPr>
            <w:tcW w:type="dxa" w:w="44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Approval tamper evidence</w:t>
            </w:r>
          </w:p>
        </w:tc>
      </w:tr>
    </w:tbl>
    <w:p>
      <w:pPr>
        <w:spacing w:after="0" w:before="100"/>
      </w:pPr>
      <w:r>
        <w:t xml:space="preserve"/>
      </w:r>
    </w:p>
    <w:p>
      <w:pPr>
        <w:pStyle w:val="Heading2"/>
        <w:spacing w:after="80" w:before="280"/>
      </w:pPr>
      <w:r>
        <w:rPr>
          <w:rFonts w:ascii="Arial" w:cs="Arial" w:eastAsia="Arial" w:hAnsi="Arial"/>
          <w:b/>
          <w:bCs/>
          <w:color w:val="2E6DA4"/>
          <w:sz w:val="24"/>
          <w:szCs w:val="24"/>
        </w:rPr>
        <w:t xml:space="preserve">Appendix B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8038"/>
            <w:tcBorders>
              <w:top w:val="single" w:color="BBCFE0" w:sz="1"/>
              <w:left w:val="single" w:color="BBCFE0" w:sz="1"/>
              <w:bottom w:val="single" w:color="BBCFE0" w:sz="1"/>
              <w:right w:val="single" w:color="BBCFE0"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AISP</w:t>
            </w:r>
          </w:p>
        </w:tc>
        <w:tc>
          <w:tcPr>
            <w:tcW w:type="dxa" w:w="80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Account Information Service Provider — regulated read-only bank data access role under Open Banking</w:t>
            </w:r>
          </w:p>
        </w:tc>
      </w:tr>
      <w:tr>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CoA</w:t>
            </w:r>
          </w:p>
        </w:tc>
        <w:tc>
          <w:tcPr>
            <w:tcW w:type="dxa" w:w="80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Chart of Accounts — the structured list of ledger accounts used to classify all financial transactions</w:t>
            </w:r>
          </w:p>
        </w:tc>
      </w:tr>
      <w:tr>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CT UTR</w:t>
            </w:r>
          </w:p>
        </w:tc>
        <w:tc>
          <w:tcPr>
            <w:tcW w:type="dxa" w:w="80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Corporation Tax Unique Taxpayer Reference — 10-digit reference issued by HMRC</w:t>
            </w:r>
          </w:p>
        </w:tc>
      </w:tr>
      <w:tr>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FRS</w:t>
            </w:r>
          </w:p>
        </w:tc>
        <w:tc>
          <w:tcPr>
            <w:tcW w:type="dxa" w:w="80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Flat Rate Scheme — simplified VAT scheme where the entity pays a fixed percentage of gross turnover</w:t>
            </w:r>
          </w:p>
        </w:tc>
      </w:tr>
      <w:tr>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GL</w:t>
            </w:r>
          </w:p>
        </w:tc>
        <w:tc>
          <w:tcPr>
            <w:tcW w:type="dxa" w:w="80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General Ledger — the complete committed transaction record, organised by account code</w:t>
            </w:r>
          </w:p>
        </w:tc>
      </w:tr>
      <w:tr>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MTD</w:t>
            </w:r>
          </w:p>
        </w:tc>
        <w:tc>
          <w:tcPr>
            <w:tcW w:type="dxa" w:w="80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Making Tax Digital — HMRC programme requiring digital VAT record-keeping and digital submission</w:t>
            </w:r>
          </w:p>
        </w:tc>
      </w:tr>
      <w:tr>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P&amp;L</w:t>
            </w:r>
          </w:p>
        </w:tc>
        <w:tc>
          <w:tcPr>
            <w:tcW w:type="dxa" w:w="80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Profit and Loss Account — income statement showing trading performance for a period</w:t>
            </w:r>
          </w:p>
        </w:tc>
      </w:tr>
      <w:tr>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TB</w:t>
            </w:r>
          </w:p>
        </w:tc>
        <w:tc>
          <w:tcPr>
            <w:tcW w:type="dxa" w:w="80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Trial Balance — summary of all GL account balances used to verify double-entry integrity</w:t>
            </w:r>
          </w:p>
        </w:tc>
      </w:tr>
      <w:tr>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TrueLayer</w:t>
            </w:r>
          </w:p>
        </w:tc>
        <w:tc>
          <w:tcPr>
            <w:tcW w:type="dxa" w:w="8038"/>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UK Open Banking aggregator providing AISP-regulated access to bank account data via API</w:t>
            </w:r>
          </w:p>
        </w:tc>
      </w:tr>
      <w:tr>
        <w:tc>
          <w:tcPr>
            <w:tcW w:type="dxa" w:w="1600"/>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VAT Scheme</w:t>
            </w:r>
          </w:p>
        </w:tc>
        <w:tc>
          <w:tcPr>
            <w:tcW w:type="dxa" w:w="8038"/>
            <w:tcBorders>
              <w:top w:val="single" w:color="BBCFE0" w:sz="1"/>
              <w:left w:val="single" w:color="BBCFE0" w:sz="1"/>
              <w:bottom w:val="single" w:color="BBCFE0" w:sz="1"/>
              <w:right w:val="single" w:color="BBCFE0" w:sz="1"/>
            </w:tcBorders>
            <w:shd w:fill="EEF5FB" w:val="clear"/>
            <w:tcMar>
              <w:top w:type="dxa" w:w="70"/>
              <w:left w:type="dxa" w:w="120"/>
              <w:bottom w:type="dxa" w:w="70"/>
              <w:right w:type="dxa" w:w="120"/>
            </w:tcMar>
          </w:tcPr>
          <w:p>
            <w:r>
              <w:rPr>
                <w:rFonts w:ascii="Arial" w:cs="Arial" w:eastAsia="Arial" w:hAnsi="Arial"/>
                <w:color w:val="444444"/>
                <w:sz w:val="18"/>
                <w:szCs w:val="18"/>
              </w:rPr>
              <w:t xml:space="preserve">The method by which VAT is accounted for: Standard Accrual, Cash Accounting, or Flat Rate</w:t>
            </w:r>
          </w:p>
        </w:tc>
      </w:tr>
    </w:tbl>
    <w:p>
      <w:pPr>
        <w:spacing w:after="0" w:before="20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2E6DA4" w:sz="6"/>
              <w:left w:val="none"/>
              <w:bottom w:val="none"/>
              <w:right w:val="none"/>
            </w:tcBorders>
            <w:shd w:fill="EEF5FB" w:val="clear"/>
            <w:tcMar>
              <w:top w:type="dxa" w:w="160"/>
              <w:left w:type="dxa" w:w="200"/>
              <w:bottom w:type="dxa" w:w="160"/>
              <w:right w:type="dxa" w:w="200"/>
            </w:tcMar>
          </w:tcPr>
          <w:p>
            <w:pPr>
              <w:jc w:val="center"/>
            </w:pPr>
            <w:r>
              <w:rPr>
                <w:rFonts w:ascii="Arial" w:cs="Arial" w:eastAsia="Arial" w:hAnsi="Arial"/>
                <w:b/>
                <w:bCs/>
                <w:color w:val="1B3A5C"/>
                <w:sz w:val="18"/>
                <w:szCs w:val="18"/>
              </w:rPr>
              <w:t xml:space="preserve">End of Document — FOS System Specification v1.1</w:t>
            </w:r>
          </w:p>
          <w:p>
            <w:pPr>
              <w:spacing w:before="60"/>
              <w:jc w:val="center"/>
            </w:pPr>
            <w:r>
              <w:rPr>
                <w:rFonts w:ascii="Arial" w:cs="Arial" w:eastAsia="Arial" w:hAnsi="Arial"/>
                <w:color w:val="888888"/>
                <w:sz w:val="16"/>
                <w:szCs w:val="16"/>
              </w:rPr>
              <w:t xml:space="preserve">Network Logic Limited  |  Rugby CV21 1JR  |  networklogic.uk</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6"/>
      </w:pBdr>
      <w:tabs>
        <w:tab w:val="right" w:pos="9638"/>
      </w:tabs>
      <w:spacing w:after="0" w:before="80"/>
    </w:pPr>
    <w:r>
      <w:rPr>
        <w:rFonts w:ascii="Arial" w:cs="Arial" w:eastAsia="Arial" w:hAnsi="Arial"/>
        <w:color w:val="888888"/>
        <w:sz w:val="16"/>
        <w:szCs w:val="16"/>
      </w:rPr>
      <w:t xml:space="preserve">Network Logic Limited  |  Rugby CV21 1JR  |  networklogic.uk</w:t>
    </w:r>
    <w:r>
      <w:rPr>
        <w:rFonts w:ascii="Arial" w:cs="Arial" w:eastAsia="Arial" w:hAnsi="Arial"/>
        <w:color w:val="888888"/>
        <w:sz w:val="16"/>
        <w:szCs w:val="16"/>
      </w:rPr>
      <w:t xml:space="preserve">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6"/>
      </w:pBdr>
      <w:spacing w:after="80" w:before="0"/>
    </w:pPr>
    <w:r>
      <w:rPr>
        <w:rFonts w:ascii="Arial" w:cs="Arial" w:eastAsia="Arial" w:hAnsi="Arial"/>
        <w:b/>
        <w:bCs/>
        <w:color w:val="1B3A5C"/>
        <w:sz w:val="16"/>
        <w:szCs w:val="16"/>
      </w:rPr>
      <w:t xml:space="preserve">FOS Multi-Company Accounting System</w:t>
    </w:r>
    <w:r>
      <w:rPr>
        <w:rFonts w:ascii="Arial" w:cs="Arial" w:eastAsia="Arial" w:hAnsi="Arial"/>
        <w:color w:val="888888"/>
        <w:sz w:val="16"/>
        <w:szCs w:val="16"/>
      </w:rPr>
      <w:t xml:space="preserve">   |   System Specification v1.1</w:t>
    </w:r>
    <w:r>
      <w:rPr>
        <w:rFonts w:ascii="Arial" w:cs="Arial" w:eastAsia="Arial" w:hAnsi="Arial"/>
        <w:b/>
        <w:bCs/>
        <w:color w:val="B22222"/>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5C"/>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E6DA4"/>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B3A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Ilyas Kadri</dc:creator>
  <dc:description>FOS Multi-Company Accounting System — Full Technical Specification v1.1</dc:description>
  <cp:lastModifiedBy>Ilyas Kadri</cp:lastModifiedBy>
  <cp:revision>1</cp:revision>
  <dcterms:created xsi:type="dcterms:W3CDTF">2026-05-31T14:06:12.393Z</dcterms:created>
  <dcterms:modified xsi:type="dcterms:W3CDTF">2026-05-31T14:06:12.406Z</dcterms:modified>
</cp:coreProperties>
</file>

<file path=docProps/custom.xml><?xml version="1.0" encoding="utf-8"?>
<Properties xmlns="http://schemas.openxmlformats.org/officeDocument/2006/custom-properties" xmlns:vt="http://schemas.openxmlformats.org/officeDocument/2006/docPropsVTypes"/>
</file>