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Report</w:t>
      </w:r>
    </w:p>
    <w:p>
      <w:pPr>
        <w:pStyle w:val="Heading1"/>
      </w:pPr>
      <w:bookmarkStart w:id="21" w:name="targets"/>
      <w:bookmarkEnd w:id="21"/>
      <w:r>
        <w:t xml:space="preserve">Targets</w:t>
      </w:r>
    </w:p>
    <w:p>
      <w:pPr>
        <w:pStyle w:val="Heading2"/>
      </w:pPr>
      <w:bookmarkStart w:id="22" w:name="urgent"/>
      <w:bookmarkEnd w:id="22"/>
      <w:r>
        <w:t xml:space="preserve">Urgent</w:t>
      </w:r>
    </w:p>
    <w:p>
      <w:pPr>
        <w:numPr>
          <w:numId w:val="1001"/>
          <w:ilvl w:val="0"/>
        </w:numPr>
      </w:pPr>
      <w:r>
        <w:t xml:space="preserve">Randomly selecting a node,</w:t>
      </w:r>
      <w:r>
        <w:t xml:space="preserve"> </w:t>
      </w:r>
      <w:r>
        <w:t xml:space="preserve">compute its care set,</w:t>
      </w:r>
      <w:r>
        <w:t xml:space="preserve"> </w:t>
      </w:r>
      <w:r>
        <w:t xml:space="preserve">change its care set,</w:t>
      </w:r>
      <w:r>
        <w:t xml:space="preserve"> </w:t>
      </w:r>
      <w:r>
        <w:t xml:space="preserve">synthesize the local circuit,</w:t>
      </w:r>
      <w:r>
        <w:t xml:space="preserve"> </w:t>
      </w:r>
      <w:r>
        <w:t xml:space="preserve">evaluate its area and error rate,</w:t>
      </w:r>
      <w:r>
        <w:t xml:space="preserve"> </w:t>
      </w:r>
      <w:r>
        <w:t xml:space="preserve">accept it with a certain probability.</w:t>
      </w:r>
    </w:p>
    <w:p>
      <w:pPr>
        <w:pStyle w:val="Heading2"/>
      </w:pPr>
      <w:bookmarkStart w:id="23" w:name="important"/>
      <w:bookmarkEnd w:id="23"/>
      <w:r>
        <w:t xml:space="preserve">Important</w:t>
      </w:r>
    </w:p>
    <w:p>
      <w:pPr>
        <w:numPr>
          <w:numId w:val="1002"/>
          <w:ilvl w:val="0"/>
        </w:numPr>
      </w:pPr>
      <w:r>
        <w:t xml:space="preserve">Use approximate confidence interval / hypothesis testing of Bernoulli experiments to evaluate the accuracy of error rate.</w:t>
      </w:r>
    </w:p>
    <w:p>
      <w:pPr>
        <w:numPr>
          <w:numId w:val="1002"/>
          <w:ilvl w:val="0"/>
        </w:numPr>
      </w:pPr>
      <w:r>
        <w:t xml:space="preserve">Trade off the accuracy of batch error estimation for speed</w:t>
      </w:r>
      <w:r>
        <w:t xml:space="preserve"> </w:t>
      </w:r>
      <w:r>
        <w:t xml:space="preserve">(even directly use Su’s equation to update Boolean difference),</w:t>
      </w:r>
      <w:r>
        <w:t xml:space="preserve"> </w:t>
      </w:r>
      <w:r>
        <w:t xml:space="preserve">perhaps use hypothesis testing to evaluate the accuracy.</w:t>
      </w:r>
    </w:p>
    <w:p>
      <w:pPr>
        <w:numPr>
          <w:numId w:val="1002"/>
          <w:ilvl w:val="0"/>
        </w:numPr>
      </w:pPr>
      <w:r>
        <w:t xml:space="preserve">Combine the simulation of circuits with the simulation of Monte Carlo Tree Search.</w:t>
      </w:r>
      <w:r>
        <w:t xml:space="preserve"> </w:t>
      </w:r>
      <w:r>
        <w:t xml:space="preserve">In other words,</w:t>
      </w:r>
      <w:r>
        <w:t xml:space="preserve"> </w:t>
      </w:r>
      <w:r>
        <w:t xml:space="preserve">in one loop of Monte Carlo Tree Search,</w:t>
      </w:r>
      <w:r>
        <w:t xml:space="preserve"> </w:t>
      </w:r>
      <w:r>
        <w:t xml:space="preserve">merge logic simulation and playout (only simulate circuit once and playout once).</w:t>
      </w:r>
    </w:p>
    <w:p>
      <w:pPr>
        <w:numPr>
          <w:numId w:val="1002"/>
          <w:ilvl w:val="0"/>
        </w:numPr>
      </w:pPr>
      <w:r>
        <w:t xml:space="preserve">Represent circuit with AIG because of more potential LAC candidates.</w:t>
      </w:r>
      <w:r>
        <w:t xml:space="preserve"> </w:t>
      </w:r>
      <w:r>
        <w:t xml:space="preserve">For each round, select one or more input wires and replace them with constant 0 or 1.</w:t>
      </w:r>
      <w:r>
        <w:t xml:space="preserve"> </w:t>
      </w:r>
      <w:r>
        <w:t xml:space="preserve">Consider how to combine Wu’s method (choose a subset of input wires and substitute).</w:t>
      </w:r>
    </w:p>
    <w:p>
      <w:pPr>
        <w:numPr>
          <w:numId w:val="1002"/>
          <w:ilvl w:val="0"/>
        </w:numPr>
      </w:pPr>
      <w:r>
        <w:t xml:space="preserve">Accelerate Approximate Logic Synthesis Ordered by Monte Carlo Tree Search:</w:t>
      </w:r>
      <w:r>
        <w:t xml:space="preserve"> </w:t>
      </w:r>
      <w:r>
        <w:t xml:space="preserve">reuse the result of batch error estimation in playout.</w:t>
      </w:r>
    </w:p>
    <w:p>
      <w:pPr>
        <w:numPr>
          <w:numId w:val="1002"/>
          <w:ilvl w:val="0"/>
        </w:numPr>
      </w:pPr>
      <w:r>
        <w:t xml:space="preserve">How DC affects BDD</w:t>
      </w:r>
    </w:p>
    <w:p>
      <w:pPr>
        <w:numPr>
          <w:numId w:val="1002"/>
          <w:ilvl w:val="0"/>
        </w:numPr>
      </w:pPr>
      <w:r>
        <w:t xml:space="preserve">Induce DC with PLA files</w:t>
      </w:r>
    </w:p>
    <w:p>
      <w:pPr>
        <w:pStyle w:val="Heading2"/>
      </w:pPr>
      <w:bookmarkStart w:id="24" w:name="worth-trying"/>
      <w:bookmarkEnd w:id="24"/>
      <w:r>
        <w:t xml:space="preserve">Worth Trying</w:t>
      </w:r>
    </w:p>
    <w:p>
      <w:pPr>
        <w:numPr>
          <w:numId w:val="1003"/>
          <w:ilvl w:val="0"/>
        </w:numPr>
      </w:pPr>
      <w:r>
        <w:t xml:space="preserve">Enhance default policy with greedy approach or field domain knowledge.</w:t>
      </w:r>
    </w:p>
    <w:p>
      <w:pPr>
        <w:numPr>
          <w:numId w:val="1003"/>
          <w:ilvl w:val="0"/>
        </w:numPr>
      </w:pPr>
      <w:r>
        <w:t xml:space="preserve">In expansion process of MCTS, expand more than one layers.</w:t>
      </w:r>
    </w:p>
    <w:p>
      <w:pPr>
        <w:numPr>
          <w:numId w:val="1003"/>
          <w:ilvl w:val="0"/>
        </w:numPr>
      </w:pPr>
      <w:r>
        <w:t xml:space="preserve">Tune parameters in MCTS.</w:t>
      </w:r>
    </w:p>
    <w:p>
      <w:pPr>
        <w:numPr>
          <w:numId w:val="1003"/>
          <w:ilvl w:val="0"/>
        </w:numPr>
      </w:pPr>
      <w:r>
        <w:t xml:space="preserve">Perform greedy flow on leaves of the final Monte Carlo Search Tree.</w:t>
      </w:r>
    </w:p>
    <w:p>
      <w:pPr>
        <w:numPr>
          <w:numId w:val="1003"/>
          <w:ilvl w:val="0"/>
        </w:numPr>
      </w:pPr>
      <w:r>
        <w:t xml:space="preserve">Combine beam search and MCTS.</w:t>
      </w:r>
    </w:p>
    <w:p>
      <w:pPr>
        <w:pStyle w:val="Heading2"/>
      </w:pPr>
      <w:bookmarkStart w:id="25" w:name="potential-topics"/>
      <w:bookmarkEnd w:id="25"/>
      <w:r>
        <w:t xml:space="preserve">Potential Topics</w:t>
      </w:r>
    </w:p>
    <w:p>
      <w:pPr>
        <w:numPr>
          <w:numId w:val="1004"/>
          <w:ilvl w:val="0"/>
        </w:numPr>
      </w:pPr>
      <w:r>
        <w:t xml:space="preserve">Relationship between power simulation and logic simulation.</w:t>
      </w:r>
    </w:p>
    <w:p>
      <w:pPr>
        <w:numPr>
          <w:numId w:val="1004"/>
          <w:ilvl w:val="0"/>
        </w:numPr>
      </w:pPr>
      <w:r>
        <w:t xml:space="preserve">Combine Binarized Neural Network with approximate computing.</w:t>
      </w:r>
    </w:p>
    <w:p>
      <w:pPr>
        <w:numPr>
          <w:numId w:val="1004"/>
          <w:ilvl w:val="0"/>
        </w:numPr>
      </w:pPr>
      <w:r>
        <w:t xml:space="preserve">Relationship between Boolean network and Bayesian Network.</w:t>
      </w:r>
    </w:p>
    <w:p>
      <w:pPr>
        <w:numPr>
          <w:numId w:val="1004"/>
          <w:ilvl w:val="0"/>
        </w:numPr>
      </w:pPr>
      <w:r>
        <w:t xml:space="preserve">Approximate TMR.</w:t>
      </w:r>
    </w:p>
    <w:p>
      <w:pPr>
        <w:pStyle w:val="Heading1"/>
      </w:pPr>
      <w:bookmarkStart w:id="26" w:name="progress"/>
      <w:bookmarkEnd w:id="26"/>
      <w:r>
        <w:t xml:space="preserve">Progress</w:t>
      </w:r>
    </w:p>
    <w:p>
      <w:pPr>
        <w:pStyle w:val="Heading2"/>
      </w:pPr>
      <w:bookmarkStart w:id="27" w:name="count-literals-for-sus-work"/>
      <w:bookmarkEnd w:id="27"/>
      <w:r>
        <w:t xml:space="preserve">Count #Literals for Su’s work</w:t>
      </w:r>
    </w:p>
    <w:p>
      <w:pPr>
        <w:pStyle w:val="FirstParagraph"/>
      </w:pPr>
      <w:r>
        <w:t xml:space="preserve">See</w:t>
      </w:r>
      <w:r>
        <w:t xml:space="preserve"> </w:t>
      </w:r>
      <w:r>
        <w:t xml:space="preserve">“</w:t>
      </w:r>
      <w:r>
        <w:t xml:space="preserve">./single-selection-result-20190319.xls</w:t>
      </w:r>
      <w:r>
        <w:t xml:space="preserve">”</w:t>
      </w:r>
    </w:p>
    <w:p>
      <w:pPr>
        <w:pStyle w:val="Heading2"/>
      </w:pPr>
      <w:bookmarkStart w:id="28" w:name="attempt-on-dont-care-based-als"/>
      <w:bookmarkEnd w:id="28"/>
      <w:r>
        <w:t xml:space="preserve">Attempt on Don’t Care Based ALS</w:t>
      </w:r>
    </w:p>
    <w:p>
      <w:pPr>
        <w:pStyle w:val="FirstParagraph"/>
      </w:pPr>
      <w:r>
        <w:t xml:space="preserve">Currently,</w:t>
      </w:r>
      <w:r>
        <w:t xml:space="preserve"> </w:t>
      </w:r>
      <w:r>
        <w:t xml:space="preserve">I modify the</w:t>
      </w:r>
      <w:r>
        <w:t xml:space="preserve"> </w:t>
      </w:r>
      <w:r>
        <w:t xml:space="preserve">“</w:t>
      </w:r>
      <w:r>
        <w:t xml:space="preserve">mfs</w:t>
      </w:r>
      <w:r>
        <w:t xml:space="preserve">”</w:t>
      </w:r>
      <w:r>
        <w:t xml:space="preserve"> </w:t>
      </w:r>
      <w:r>
        <w:t xml:space="preserve">command.</w:t>
      </w:r>
      <w:r>
        <w:t xml:space="preserve"> </w:t>
      </w:r>
      <w:r>
        <w:t xml:space="preserve">The framework is listed below:</w:t>
      </w:r>
    </w:p>
    <w:p>
      <w:pPr>
        <w:numPr>
          <w:numId w:val="1005"/>
          <w:ilvl w:val="0"/>
        </w:numPr>
      </w:pPr>
      <w:r>
        <w:t xml:space="preserve">Select a node</w:t>
      </w:r>
      <w:r>
        <w:t xml:space="preserve"> </w:t>
      </w:r>
      <m:oMath>
        <m:r>
          <m:t>f</m:t>
        </m:r>
      </m:oMath>
      <w:r>
        <w:t xml:space="preserve">. (Currently in topological order)</w:t>
      </w:r>
    </w:p>
    <w:p>
      <w:pPr>
        <w:numPr>
          <w:numId w:val="1005"/>
          <w:ilvl w:val="0"/>
        </w:numPr>
      </w:pPr>
      <w:r>
        <w:t xml:space="preserve">Collect the window for</w:t>
      </w:r>
      <w:r>
        <w:t xml:space="preserve"> </w:t>
      </w:r>
      <m:oMath>
        <m:r>
          <m:t>f</m:t>
        </m:r>
      </m:oMath>
      <w:r>
        <w:t xml:space="preserve">,</w:t>
      </w:r>
      <w:r>
        <w:t xml:space="preserve"> </w:t>
      </w:r>
      <w:r>
        <w:t xml:space="preserve">whose inputs are primary inputs</w:t>
      </w:r>
      <w:r>
        <w:t xml:space="preserve"> </w:t>
      </w:r>
      <w:r>
        <w:t xml:space="preserve">$\mathtt x$</w:t>
      </w:r>
      <w:r>
        <w:t xml:space="preserve">,</w:t>
      </w:r>
      <w:r>
        <w:t xml:space="preserve"> </w:t>
      </w:r>
      <w:r>
        <w:t xml:space="preserve">outputs</w:t>
      </w:r>
      <w:r>
        <w:t xml:space="preserve"> </w:t>
      </w:r>
      <w:r>
        <w:t xml:space="preserve">$\mathtt z$</w:t>
      </w:r>
      <w:r>
        <w:t xml:space="preserve"> </w:t>
      </w:r>
      <w:r>
        <w:t xml:space="preserve">are nodes in</w:t>
      </w:r>
      <w:r>
        <w:t xml:space="preserve"> </w:t>
      </w:r>
      <m:oMath>
        <m:r>
          <m:t>f</m:t>
        </m:r>
      </m:oMath>
      <w:r>
        <w:t xml:space="preserve">’s fanout cone.</w:t>
      </w:r>
    </w:p>
    <w:p>
      <w:pPr>
        <w:numPr>
          <w:numId w:val="1005"/>
          <w:ilvl w:val="0"/>
        </w:numPr>
      </w:pPr>
      <w:r>
        <w:t xml:space="preserve">Build a miter</w:t>
      </w:r>
      <w:r>
        <w:t xml:space="preserve"> </w:t>
      </w:r>
      <w:r>
        <w:t xml:space="preserve">$O(\mathtt x)$</w:t>
      </w:r>
      <w:r>
        <w:t xml:space="preserve"> </w:t>
      </w:r>
      <w:r>
        <w:t xml:space="preserve">for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numPr>
          <w:numId w:val="1005"/>
          <w:ilvl w:val="0"/>
        </w:numPr>
      </w:pPr>
      <w:r>
        <w:t xml:space="preserve">Set approximate don’t care assignments by change the miter. (which will be discussed later)</w:t>
      </w:r>
    </w:p>
    <w:p>
      <w:pPr>
        <w:numPr>
          <w:numId w:val="1005"/>
          <w:ilvl w:val="0"/>
        </w:numPr>
      </w:pPr>
      <w:r>
        <w:t xml:space="preserve">Build the SAT problem.</w:t>
      </w:r>
    </w:p>
    <w:p>
      <w:pPr>
        <w:numPr>
          <w:numId w:val="1005"/>
          <w:ilvl w:val="0"/>
        </w:numPr>
      </w:pPr>
      <w:r>
        <w:t xml:space="preserve">Solve SAT, find interpolation and change the circuit.</w:t>
      </w:r>
    </w:p>
    <w:p>
      <w:pPr>
        <w:numPr>
          <w:numId w:val="1005"/>
          <w:ilvl w:val="0"/>
        </w:numPr>
      </w:pPr>
      <w:r>
        <w:t xml:space="preserve">If exists other unprocessed node, return to 1.</w:t>
      </w:r>
    </w:p>
    <w:p>
      <w:pPr>
        <w:pStyle w:val="FirstParagraph"/>
      </w:pPr>
      <w:r>
        <w:drawing>
          <wp:inline>
            <wp:extent cx="2557529" cy="2339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/mi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529" cy="23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how-to-add-approximate-dc-assignments"/>
      <w:bookmarkEnd w:id="30"/>
      <w:r>
        <w:t xml:space="preserve">How to Add Approximate DC assignments</w:t>
      </w:r>
    </w:p>
    <w:p>
      <w:pPr>
        <w:pStyle w:val="FirstParagraph"/>
      </w:pPr>
      <w:r>
        <w:t xml:space="preserve">For a miter,</w:t>
      </w:r>
    </w:p>
    <w:p>
      <w:pPr>
        <w:pStyle w:val="BodyText"/>
      </w:pPr>
      <w:r>
        <w:t xml:space="preserve">$$O(\mathtt x) = 0, \mathtt x \in DC\ set$$</w:t>
      </w:r>
    </w:p>
    <w:p>
      <w:pPr>
        <w:pStyle w:val="FirstParagraph"/>
      </w:pPr>
      <w:r>
        <w:t xml:space="preserve">$$O(\mathtt x) = 1, \mathtt x \in care\ set$$</w:t>
      </w:r>
    </w:p>
    <w:p>
      <w:pPr>
        <w:pStyle w:val="FirstParagraph"/>
      </w:pPr>
      <w:r>
        <w:t xml:space="preserve">We want to set an assignment</w:t>
      </w:r>
      <w:r>
        <w:t xml:space="preserve"> </w:t>
      </w:r>
      <w:r>
        <w:t xml:space="preserve">$\hat{\mathtt x} = x_1 x_2 \dots x_n$</w:t>
      </w:r>
      <w:r>
        <w:t xml:space="preserve"> </w:t>
      </w:r>
      <w:r>
        <w:t xml:space="preserve">as don’t care,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  <m:r>
          <m:t>/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Then for</w:t>
      </w:r>
      <w:r>
        <w:t xml:space="preserve"> </w:t>
      </w:r>
      <w:r>
        <w:t xml:space="preserve">$\mathtt x = \hat{\mathtt x}$</w:t>
      </w:r>
      <w:r>
        <w:t xml:space="preserve">,</w:t>
      </w:r>
      <w:r>
        <w:t xml:space="preserve"> </w:t>
      </w:r>
      <w:r>
        <w:t xml:space="preserve">$\hat{O}(\mathtt x) = 0$</w:t>
      </w:r>
      <w:r>
        <w:t xml:space="preserve">,</w:t>
      </w:r>
      <w:r>
        <w:t xml:space="preserve"> </w:t>
      </w:r>
      <w:r>
        <w:t xml:space="preserve">for</w:t>
      </w:r>
      <w:r>
        <w:t xml:space="preserve"> </w:t>
      </w:r>
      <w:r>
        <w:t xml:space="preserve">$\mathtt x \neq \hat{\mathtt x}$</w:t>
      </w:r>
      <w:r>
        <w:t xml:space="preserve">,</w:t>
      </w:r>
      <w:r>
        <w:t xml:space="preserve"> </w:t>
      </w:r>
      <w:r>
        <w:t xml:space="preserve">$\hat{O}(\mathtt x) = O(\mathtt x)$</w:t>
      </w:r>
      <w:r>
        <w:t xml:space="preserve">.</w:t>
      </w:r>
      <w:r>
        <w:t xml:space="preserve"> </w:t>
      </w:r>
      <w:r>
        <w:t xml:space="preserve">So</w:t>
      </w:r>
    </w:p>
    <w:p>
      <w:pPr>
        <w:pStyle w:val="BodyText"/>
      </w:pPr>
      <w:r>
        <w:t xml:space="preserve">$$\hat O(\mathtt x) = \bar{\hat{\mathtt x}} O(\mathtt x)$$</w:t>
      </w:r>
    </w:p>
    <w:p>
      <w:pPr>
        <w:pStyle w:val="Heading2"/>
      </w:pPr>
      <w:bookmarkStart w:id="31" w:name="test-on-c880"/>
      <w:bookmarkEnd w:id="31"/>
      <w:r>
        <w:t xml:space="preserve">Test on c880</w:t>
      </w:r>
    </w:p>
    <w:p>
      <w:pPr>
        <w:pStyle w:val="FirstParagraph"/>
      </w:pPr>
      <w:r>
        <w:t xml:space="preserve">Since the approximate DCs are directly added on primary inputs,</w:t>
      </w:r>
      <w:r>
        <w:t xml:space="preserve"> </w:t>
      </w:r>
      <w:r>
        <w:t xml:space="preserve">the number of approximate DCs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decides an upper bound of error rate.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r</m:t>
          </m:r>
          <m:r>
            <m:t>≤</m:t>
          </m:r>
          <m:r>
            <m:t>m</m:t>
          </m:r>
          <m:r>
            <m:t>/</m:t>
          </m:r>
          <m:sSup>
            <m:e>
              <m:r>
                <m:t>2</m:t>
              </m:r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primary input.</w:t>
      </w:r>
    </w:p>
    <w:p>
      <w:pPr>
        <w:pStyle w:val="BodyText"/>
      </w:pPr>
      <w:r>
        <w:t xml:space="preserve">For c880,</w:t>
      </w:r>
      <w:r>
        <w:t xml:space="preserve"> </w:t>
      </w:r>
      <m:oMath>
        <m:r>
          <m:t>n</m:t>
        </m:r>
        <m:r>
          <m:t>=</m:t>
        </m:r>
        <m:r>
          <m:t>26</m:t>
        </m:r>
      </m:oMath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time/s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607</w:t>
            </w:r>
          </w:p>
        </w:tc>
        <w:tc>
          <w:p>
            <w:pPr>
              <w:pStyle w:val="Compact"/>
              <w:jc w:val="center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0.000000014</w:t>
            </w:r>
          </w:p>
        </w:tc>
        <w:tc>
          <w:p>
            <w:pPr>
              <w:pStyle w:val="Compact"/>
              <w:jc w:val="center"/>
            </w:pPr>
            <w:r>
              <w:t xml:space="preserve">589</w:t>
            </w:r>
          </w:p>
        </w:tc>
        <w:tc>
          <w:p>
            <w:pPr>
              <w:pStyle w:val="Compact"/>
              <w:jc w:val="center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0.000000149</w:t>
            </w:r>
          </w:p>
        </w:tc>
        <w:tc>
          <w:p>
            <w:pPr>
              <w:pStyle w:val="Compact"/>
              <w:jc w:val="center"/>
            </w:pPr>
            <w:r>
              <w:t xml:space="preserve">594</w:t>
            </w:r>
          </w:p>
        </w:tc>
        <w:tc>
          <w:p>
            <w:pPr>
              <w:pStyle w:val="Compact"/>
              <w:jc w:val="center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0.000001490</w:t>
            </w:r>
          </w:p>
        </w:tc>
        <w:tc>
          <w:p>
            <w:pPr>
              <w:pStyle w:val="Compact"/>
              <w:jc w:val="center"/>
            </w:pPr>
            <w:r>
              <w:t xml:space="preserve">553</w:t>
            </w:r>
          </w:p>
        </w:tc>
        <w:tc>
          <w:p>
            <w:pPr>
              <w:pStyle w:val="Compact"/>
              <w:jc w:val="center"/>
            </w:pPr>
            <w:r>
              <w:t xml:space="preserve">0.595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0.000014901</w:t>
            </w:r>
          </w:p>
        </w:tc>
        <w:tc>
          <w:p>
            <w:pPr>
              <w:pStyle w:val="Compact"/>
              <w:jc w:val="center"/>
            </w:pPr>
            <w:r>
              <w:t xml:space="preserve">532</w:t>
            </w:r>
          </w:p>
        </w:tc>
        <w:tc>
          <w:p>
            <w:pPr>
              <w:pStyle w:val="Compact"/>
              <w:jc w:val="center"/>
            </w:pPr>
            <w:r>
              <w:t xml:space="preserve">5.452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10000</w:t>
            </w:r>
          </w:p>
        </w:tc>
        <w:tc>
          <w:p>
            <w:pPr>
              <w:pStyle w:val="Compact"/>
              <w:jc w:val="center"/>
            </w:pPr>
            <w:r>
              <w:t xml:space="preserve">0.000149012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center"/>
            </w:pPr>
            <w:r>
              <w:t xml:space="preserve">70.104</w:t>
            </w:r>
          </w:p>
        </w:tc>
      </w:tr>
    </w:tbl>
    <w:p>
      <w:pPr>
        <w:pStyle w:val="BodyText"/>
      </w:pPr>
      <w:r>
        <w:t xml:space="preserve">It seems to be promising,</w:t>
      </w:r>
      <w:r>
        <w:t xml:space="preserve"> </w:t>
      </w:r>
      <w:r>
        <w:t xml:space="preserve">compared to area of 506 under 5% error rate in Wu’s result.</w:t>
      </w:r>
    </w:p>
    <w:p>
      <w:pPr>
        <w:pStyle w:val="BodyText"/>
      </w:pPr>
      <w:r>
        <w:t xml:space="preserve">Time increases as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grows because of the number of clauses in SAT solver increases.</w:t>
      </w:r>
      <w:r>
        <w:t xml:space="preserve"> </w:t>
      </w:r>
      <w:r>
        <w:t xml:space="preserve">I have two techniques to solve it:</w:t>
      </w:r>
    </w:p>
    <w:p>
      <w:pPr>
        <w:numPr>
          <w:numId w:val="1006"/>
          <w:ilvl w:val="0"/>
        </w:numPr>
      </w:pPr>
      <w:r>
        <w:t xml:space="preserve">Synthesize the approximate DCs clauses before adding to a solver.</w:t>
      </w:r>
    </w:p>
    <w:p>
      <w:pPr>
        <w:numPr>
          <w:numId w:val="1006"/>
          <w:ilvl w:val="0"/>
        </w:numPr>
      </w:pPr>
      <w:r>
        <w:t xml:space="preserve">Limit the input of the miter window. (But how to assess the error rate)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49f1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7a55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21f67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/>
  <dcterms:created xsi:type="dcterms:W3CDTF">2019-03-18T17:28:46Z</dcterms:created>
  <dcterms:modified xsi:type="dcterms:W3CDTF">2019-03-18T17:28:46Z</dcterms:modified>
</cp:coreProperties>
</file>