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15kk_nnn &lt;system&gt; (yyyy-yyyy) – Godkjent deponering Arkivpakke AIP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12_Godkjenning_v1.2_IKAMR_2018-11-10.docx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Overskrift1"/>
        <w:rPr>
          <w:szCs w:val="24"/>
        </w:rPr>
      </w:pPr>
      <w:r>
        <w:rPr>
          <w:szCs w:val="24"/>
        </w:rPr>
        <w:t>Depot godkjenning Arkivpakke AIP</w:t>
      </w: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&lt;FFKK_nn</w:t>
      </w:r>
      <w:bookmarkStart w:id="0" w:name="_GoBack"/>
      <w:bookmarkEnd w:id="0"/>
      <w:r>
        <w:rPr>
          <w:bCs/>
        </w:rPr>
        <w:t>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20/nnn-n; 2020-mm-dd</w:t>
      </w:r>
    </w:p>
    <w:p>
      <w:pPr>
        <w:autoSpaceDE w:val="0"/>
        <w:rPr>
          <w:bCs/>
        </w:rPr>
      </w:pPr>
      <w:r>
        <w:rPr>
          <w:b/>
          <w:bCs/>
        </w:rPr>
        <w:t>Dato godkjent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Godkjenning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Deponert </w:t>
      </w:r>
      <w:r>
        <w:rPr>
          <w:rFonts w:ascii="Calibri" w:hAnsi="Calibri" w:cs="Calibri"/>
          <w:b/>
        </w:rPr>
        <w:t>System</w:t>
      </w:r>
      <w:r>
        <w:rPr>
          <w:rFonts w:ascii="Calibri" w:hAnsi="Calibri" w:cs="Calibri"/>
        </w:rPr>
        <w:t xml:space="preserve"> er herved Godkjent Arkivpakke AIP av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>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Se vedlagt «Sjekkliste for godkjenning av innlevert elektronisk arkiv» med tilhørende testrapporter.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Depot kan i ettertid gjennomføre kvalitetssikring og stikkprøver på enkelte avvik i samarbeid med Arkivskaper og dokumentere dette i egen rapport.</w:t>
      </w:r>
    </w:p>
    <w:p>
      <w:pPr>
        <w:pStyle w:val="Overskrift1"/>
        <w:rPr>
          <w:szCs w:val="24"/>
        </w:rPr>
      </w:pPr>
      <w:r>
        <w:rPr>
          <w:szCs w:val="24"/>
        </w:rPr>
        <w:t>Hjemmelsgrunnlag for test, validering, godkjenning eller avvisning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ivaretar arkivdepotfunksjonen for papirarkiv og elektronisk skapt arkiv for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med hjemmel i § 18 i ”Forskrift om offentlege arkiv”. Det er med utgangspunkt i dette hjemmelsgrunnlaget at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har foretatt en gjennomgang av denne innleveringen av </w:t>
      </w:r>
      <w:r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  <w:bCs/>
        </w:rPr>
        <w:t>.</w:t>
      </w:r>
    </w:p>
    <w:p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>
      <w:pPr>
        <w:autoSpaceDE w:val="0"/>
        <w:rPr>
          <w:szCs w:val="24"/>
        </w:rPr>
      </w:pPr>
      <w:r>
        <w:rPr>
          <w:szCs w:val="24"/>
        </w:rPr>
        <w:t>For innlevering av eldre og avsluttet elektronisk arkiv til kommunalt arkivdepot gjelder følgende regelverk: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offentlege arkiv § 3, § 4, § 5, § 6, § 7, § 11, § 12, § 13, § 16, § 18, § 19 og § 20.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>
      <w:pPr>
        <w:autoSpaceDE w:val="0"/>
        <w:rPr>
          <w:sz w:val="20"/>
        </w:rPr>
      </w:pPr>
    </w:p>
    <w:p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avleveres eller overføres som depositum til Arkivverket" så langt dette er </w:t>
      </w:r>
      <w:r>
        <w:lastRenderedPageBreak/>
        <w:t xml:space="preserve">hensiktsmessig. </w:t>
      </w:r>
      <w:r>
        <w:rPr>
          <w:b/>
        </w:rPr>
        <w:t>Depot</w:t>
      </w:r>
      <w:r>
        <w:t xml:space="preserve"> har derfor sjekket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>opp mot paragrafene § 5-6 t.o.m. § 5-32 i A. (nevnt ovenfor).  De første 5 paragrafene er ikke relevante som testpunkt for en innlevering.</w:t>
      </w:r>
    </w:p>
    <w:p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Håndtering av mottatt digitalt arkivmateriale i depot IKAMR utføres iht. IKAMR prosesser og rutiner.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Deponert uttrekk som Innleveringspakke SIP blir enten Godkjent eller Avvist.</w:t>
      </w:r>
      <w:r>
        <w:rPr>
          <w:rFonts w:ascii="Calibri" w:hAnsi="Calibri" w:cs="Calibri"/>
        </w:rPr>
        <w:br/>
        <w:t>Produksjonssystemet kan ikke slettes/kasseres før melding Godkjent fra IKAMR depot er mottatt av Arkivskaper.</w:t>
      </w:r>
    </w:p>
    <w:p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A2</w:t>
      </w:r>
      <w:r>
        <w:rPr>
          <w:rFonts w:ascii="Calibri" w:hAnsi="Calibri" w:cs="Calibri"/>
        </w:rPr>
        <w:tab/>
        <w:t>Mottakskontroll i IKAMR depot</w:t>
      </w:r>
      <w:r>
        <w:rPr>
          <w:rFonts w:ascii="Calibri" w:hAnsi="Calibri" w:cs="Calibri"/>
        </w:rPr>
        <w:br/>
        <w:t>A2-1</w:t>
      </w:r>
      <w:r>
        <w:rPr>
          <w:rFonts w:ascii="Calibri" w:hAnsi="Calibri" w:cs="Calibri"/>
        </w:rPr>
        <w:tab/>
        <w:t>Håndtering av avtale (ført i IKAMR saksarkiv)</w:t>
      </w:r>
      <w:r>
        <w:rPr>
          <w:rFonts w:ascii="Calibri" w:hAnsi="Calibri" w:cs="Calibri"/>
        </w:rPr>
        <w:br/>
        <w:t>A2-2</w:t>
      </w:r>
      <w:r>
        <w:rPr>
          <w:rFonts w:ascii="Calibri" w:hAnsi="Calibri" w:cs="Calibri"/>
        </w:rPr>
        <w:tab/>
        <w:t>Oppretting av depot-logg (alle operasjoner i depot loggføres)</w:t>
      </w:r>
      <w:r>
        <w:rPr>
          <w:rFonts w:ascii="Calibri" w:hAnsi="Calibri" w:cs="Calibri"/>
        </w:rPr>
        <w:br/>
        <w:t>A2-3</w:t>
      </w:r>
      <w:r>
        <w:rPr>
          <w:rFonts w:ascii="Calibri" w:hAnsi="Calibri" w:cs="Calibri"/>
        </w:rPr>
        <w:tab/>
        <w:t>Mottak (Innleveringspakke SIP lagt i antivirus karantene)</w:t>
      </w:r>
      <w:r>
        <w:rPr>
          <w:rFonts w:ascii="Calibri" w:hAnsi="Calibri" w:cs="Calibri"/>
        </w:rPr>
        <w:br/>
        <w:t>A2-4</w:t>
      </w:r>
      <w:r>
        <w:rPr>
          <w:rFonts w:ascii="Calibri" w:hAnsi="Calibri" w:cs="Calibri"/>
        </w:rPr>
        <w:tab/>
        <w:t>Registrering (mottak registreres i IKAMR saksarkiv)</w:t>
      </w:r>
      <w:r>
        <w:rPr>
          <w:rFonts w:ascii="Calibri" w:hAnsi="Calibri" w:cs="Calibri"/>
        </w:rPr>
        <w:br/>
        <w:t>A2-5</w:t>
      </w:r>
      <w:r>
        <w:rPr>
          <w:rFonts w:ascii="Calibri" w:hAnsi="Calibri" w:cs="Calibri"/>
        </w:rPr>
        <w:tab/>
        <w:t>Utsending av kvittering (dette dokumentet som utgående journalpost)</w:t>
      </w:r>
      <w:r>
        <w:rPr>
          <w:rFonts w:ascii="Calibri" w:hAnsi="Calibri" w:cs="Calibri"/>
        </w:rPr>
        <w:br/>
        <w:t>A2-6</w:t>
      </w:r>
      <w:r>
        <w:rPr>
          <w:rFonts w:ascii="Calibri" w:hAnsi="Calibri" w:cs="Calibri"/>
        </w:rPr>
        <w:tab/>
        <w:t>Antivirus kontroll (etter antivirus karantene)</w:t>
      </w:r>
      <w:r>
        <w:rPr>
          <w:rFonts w:ascii="Calibri" w:hAnsi="Calibri" w:cs="Calibri"/>
        </w:rPr>
        <w:br/>
        <w:t>A2-7</w:t>
      </w:r>
      <w:r>
        <w:rPr>
          <w:rFonts w:ascii="Calibri" w:hAnsi="Calibri" w:cs="Calibri"/>
        </w:rPr>
        <w:tab/>
        <w:t>Innholdskontroll (&lt;uuid&gt;.tar, info.xml, sysdoc, report og ev. andre filer og mapper)</w:t>
      </w:r>
      <w:r>
        <w:rPr>
          <w:rFonts w:ascii="Calibri" w:hAnsi="Calibri" w:cs="Calibri"/>
        </w:rPr>
        <w:br/>
        <w:t>A2-8</w:t>
      </w:r>
      <w:r>
        <w:rPr>
          <w:rFonts w:ascii="Calibri" w:hAnsi="Calibri" w:cs="Calibri"/>
        </w:rPr>
        <w:tab/>
        <w:t>Integritetssikring (kontroll av sjekksum Innleveringspakke SIP mot sjekksummer i info.xml)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A3</w:t>
      </w:r>
      <w:r>
        <w:rPr>
          <w:rFonts w:ascii="Calibri" w:hAnsi="Calibri" w:cs="Calibri"/>
        </w:rPr>
        <w:tab/>
        <w:t>Innsjekking i IKAMR depot</w:t>
      </w:r>
      <w:r>
        <w:rPr>
          <w:rFonts w:ascii="Calibri" w:hAnsi="Calibri" w:cs="Calibri"/>
        </w:rPr>
        <w:br/>
        <w:t>A3-1</w:t>
      </w:r>
      <w:r>
        <w:rPr>
          <w:rFonts w:ascii="Calibri" w:hAnsi="Calibri" w:cs="Calibri"/>
        </w:rPr>
        <w:tab/>
        <w:t>Data innhenting (kopi av Innleveringspakke SIP overføres til testområde)</w:t>
      </w:r>
      <w:r>
        <w:rPr>
          <w:rFonts w:ascii="Calibri" w:hAnsi="Calibri" w:cs="Calibri"/>
        </w:rPr>
        <w:br/>
        <w:t>A3-2</w:t>
      </w:r>
      <w:r>
        <w:rPr>
          <w:rFonts w:ascii="Calibri" w:hAnsi="Calibri" w:cs="Calibri"/>
        </w:rPr>
        <w:tab/>
        <w:t>Integritetssikring (etter overføring til testområde)</w:t>
      </w:r>
      <w:r>
        <w:rPr>
          <w:rFonts w:ascii="Calibri" w:hAnsi="Calibri" w:cs="Calibri"/>
        </w:rPr>
        <w:br/>
        <w:t>A3-3</w:t>
      </w:r>
      <w:r>
        <w:rPr>
          <w:rFonts w:ascii="Calibri" w:hAnsi="Calibri" w:cs="Calibri"/>
        </w:rPr>
        <w:tab/>
        <w:t>Utpakking av Innleveringspakke SIP (fra tar-format til filer og mapper)</w:t>
      </w:r>
      <w:r>
        <w:rPr>
          <w:rFonts w:ascii="Calibri" w:hAnsi="Calibri" w:cs="Calibri"/>
        </w:rPr>
        <w:br/>
        <w:t>A3-4</w:t>
      </w:r>
      <w:r>
        <w:rPr>
          <w:rFonts w:ascii="Calibri" w:hAnsi="Calibri" w:cs="Calibri"/>
        </w:rPr>
        <w:tab/>
        <w:t>Validering av xml mot DIAS-skjemaer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A4</w:t>
      </w:r>
      <w:r>
        <w:rPr>
          <w:rFonts w:ascii="Calibri" w:hAnsi="Calibri" w:cs="Calibri"/>
        </w:rPr>
        <w:tab/>
        <w:t>Testing</w:t>
      </w:r>
      <w:r>
        <w:rPr>
          <w:rFonts w:ascii="Calibri" w:hAnsi="Calibri" w:cs="Calibri"/>
        </w:rPr>
        <w:br/>
        <w:t>A4-1</w:t>
      </w:r>
      <w:r>
        <w:rPr>
          <w:rFonts w:ascii="Calibri" w:hAnsi="Calibri" w:cs="Calibri"/>
        </w:rPr>
        <w:tab/>
        <w:t>Oppretting av test-logg</w:t>
      </w:r>
      <w:r>
        <w:rPr>
          <w:rFonts w:ascii="Calibri" w:hAnsi="Calibri" w:cs="Calibri"/>
        </w:rPr>
        <w:br/>
        <w:t>A4-2</w:t>
      </w:r>
      <w:r>
        <w:rPr>
          <w:rFonts w:ascii="Calibri" w:hAnsi="Calibri" w:cs="Calibri"/>
        </w:rPr>
        <w:tab/>
        <w:t>Teknisk konsistens, korrekt og komplett (xml validering mot xsd skjema, arkivformat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dokument pdf/a og andre arkivformat, dokumentasjon vedlagt osv.)</w:t>
      </w:r>
      <w:r>
        <w:rPr>
          <w:rFonts w:ascii="Calibri" w:hAnsi="Calibri" w:cs="Calibri"/>
        </w:rPr>
        <w:br/>
        <w:t>A4-3</w:t>
      </w:r>
      <w:r>
        <w:rPr>
          <w:rFonts w:ascii="Calibri" w:hAnsi="Calibri" w:cs="Calibri"/>
        </w:rPr>
        <w:tab/>
        <w:t>Struktur- og formatkrav</w:t>
      </w:r>
      <w:r>
        <w:rPr>
          <w:rFonts w:ascii="Calibri" w:hAnsi="Calibri" w:cs="Calibri"/>
        </w:rPr>
        <w:br/>
        <w:t>A4-4</w:t>
      </w:r>
      <w:r>
        <w:rPr>
          <w:rFonts w:ascii="Calibri" w:hAnsi="Calibri" w:cs="Calibri"/>
        </w:rPr>
        <w:tab/>
        <w:t>Teknisk- og bevarings-metadata</w:t>
      </w:r>
      <w:r>
        <w:rPr>
          <w:rFonts w:ascii="Calibri" w:hAnsi="Calibri" w:cs="Calibri"/>
        </w:rPr>
        <w:br/>
        <w:t>A4-5</w:t>
      </w:r>
      <w:r>
        <w:rPr>
          <w:rFonts w:ascii="Calibri" w:hAnsi="Calibri" w:cs="Calibri"/>
        </w:rPr>
        <w:tab/>
        <w:t>Sjekksummer i enkeltfiler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A5</w:t>
      </w:r>
      <w:r>
        <w:rPr>
          <w:rFonts w:ascii="Calibri" w:hAnsi="Calibri" w:cs="Calibri"/>
        </w:rPr>
        <w:tab/>
        <w:t>Lage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A6</w:t>
      </w:r>
      <w:r>
        <w:rPr>
          <w:rFonts w:ascii="Calibri" w:hAnsi="Calibri" w:cs="Calibri"/>
        </w:rPr>
        <w:tab/>
        <w:t>Lagring</w:t>
      </w:r>
      <w:r>
        <w:rPr>
          <w:rFonts w:ascii="Calibri" w:hAnsi="Calibri" w:cs="Calibri"/>
        </w:rPr>
        <w:br/>
        <w:t>A6-1</w:t>
      </w:r>
      <w:r>
        <w:rPr>
          <w:rFonts w:ascii="Calibri" w:hAnsi="Calibri" w:cs="Calibri"/>
        </w:rPr>
        <w:tab/>
        <w:t>Lagring i KDRS depotforvaltningssystem</w:t>
      </w:r>
      <w:r>
        <w:rPr>
          <w:rFonts w:ascii="Calibri" w:hAnsi="Calibri" w:cs="Calibri"/>
        </w:rPr>
        <w:br/>
        <w:t>A6-2</w:t>
      </w:r>
      <w:r>
        <w:rPr>
          <w:rFonts w:ascii="Calibri" w:hAnsi="Calibri" w:cs="Calibri"/>
        </w:rPr>
        <w:tab/>
        <w:t>Tilbakemelding og opprydding</w:t>
      </w:r>
      <w:r>
        <w:rPr>
          <w:rFonts w:ascii="Calibri" w:hAnsi="Calibri" w:cs="Calibri"/>
        </w:rPr>
        <w:br/>
        <w:t>A6-2-1</w:t>
      </w:r>
      <w:r>
        <w:rPr>
          <w:rFonts w:ascii="Calibri" w:hAnsi="Calibri" w:cs="Calibri"/>
        </w:rPr>
        <w:tab/>
        <w:t>Lage tilbakemelding (IKAMR saksarkiv som Godkjent eller Avvist)</w:t>
      </w:r>
      <w:r>
        <w:rPr>
          <w:rFonts w:ascii="Calibri" w:hAnsi="Calibri" w:cs="Calibri"/>
        </w:rPr>
        <w:br/>
        <w:t>A6-2-2</w:t>
      </w:r>
      <w:r>
        <w:rPr>
          <w:rFonts w:ascii="Calibri" w:hAnsi="Calibri" w:cs="Calibri"/>
        </w:rPr>
        <w:tab/>
        <w:t>Utsending av tilbakemelding (til Arkivskaper eller andre som ber om innsyn)</w:t>
      </w:r>
      <w:r>
        <w:rPr>
          <w:rFonts w:ascii="Calibri" w:hAnsi="Calibri" w:cs="Calibri"/>
        </w:rPr>
        <w:br/>
        <w:t>A6-2-3</w:t>
      </w:r>
      <w:r>
        <w:rPr>
          <w:rFonts w:ascii="Calibri" w:hAnsi="Calibri" w:cs="Calibri"/>
        </w:rPr>
        <w:tab/>
        <w:t>Opprydding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6</cp:revision>
  <cp:lastPrinted>2018-11-07T19:06:00Z</cp:lastPrinted>
  <dcterms:created xsi:type="dcterms:W3CDTF">2018-11-10T12:04:00Z</dcterms:created>
  <dcterms:modified xsi:type="dcterms:W3CDTF">2020-03-04T21:15:00Z</dcterms:modified>
</cp:coreProperties>
</file>