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Mobio Production Readiness Report</w:t>
      </w:r>
    </w:p>
    <w:p>
      <w:pPr>
        <w:pStyle w:val="Subtitle"/>
      </w:pPr>
      <w:r>
        <w:t>Critical repository assessment and implementation plan</w:t>
      </w:r>
    </w:p>
    <w:p>
      <w:pPr>
        <w:pStyle w:val="Subtitle"/>
      </w:pPr>
      <w:r>
        <w:t>27 September 2026 | Prepared for the Mobio product and engineering team</w:t>
      </w:r>
    </w:p>
    <w:p>
      <w:pPr>
        <w:pStyle w:val="Heading1"/>
      </w:pPr>
      <w:r>
        <w:t>Executive decision</w:t>
      </w:r>
    </w:p>
    <w:p>
      <w:pPr/>
      <w:r>
        <w:rPr>
          <w:b/>
        </w:rPr>
        <w:t>Mobio contains substantial working implementation, but the supplied version is not ready for an unrestricted public production release.</w:t>
      </w:r>
      <w:r>
        <w:t xml:space="preserve"> The immediate priorities are access containment, trusted identity, financial state authorization and trustworthy receipt allocation. After those repairs, release readiness still depends on current store artifacts, device and provider acceptance, operational recovery, and privacy evidence for the features actually enabled.</w:t>
      </w:r>
    </w:p>
    <w:p>
      <w:pPr/>
      <w:r>
        <w:t>This assessment covers the supplied Google Drive working copy: Flutter mobile and web, Android and iOS adapters, the separate Android SMS collector, Supabase SQL and Edge Functions, Cloudflare Pages and face services, Python inference, tests, delivery workflows, public policies and operating documents. It combines source inspection, independent cross-checking, executable local fixtures and current official research. It is not an attestation about an inspected production deployment.</w:t>
      </w:r>
    </w:p>
    <w:p>
      <w:pPr/>
      <w:r>
        <w:rPr>
          <w:b/>
        </w:rPr>
        <w:t>Four findings require immediate attention.</w:t>
      </w:r>
      <w:r>
        <w:t xml:space="preserve"> The shared folder permits anyone with its link to edit it and includes signing stores and password configuration. Editable profile aliases influence the Auth identity selected at login. A passenger can directly change an owned held bus booking to paid and confirmed under the supplied database policy. The SMS allocation path can accept a nonpayment classification and infer a subscription match from insufficient evidence. The report explains the exact evidence and limits of each finding; no outsider access, live account takeover or live false payment was demonstrated.</w:t>
      </w:r>
    </w:p>
    <w:p>
      <w:pPr/>
      <w:r>
        <w:rPr>
          <w:b/>
        </w:rPr>
        <w:t>Retain Flutter and the current feature architecture.</w:t>
      </w:r>
      <w:r>
        <w:t xml:space="preserve"> A framework rewrite would leave the most serious backend and operational defects unresolved. Keep the approved September face scope: recipient discovery, explicit consent and an amount-free external USSD handoff, with no liveness requirement or face-based debit authorization. Keep face, paid transport and automatic SMS activation disabled wherever their separate acceptance gates remain open.</w:t>
      </w:r>
    </w:p>
    <w:p>
      <w:pPr/>
      <w:r>
        <w:t xml:space="preserve">The accompanying </w:t>
      </w:r>
      <w:r>
        <w:rPr>
          <w:b/>
        </w:rPr>
        <w:t>Mobio Production Backlog 2026 09 27</w:t>
      </w:r>
      <w:r>
        <w:t xml:space="preserve"> workbook is the complete implementation register. It gives each task a priority, owner role, dependency, effort band, acceptance criteria, affected release scope and evidence reference. Its release-gate and validation sheets support an evidence-based launch decision.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520"/>
        <w:gridCol w:w="3528"/>
        <w:gridCol w:w="3802"/>
      </w:tblGrid>
      <w:tr>
        <w:trPr>
          <w:cantSplit/>
          <w:tblHeader/>
        </w:trPr>
        <w:tc>
          <w:tcPr>
            <w:tcW w:type="dxa" w:w="2520"/>
            <w:vAlign w:val="center"/>
            <w:shd w:fill="203D54"/>
          </w:tcPr>
          <w:p>
            <w:pPr>
              <w:keepNext/>
              <w:spacing w:after="0" w:line="245" w:lineRule="auto"/>
            </w:pPr>
            <w:r>
              <w:rPr>
                <w:b/>
                <w:color w:val="FFFFFF"/>
                <w:sz w:val="19"/>
              </w:rPr>
              <w:t>Area</w:t>
            </w:r>
          </w:p>
        </w:tc>
        <w:tc>
          <w:tcPr>
            <w:tcW w:type="dxa" w:w="3528"/>
            <w:vAlign w:val="center"/>
            <w:shd w:fill="203D54"/>
          </w:tcPr>
          <w:p>
            <w:pPr>
              <w:keepNext/>
              <w:spacing w:after="0" w:line="245" w:lineRule="auto"/>
            </w:pPr>
            <w:r>
              <w:rPr>
                <w:b/>
                <w:color w:val="FFFFFF"/>
                <w:sz w:val="19"/>
              </w:rPr>
              <w:t>Current assessment</w:t>
            </w:r>
          </w:p>
        </w:tc>
        <w:tc>
          <w:tcPr>
            <w:tcW w:type="dxa" w:w="3802"/>
            <w:vAlign w:val="center"/>
            <w:shd w:fill="203D54"/>
          </w:tcPr>
          <w:p>
            <w:pPr>
              <w:keepNext/>
              <w:spacing w:after="0" w:line="245" w:lineRule="auto"/>
            </w:pPr>
            <w:r>
              <w:rPr>
                <w:b/>
                <w:color w:val="FFFFFF"/>
                <w:sz w:val="19"/>
              </w:rPr>
              <w:t>Release consequence</w:t>
            </w:r>
          </w:p>
        </w:tc>
      </w:tr>
      <w:tr>
        <w:trPr>
          <w:cantSplit/>
        </w:trPr>
        <w:tc>
          <w:tcPr>
            <w:tcW w:type="dxa" w:w="2520"/>
            <w:vAlign w:val="center"/>
            <w:shd w:fill="FFFFFF"/>
          </w:tcPr>
          <w:p>
            <w:pPr>
              <w:keepNext/>
              <w:spacing w:after="0" w:line="245" w:lineRule="auto"/>
            </w:pPr>
            <w:r>
              <w:rPr>
                <w:sz w:val="19"/>
              </w:rPr>
              <w:t>Source access and signing</w:t>
            </w:r>
          </w:p>
        </w:tc>
        <w:tc>
          <w:tcPr>
            <w:tcW w:type="dxa" w:w="3528"/>
            <w:vAlign w:val="center"/>
            <w:shd w:fill="FFFFFF"/>
          </w:tcPr>
          <w:p>
            <w:pPr>
              <w:keepNext/>
              <w:spacing w:after="0" w:line="245" w:lineRule="auto"/>
            </w:pPr>
            <w:r>
              <w:rPr>
                <w:sz w:val="19"/>
              </w:rPr>
              <w:t>Confirmed external link-edit exposure</w:t>
            </w:r>
          </w:p>
        </w:tc>
        <w:tc>
          <w:tcPr>
            <w:tcW w:type="dxa" w:w="3802"/>
            <w:vAlign w:val="center"/>
            <w:shd w:fill="FFFFFF"/>
          </w:tcPr>
          <w:p>
            <w:pPr>
              <w:keepNext/>
              <w:spacing w:after="0" w:line="245" w:lineRule="auto"/>
            </w:pPr>
            <w:r>
              <w:rPr>
                <w:sz w:val="19"/>
              </w:rPr>
              <w:t>Contain and review credentials immediately</w:t>
            </w:r>
          </w:p>
        </w:tc>
      </w:tr>
      <w:tr>
        <w:trPr>
          <w:cantSplit/>
        </w:trPr>
        <w:tc>
          <w:tcPr>
            <w:tcW w:type="dxa" w:w="2520"/>
            <w:vAlign w:val="center"/>
            <w:shd w:fill="F2F5F7"/>
          </w:tcPr>
          <w:p>
            <w:pPr>
              <w:spacing w:after="0" w:line="245" w:lineRule="auto"/>
            </w:pPr>
            <w:r>
              <w:rPr>
                <w:sz w:val="19"/>
              </w:rPr>
              <w:t>Identity and data authorization</w:t>
            </w:r>
          </w:p>
        </w:tc>
        <w:tc>
          <w:tcPr>
            <w:tcW w:type="dxa" w:w="3528"/>
            <w:vAlign w:val="center"/>
            <w:shd w:fill="F2F5F7"/>
          </w:tcPr>
          <w:p>
            <w:pPr>
              <w:spacing w:after="0" w:line="245" w:lineRule="auto"/>
            </w:pPr>
            <w:r>
              <w:rPr>
                <w:sz w:val="19"/>
              </w:rPr>
              <w:t>Confirmed source defects</w:t>
            </w:r>
          </w:p>
        </w:tc>
        <w:tc>
          <w:tcPr>
            <w:tcW w:type="dxa" w:w="3802"/>
            <w:vAlign w:val="center"/>
            <w:shd w:fill="F2F5F7"/>
          </w:tcPr>
          <w:p>
            <w:pPr>
              <w:spacing w:after="0" w:line="245" w:lineRule="auto"/>
            </w:pPr>
            <w:r>
              <w:rPr>
                <w:sz w:val="19"/>
              </w:rPr>
              <w:t>Repair before broad user access</w:t>
            </w:r>
          </w:p>
        </w:tc>
      </w:tr>
      <w:tr>
        <w:trPr>
          <w:cantSplit/>
        </w:trPr>
        <w:tc>
          <w:tcPr>
            <w:tcW w:type="dxa" w:w="2520"/>
            <w:vAlign w:val="center"/>
            <w:shd w:fill="FFFFFF"/>
          </w:tcPr>
          <w:p>
            <w:pPr>
              <w:spacing w:after="0" w:line="245" w:lineRule="auto"/>
            </w:pPr>
            <w:r>
              <w:rPr>
                <w:sz w:val="19"/>
              </w:rPr>
              <w:t>Bookings and subscription evidence</w:t>
            </w:r>
          </w:p>
        </w:tc>
        <w:tc>
          <w:tcPr>
            <w:tcW w:type="dxa" w:w="3528"/>
            <w:vAlign w:val="center"/>
            <w:shd w:fill="FFFFFF"/>
          </w:tcPr>
          <w:p>
            <w:pPr>
              <w:spacing w:after="0" w:line="245" w:lineRule="auto"/>
            </w:pPr>
            <w:r>
              <w:rPr>
                <w:sz w:val="19"/>
              </w:rPr>
              <w:t>Confirmed source defects and concurrency risks</w:t>
            </w:r>
          </w:p>
        </w:tc>
        <w:tc>
          <w:tcPr>
            <w:tcW w:type="dxa" w:w="3802"/>
            <w:vAlign w:val="center"/>
            <w:shd w:fill="FFFFFF"/>
          </w:tcPr>
          <w:p>
            <w:pPr>
              <w:spacing w:after="0" w:line="245" w:lineRule="auto"/>
            </w:pPr>
            <w:r>
              <w:rPr>
                <w:sz w:val="19"/>
              </w:rPr>
              <w:t>Block affected financial workflows</w:t>
            </w:r>
          </w:p>
        </w:tc>
      </w:tr>
      <w:tr>
        <w:trPr>
          <w:cantSplit/>
        </w:trPr>
        <w:tc>
          <w:tcPr>
            <w:tcW w:type="dxa" w:w="2520"/>
            <w:vAlign w:val="center"/>
            <w:shd w:fill="F2F5F7"/>
          </w:tcPr>
          <w:p>
            <w:pPr>
              <w:spacing w:after="0" w:line="245" w:lineRule="auto"/>
            </w:pPr>
            <w:r>
              <w:rPr>
                <w:sz w:val="19"/>
              </w:rPr>
              <w:t>Flutter architecture and UX</w:t>
            </w:r>
          </w:p>
        </w:tc>
        <w:tc>
          <w:tcPr>
            <w:tcW w:type="dxa" w:w="3528"/>
            <w:vAlign w:val="center"/>
            <w:shd w:fill="F2F5F7"/>
          </w:tcPr>
          <w:p>
            <w:pPr>
              <w:spacing w:after="0" w:line="245" w:lineRule="auto"/>
            </w:pPr>
            <w:r>
              <w:rPr>
                <w:sz w:val="19"/>
              </w:rPr>
              <w:t>Substantial implementation with lifecycle gaps</w:t>
            </w:r>
          </w:p>
        </w:tc>
        <w:tc>
          <w:tcPr>
            <w:tcW w:type="dxa" w:w="3802"/>
            <w:vAlign w:val="center"/>
            <w:shd w:fill="F2F5F7"/>
          </w:tcPr>
          <w:p>
            <w:pPr>
              <w:spacing w:after="0" w:line="245" w:lineRule="auto"/>
            </w:pPr>
            <w:r>
              <w:rPr>
                <w:sz w:val="19"/>
              </w:rPr>
              <w:t>Harden the existing application</w:t>
            </w:r>
          </w:p>
        </w:tc>
      </w:tr>
      <w:tr>
        <w:trPr>
          <w:cantSplit/>
        </w:trPr>
        <w:tc>
          <w:tcPr>
            <w:tcW w:type="dxa" w:w="2520"/>
            <w:vAlign w:val="center"/>
            <w:shd w:fill="FFFFFF"/>
          </w:tcPr>
          <w:p>
            <w:pPr>
              <w:spacing w:after="0" w:line="245" w:lineRule="auto"/>
            </w:pPr>
            <w:r>
              <w:rPr>
                <w:sz w:val="19"/>
              </w:rPr>
              <w:t>Android and iOS delivery</w:t>
            </w:r>
          </w:p>
        </w:tc>
        <w:tc>
          <w:tcPr>
            <w:tcW w:type="dxa" w:w="3528"/>
            <w:vAlign w:val="center"/>
            <w:shd w:fill="FFFFFF"/>
          </w:tcPr>
          <w:p>
            <w:pPr>
              <w:spacing w:after="0" w:line="245" w:lineRule="auto"/>
            </w:pPr>
            <w:r>
              <w:rPr>
                <w:sz w:val="19"/>
              </w:rPr>
              <w:t>Build scripts exist; distributable evidence incomplete</w:t>
            </w:r>
          </w:p>
        </w:tc>
        <w:tc>
          <w:tcPr>
            <w:tcW w:type="dxa" w:w="3802"/>
            <w:vAlign w:val="center"/>
            <w:shd w:fill="FFFFFF"/>
          </w:tcPr>
          <w:p>
            <w:pPr>
              <w:spacing w:after="0" w:line="245" w:lineRule="auto"/>
            </w:pPr>
            <w:r>
              <w:rPr>
                <w:sz w:val="19"/>
              </w:rPr>
              <w:t>Validate current signed artifacts</w:t>
            </w:r>
          </w:p>
        </w:tc>
      </w:tr>
      <w:tr>
        <w:trPr>
          <w:cantSplit/>
        </w:trPr>
        <w:tc>
          <w:tcPr>
            <w:tcW w:type="dxa" w:w="2520"/>
            <w:vAlign w:val="center"/>
            <w:shd w:fill="F2F5F7"/>
          </w:tcPr>
          <w:p>
            <w:pPr>
              <w:spacing w:after="0" w:line="245" w:lineRule="auto"/>
            </w:pPr>
            <w:r>
              <w:rPr>
                <w:sz w:val="19"/>
              </w:rPr>
              <w:t>Face discovery</w:t>
            </w:r>
          </w:p>
        </w:tc>
        <w:tc>
          <w:tcPr>
            <w:tcW w:type="dxa" w:w="3528"/>
            <w:vAlign w:val="center"/>
            <w:shd w:fill="F2F5F7"/>
          </w:tcPr>
          <w:p>
            <w:pPr>
              <w:spacing w:after="0" w:line="245" w:lineRule="auto"/>
            </w:pPr>
            <w:r>
              <w:rPr>
                <w:sz w:val="19"/>
              </w:rPr>
              <w:t>Stronger recent design; production acceptance incomplete</w:t>
            </w:r>
          </w:p>
        </w:tc>
        <w:tc>
          <w:tcPr>
            <w:tcW w:type="dxa" w:w="3802"/>
            <w:vAlign w:val="center"/>
            <w:shd w:fill="F2F5F7"/>
          </w:tcPr>
          <w:p>
            <w:pPr>
              <w:spacing w:after="0" w:line="245" w:lineRule="auto"/>
            </w:pPr>
            <w:r>
              <w:rPr>
                <w:sz w:val="19"/>
              </w:rPr>
              <w:t>Keep disabled until its gates pass</w:t>
            </w:r>
          </w:p>
        </w:tc>
      </w:tr>
      <w:tr>
        <w:trPr>
          <w:cantSplit/>
        </w:trPr>
        <w:tc>
          <w:tcPr>
            <w:tcW w:type="dxa" w:w="2520"/>
            <w:vAlign w:val="center"/>
            <w:shd w:fill="FFFFFF"/>
          </w:tcPr>
          <w:p>
            <w:pPr>
              <w:spacing w:after="0" w:line="245" w:lineRule="auto"/>
            </w:pPr>
            <w:r>
              <w:rPr>
                <w:sz w:val="19"/>
              </w:rPr>
              <w:t>Privacy and operations</w:t>
            </w:r>
          </w:p>
        </w:tc>
        <w:tc>
          <w:tcPr>
            <w:tcW w:type="dxa" w:w="3528"/>
            <w:vAlign w:val="center"/>
            <w:shd w:fill="FFFFFF"/>
          </w:tcPr>
          <w:p>
            <w:pPr>
              <w:spacing w:after="0" w:line="245" w:lineRule="auto"/>
            </w:pPr>
            <w:r>
              <w:rPr>
                <w:sz w:val="19"/>
              </w:rPr>
              <w:t>Stale notices and unproven execution evidence</w:t>
            </w:r>
          </w:p>
        </w:tc>
        <w:tc>
          <w:tcPr>
            <w:tcW w:type="dxa" w:w="3802"/>
            <w:vAlign w:val="center"/>
            <w:shd w:fill="FFFFFF"/>
          </w:tcPr>
          <w:p>
            <w:pPr>
              <w:spacing w:after="0" w:line="245" w:lineRule="auto"/>
            </w:pPr>
            <w:r>
              <w:rPr>
                <w:sz w:val="19"/>
              </w:rPr>
              <w:t>Close for each enabled feature</w:t>
            </w:r>
          </w:p>
        </w:tc>
      </w:tr>
      <w:tr>
        <w:trPr>
          <w:cantSplit/>
        </w:trPr>
        <w:tc>
          <w:tcPr>
            <w:tcW w:type="dxa" w:w="2520"/>
            <w:vAlign w:val="center"/>
            <w:shd w:fill="F2F5F7"/>
          </w:tcPr>
          <w:p>
            <w:pPr>
              <w:spacing w:after="0" w:line="245" w:lineRule="auto"/>
            </w:pPr>
            <w:r>
              <w:rPr>
                <w:sz w:val="19"/>
              </w:rPr>
              <w:t>CI and release controls</w:t>
            </w:r>
          </w:p>
        </w:tc>
        <w:tc>
          <w:tcPr>
            <w:tcW w:type="dxa" w:w="3528"/>
            <w:vAlign w:val="center"/>
            <w:shd w:fill="F2F5F7"/>
          </w:tcPr>
          <w:p>
            <w:pPr>
              <w:spacing w:after="0" w:line="245" w:lineRule="auto"/>
            </w:pPr>
            <w:r>
              <w:rPr>
                <w:sz w:val="19"/>
              </w:rPr>
              <w:t>Reproduced pin-check failure and incomplete gates</w:t>
            </w:r>
          </w:p>
        </w:tc>
        <w:tc>
          <w:tcPr>
            <w:tcW w:type="dxa" w:w="3802"/>
            <w:vAlign w:val="center"/>
            <w:shd w:fill="F2F5F7"/>
          </w:tcPr>
          <w:p>
            <w:pPr>
              <w:spacing w:after="0" w:line="245" w:lineRule="auto"/>
            </w:pPr>
            <w:r>
              <w:rPr>
                <w:sz w:val="19"/>
              </w:rPr>
              <w:t>Repair before the next candidate</w:t>
            </w:r>
          </w:p>
        </w:tc>
      </w:tr>
    </w:tbl>
    <w:p>
      <w:pPr>
        <w:spacing w:after="0" w:before="0" w:line="60" w:lineRule="exact"/>
      </w:pPr>
      <w:r>
        <w:rPr>
          <w:sz w:val="6"/>
        </w:rPr>
      </w:r>
    </w:p>
    <w:p>
      <w:pPr>
        <w:pStyle w:val="Heading1"/>
      </w:pPr>
      <w:r>
        <w:t>1 Scope and evidence</w:t>
      </w:r>
    </w:p>
    <w:p>
      <w:pPr>
        <w:pStyle w:val="Heading2"/>
      </w:pPr>
      <w:r>
        <w:t>1 1 What was inspected</w:t>
      </w:r>
    </w:p>
    <w:p>
      <w:pPr/>
      <w:r>
        <w:t xml:space="preserve">The consolidated inventory contains </w:t>
      </w:r>
      <w:r>
        <w:rPr>
          <w:b/>
        </w:rPr>
        <w:t>4,520 Drive objects</w:t>
      </w:r>
      <w:r>
        <w:t xml:space="preserve">, comprising </w:t>
      </w:r>
      <w:r>
        <w:rPr>
          <w:b/>
        </w:rPr>
        <w:t>3,967 files and 553 folders</w:t>
      </w:r>
      <w:r>
        <w:t>. It includes source, dependencies, working files and generated outputs; this is not a count of authored source files. Approximately 1,019 relevant source and documentation files were materialized. Backend coverage includes all 183 files and 107 migrations. Flutter coverage includes all 305 selected source, localization and package documentation files. Platform coverage includes 114 relevant text files. Operations coverage includes 199 authored text files, with stored golden images inventoried and four representative fixtures visually inspected.</w:t>
      </w:r>
    </w:p>
    <w:p>
      <w:pPr/>
      <w:r>
        <w:t xml:space="preserve">The supplied Git index contains 2,076 tracked entries. For the 995 collected files also present in that index, </w:t>
      </w:r>
      <w:r>
        <w:rPr>
          <w:b/>
        </w:rPr>
        <w:t>995 of 995 contents match the indexed Git blob hashes</w:t>
      </w:r>
      <w:r>
        <w:t>. This is useful snapshot-integrity evidence. A complete Git history, a verified current main commit and the live repository branch protections were not available. Signing files and copied virtual environments/build failures are not tracked in the supplied index. Their presence is a working-copy sharing problem, not proof they were committed to Git.</w:t>
      </w:r>
    </w:p>
    <w:p>
      <w:pPr/>
      <w:r>
        <w:t xml:space="preserve">The controlling documents were the current README, AGENTS and CRITICAL_RULES, the product/design contracts, the June public-transport expansion and the September 20 face approval. Older audits were treated as historical context. The file named IMPLEMENTATION_REPORT in the face product folder is a specification; the separate testing report contains historical execution results. </w:t>
      </w:r>
      <w:hyperlink r:id="rId11">
        <w:r>
          <w:rPr>
            <w:color w:val="155A85"/>
            <w:u w:val="single"/>
          </w:rPr>
          <w:t>Repository rules</w:t>
        </w:r>
      </w:hyperlink>
      <w:r>
        <w:t xml:space="preserve">, </w:t>
      </w:r>
      <w:hyperlink r:id="rId12">
        <w:r>
          <w:rPr>
            <w:color w:val="155A85"/>
            <w:u w:val="single"/>
          </w:rPr>
          <w:t>face approval</w:t>
        </w:r>
      </w:hyperlink>
      <w:r>
        <w:t xml:space="preserve">, </w:t>
      </w:r>
      <w:hyperlink r:id="rId13">
        <w:r>
          <w:rPr>
            <w:color w:val="155A85"/>
            <w:u w:val="single"/>
          </w:rPr>
          <w:t>historical execution evidence</w:t>
        </w:r>
      </w:hyperlink>
      <w:r>
        <w:t>.</w:t>
      </w:r>
    </w:p>
    <w:p>
      <w:pPr>
        <w:pStyle w:val="Heading2"/>
      </w:pPr>
      <w:r>
        <w:t>1 2 Evidence labels and priority</w:t>
      </w:r>
    </w:p>
    <w:p>
      <w:pPr/>
      <w:r>
        <w:rPr>
          <w:b/>
        </w:rPr>
        <w:t>Confirmed source</w:t>
      </w:r>
      <w:r>
        <w:t xml:space="preserve"> means a defect follows from the inspected effective code, grants and policies. </w:t>
      </w:r>
      <w:r>
        <w:rPr>
          <w:b/>
        </w:rPr>
        <w:t>Reproduced fixture</w:t>
      </w:r>
      <w:r>
        <w:t xml:space="preserve"> means actual relevant logic ran locally with controlled substitutes. </w:t>
      </w:r>
      <w:r>
        <w:rPr>
          <w:b/>
        </w:rPr>
        <w:t>Risk requiring reproduction</w:t>
      </w:r>
      <w:r>
        <w:t xml:space="preserve"> means a credible failure path still needs a real database or device test. </w:t>
      </w:r>
      <w:r>
        <w:rPr>
          <w:b/>
        </w:rPr>
        <w:t>Evidence gap</w:t>
      </w:r>
      <w:r>
        <w:t xml:space="preserve"> means the reviewed material does not establish readiness; it does not establish that an organization lacks an approval or control outside the repository.</w:t>
      </w:r>
    </w:p>
    <w:p>
      <w:pPr/>
      <w:r>
        <w:rPr>
          <w:b/>
        </w:rPr>
        <w:t>P0</w:t>
      </w:r>
      <w:r>
        <w:t xml:space="preserve"> means immediate containment or a serious authority/financial-integrity defect. </w:t>
      </w:r>
      <w:r>
        <w:rPr>
          <w:b/>
        </w:rPr>
        <w:t>P1</w:t>
      </w:r>
      <w:r>
        <w:t xml:space="preserve"> means required before the affected production release. </w:t>
      </w:r>
      <w:r>
        <w:rPr>
          <w:b/>
        </w:rPr>
        <w:t>P2</w:t>
      </w:r>
      <w:r>
        <w:t xml:space="preserve"> means planned hardening, scale, usability or maintainability work, promoted to a gate where measured load or promised service requires it. </w:t>
      </w:r>
      <w:r>
        <w:rPr>
          <w:b/>
        </w:rPr>
        <w:t>P3</w:t>
      </w:r>
      <w:r>
        <w:t xml:space="preserve"> means later optimization. A P1 face issue need not block an independently accepted core release if face is securely disabled. These are engineering priorities, not a CVSS score or certification.</w:t>
      </w:r>
    </w:p>
    <w:p>
      <w:pPr/>
      <w:r>
        <w:t>No production API, customer account, biometric collection, payment, provider configuration or deployment was changed. This environment lacked Flutter, Deno, PostgreSQL, Docker, adb and Xcode. Local checks therefore cannot substitute for signed builds, effective deployed RLS, real inference or physical-device acceptance.</w:t>
      </w:r>
    </w:p>
    <w:p>
      <w:pPr>
        <w:pStyle w:val="Heading1"/>
      </w:pPr>
      <w:r>
        <w:t>2 Architecture and scope to preserve</w:t>
      </w:r>
    </w:p>
    <w:p>
      <w:pPr>
        <w:pStyle w:val="Heading2"/>
      </w:pPr>
      <w:r>
        <w:t>2 1 System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520"/>
        <w:gridCol w:w="3528"/>
        <w:gridCol w:w="3802"/>
      </w:tblGrid>
      <w:tr>
        <w:trPr>
          <w:cantSplit/>
          <w:tblHeader/>
        </w:trPr>
        <w:tc>
          <w:tcPr>
            <w:tcW w:type="dxa" w:w="2520"/>
            <w:vAlign w:val="center"/>
            <w:shd w:fill="203D54"/>
          </w:tcPr>
          <w:p>
            <w:pPr>
              <w:keepNext/>
              <w:spacing w:after="0" w:line="245" w:lineRule="auto"/>
            </w:pPr>
            <w:r>
              <w:rPr>
                <w:b/>
                <w:color w:val="FFFFFF"/>
                <w:sz w:val="19"/>
              </w:rPr>
              <w:t>Component</w:t>
            </w:r>
          </w:p>
        </w:tc>
        <w:tc>
          <w:tcPr>
            <w:tcW w:type="dxa" w:w="3528"/>
            <w:vAlign w:val="center"/>
            <w:shd w:fill="203D54"/>
          </w:tcPr>
          <w:p>
            <w:pPr>
              <w:keepNext/>
              <w:spacing w:after="0" w:line="245" w:lineRule="auto"/>
            </w:pPr>
            <w:r>
              <w:rPr>
                <w:b/>
                <w:color w:val="FFFFFF"/>
                <w:sz w:val="19"/>
              </w:rPr>
              <w:t>Current responsibility</w:t>
            </w:r>
          </w:p>
        </w:tc>
        <w:tc>
          <w:tcPr>
            <w:tcW w:type="dxa" w:w="3802"/>
            <w:vAlign w:val="center"/>
            <w:shd w:fill="203D54"/>
          </w:tcPr>
          <w:p>
            <w:pPr>
              <w:keepNext/>
              <w:spacing w:after="0" w:line="245" w:lineRule="auto"/>
            </w:pPr>
            <w:r>
              <w:rPr>
                <w:b/>
                <w:color w:val="FFFFFF"/>
                <w:sz w:val="19"/>
              </w:rPr>
              <w:t>Boundary that must remain explicit</w:t>
            </w:r>
          </w:p>
        </w:tc>
      </w:tr>
      <w:tr>
        <w:trPr>
          <w:cantSplit/>
        </w:trPr>
        <w:tc>
          <w:tcPr>
            <w:tcW w:type="dxa" w:w="2520"/>
            <w:vAlign w:val="center"/>
            <w:shd w:fill="FFFFFF"/>
          </w:tcPr>
          <w:p>
            <w:pPr>
              <w:keepNext/>
              <w:spacing w:after="0" w:line="245" w:lineRule="auto"/>
            </w:pPr>
            <w:r>
              <w:rPr>
                <w:sz w:val="19"/>
              </w:rPr>
              <w:t>Flutter consumer app</w:t>
            </w:r>
          </w:p>
        </w:tc>
        <w:tc>
          <w:tcPr>
            <w:tcW w:type="dxa" w:w="3528"/>
            <w:vAlign w:val="center"/>
            <w:shd w:fill="FFFFFF"/>
          </w:tcPr>
          <w:p>
            <w:pPr>
              <w:keepNext/>
              <w:spacing w:after="0" w:line="245" w:lineRule="auto"/>
            </w:pPr>
            <w:r>
              <w:rPr>
                <w:sz w:val="19"/>
              </w:rPr>
              <w:t>Login, nearby/scheduled journeys, chat, profile, wallet/rewards and BioPay surfaces</w:t>
            </w:r>
          </w:p>
        </w:tc>
        <w:tc>
          <w:tcPr>
            <w:tcW w:type="dxa" w:w="3802"/>
            <w:vAlign w:val="center"/>
            <w:shd w:fill="FFFFFF"/>
          </w:tcPr>
          <w:p>
            <w:pPr>
              <w:keepNext/>
              <w:spacing w:after="0" w:line="245" w:lineRule="auto"/>
            </w:pPr>
            <w:r>
              <w:rPr>
                <w:sz w:val="19"/>
              </w:rPr>
              <w:t>UI state does not authorize identity, payment or database mutations</w:t>
            </w:r>
          </w:p>
        </w:tc>
      </w:tr>
      <w:tr>
        <w:trPr>
          <w:cantSplit/>
        </w:trPr>
        <w:tc>
          <w:tcPr>
            <w:tcW w:type="dxa" w:w="2520"/>
            <w:vAlign w:val="center"/>
            <w:shd w:fill="F2F5F7"/>
          </w:tcPr>
          <w:p>
            <w:pPr>
              <w:spacing w:after="0" w:line="245" w:lineRule="auto"/>
            </w:pPr>
            <w:r>
              <w:rPr>
                <w:sz w:val="19"/>
              </w:rPr>
              <w:t>Flutter web and admin</w:t>
            </w:r>
          </w:p>
        </w:tc>
        <w:tc>
          <w:tcPr>
            <w:tcW w:type="dxa" w:w="3528"/>
            <w:vAlign w:val="center"/>
            <w:shd w:fill="F2F5F7"/>
          </w:tcPr>
          <w:p>
            <w:pPr>
              <w:spacing w:after="0" w:line="245" w:lineRule="auto"/>
            </w:pPr>
            <w:r>
              <w:rPr>
                <w:sz w:val="19"/>
              </w:rPr>
              <w:t>Operations, review and management interfaces</w:t>
            </w:r>
          </w:p>
        </w:tc>
        <w:tc>
          <w:tcPr>
            <w:tcW w:type="dxa" w:w="3802"/>
            <w:vAlign w:val="center"/>
            <w:shd w:fill="F2F5F7"/>
          </w:tcPr>
          <w:p>
            <w:pPr>
              <w:spacing w:after="0" w:line="245" w:lineRule="auto"/>
            </w:pPr>
            <w:r>
              <w:rPr>
                <w:sz w:val="19"/>
              </w:rPr>
              <w:t>Admin purpose, allowlist, live session and explicit permissions</w:t>
            </w:r>
          </w:p>
        </w:tc>
      </w:tr>
      <w:tr>
        <w:trPr>
          <w:cantSplit/>
        </w:trPr>
        <w:tc>
          <w:tcPr>
            <w:tcW w:type="dxa" w:w="2520"/>
            <w:vAlign w:val="center"/>
            <w:shd w:fill="FFFFFF"/>
          </w:tcPr>
          <w:p>
            <w:pPr>
              <w:spacing w:after="0" w:line="245" w:lineRule="auto"/>
            </w:pPr>
            <w:r>
              <w:rPr>
                <w:sz w:val="19"/>
              </w:rPr>
              <w:t>Supabase Auth and Postgres</w:t>
            </w:r>
          </w:p>
        </w:tc>
        <w:tc>
          <w:tcPr>
            <w:tcW w:type="dxa" w:w="3528"/>
            <w:vAlign w:val="center"/>
            <w:shd w:fill="FFFFFF"/>
          </w:tcPr>
          <w:p>
            <w:pPr>
              <w:spacing w:after="0" w:line="245" w:lineRule="auto"/>
            </w:pPr>
            <w:r>
              <w:rPr>
                <w:sz w:val="19"/>
              </w:rPr>
              <w:t>Identity, profiles, bookings, consent, payment methods, subscriptions and audit state</w:t>
            </w:r>
          </w:p>
        </w:tc>
        <w:tc>
          <w:tcPr>
            <w:tcW w:type="dxa" w:w="3802"/>
            <w:vAlign w:val="center"/>
            <w:shd w:fill="FFFFFF"/>
          </w:tcPr>
          <w:p>
            <w:pPr>
              <w:spacing w:after="0" w:line="245" w:lineRule="auto"/>
            </w:pPr>
            <w:r>
              <w:rPr>
                <w:sz w:val="19"/>
              </w:rPr>
              <w:t>Server-owned authority fields and transactional invariants</w:t>
            </w:r>
          </w:p>
        </w:tc>
      </w:tr>
      <w:tr>
        <w:trPr>
          <w:cantSplit/>
        </w:trPr>
        <w:tc>
          <w:tcPr>
            <w:tcW w:type="dxa" w:w="2520"/>
            <w:vAlign w:val="center"/>
            <w:shd w:fill="F2F5F7"/>
          </w:tcPr>
          <w:p>
            <w:pPr>
              <w:spacing w:after="0" w:line="245" w:lineRule="auto"/>
            </w:pPr>
            <w:r>
              <w:rPr>
                <w:sz w:val="19"/>
              </w:rPr>
              <w:t>Supabase Edge Functions</w:t>
            </w:r>
          </w:p>
        </w:tc>
        <w:tc>
          <w:tcPr>
            <w:tcW w:type="dxa" w:w="3528"/>
            <w:vAlign w:val="center"/>
            <w:shd w:fill="F2F5F7"/>
          </w:tcPr>
          <w:p>
            <w:pPr>
              <w:spacing w:after="0" w:line="245" w:lineRule="auto"/>
            </w:pPr>
            <w:r>
              <w:rPr>
                <w:sz w:val="19"/>
              </w:rPr>
              <w:t>WhatsApp OTP, provider calls, receipt ingestion, push and face orchestration</w:t>
            </w:r>
          </w:p>
        </w:tc>
        <w:tc>
          <w:tcPr>
            <w:tcW w:type="dxa" w:w="3802"/>
            <w:vAlign w:val="center"/>
            <w:shd w:fill="F2F5F7"/>
          </w:tcPr>
          <w:p>
            <w:pPr>
              <w:spacing w:after="0" w:line="245" w:lineRule="auto"/>
            </w:pPr>
            <w:r>
              <w:rPr>
                <w:sz w:val="19"/>
              </w:rPr>
              <w:t>Bounded verified ingress and least-privilege service operations</w:t>
            </w:r>
          </w:p>
        </w:tc>
      </w:tr>
      <w:tr>
        <w:trPr>
          <w:cantSplit/>
        </w:trPr>
        <w:tc>
          <w:tcPr>
            <w:tcW w:type="dxa" w:w="2520"/>
            <w:vAlign w:val="center"/>
            <w:shd w:fill="FFFFFF"/>
          </w:tcPr>
          <w:p>
            <w:pPr>
              <w:spacing w:after="0" w:line="245" w:lineRule="auto"/>
            </w:pPr>
            <w:r>
              <w:rPr>
                <w:sz w:val="19"/>
              </w:rPr>
              <w:t>Cloudflare Worker and Vectorize</w:t>
            </w:r>
          </w:p>
        </w:tc>
        <w:tc>
          <w:tcPr>
            <w:tcW w:type="dxa" w:w="3528"/>
            <w:vAlign w:val="center"/>
            <w:shd w:fill="FFFFFF"/>
          </w:tcPr>
          <w:p>
            <w:pPr>
              <w:spacing w:after="0" w:line="245" w:lineRule="auto"/>
            </w:pPr>
            <w:r>
              <w:rPr>
                <w:sz w:val="19"/>
              </w:rPr>
              <w:t>Face service boundary and candidate search</w:t>
            </w:r>
          </w:p>
        </w:tc>
        <w:tc>
          <w:tcPr>
            <w:tcW w:type="dxa" w:w="3802"/>
            <w:vAlign w:val="center"/>
            <w:shd w:fill="FFFFFF"/>
          </w:tcPr>
          <w:p>
            <w:pPr>
              <w:spacing w:after="0" w:line="245" w:lineRule="auto"/>
            </w:pPr>
            <w:r>
              <w:rPr>
                <w:sz w:val="19"/>
              </w:rPr>
              <w:t>A candidate is revalidated against current SQL consent and method state</w:t>
            </w:r>
          </w:p>
        </w:tc>
      </w:tr>
      <w:tr>
        <w:trPr>
          <w:cantSplit/>
        </w:trPr>
        <w:tc>
          <w:tcPr>
            <w:tcW w:type="dxa" w:w="2520"/>
            <w:vAlign w:val="center"/>
            <w:shd w:fill="F2F5F7"/>
          </w:tcPr>
          <w:p>
            <w:pPr>
              <w:spacing w:after="0" w:line="245" w:lineRule="auto"/>
            </w:pPr>
            <w:r>
              <w:rPr>
                <w:sz w:val="19"/>
              </w:rPr>
              <w:t>Python OpenCV container</w:t>
            </w:r>
          </w:p>
        </w:tc>
        <w:tc>
          <w:tcPr>
            <w:tcW w:type="dxa" w:w="3528"/>
            <w:vAlign w:val="center"/>
            <w:shd w:fill="F2F5F7"/>
          </w:tcPr>
          <w:p>
            <w:pPr>
              <w:spacing w:after="0" w:line="245" w:lineRule="auto"/>
            </w:pPr>
            <w:r>
              <w:rPr>
                <w:sz w:val="19"/>
              </w:rPr>
              <w:t>YuNet detection and SFace embedding</w:t>
            </w:r>
          </w:p>
        </w:tc>
        <w:tc>
          <w:tcPr>
            <w:tcW w:type="dxa" w:w="3802"/>
            <w:vAlign w:val="center"/>
            <w:shd w:fill="F2F5F7"/>
          </w:tcPr>
          <w:p>
            <w:pPr>
              <w:spacing w:after="0" w:line="245" w:lineRule="auto"/>
            </w:pPr>
            <w:r>
              <w:rPr>
                <w:sz w:val="19"/>
              </w:rPr>
              <w:t>Versioned model contract, bounded inputs, measured capacity</w:t>
            </w:r>
          </w:p>
        </w:tc>
      </w:tr>
      <w:tr>
        <w:trPr>
          <w:cantSplit/>
        </w:trPr>
        <w:tc>
          <w:tcPr>
            <w:tcW w:type="dxa" w:w="2520"/>
            <w:vAlign w:val="center"/>
            <w:shd w:fill="FFFFFF"/>
          </w:tcPr>
          <w:p>
            <w:pPr>
              <w:spacing w:after="0" w:line="245" w:lineRule="auto"/>
            </w:pPr>
            <w:r>
              <w:rPr>
                <w:sz w:val="19"/>
              </w:rPr>
              <w:t>Native Android and iOS</w:t>
            </w:r>
          </w:p>
        </w:tc>
        <w:tc>
          <w:tcPr>
            <w:tcW w:type="dxa" w:w="3528"/>
            <w:vAlign w:val="center"/>
            <w:shd w:fill="FFFFFF"/>
          </w:tcPr>
          <w:p>
            <w:pPr>
              <w:spacing w:after="0" w:line="245" w:lineRule="auto"/>
            </w:pPr>
            <w:r>
              <w:rPr>
                <w:sz w:val="19"/>
              </w:rPr>
              <w:t>Dialer, camera, NFC, permissions and lifecycle integration</w:t>
            </w:r>
          </w:p>
        </w:tc>
        <w:tc>
          <w:tcPr>
            <w:tcW w:type="dxa" w:w="3802"/>
            <w:vAlign w:val="center"/>
            <w:shd w:fill="FFFFFF"/>
          </w:tcPr>
          <w:p>
            <w:pPr>
              <w:spacing w:after="0" w:line="245" w:lineRule="auto"/>
            </w:pPr>
            <w:r>
              <w:rPr>
                <w:sz w:val="19"/>
              </w:rPr>
              <w:t>OS callbacks and success codes do not prove a money transfer</w:t>
            </w:r>
          </w:p>
        </w:tc>
      </w:tr>
      <w:tr>
        <w:trPr>
          <w:cantSplit/>
        </w:trPr>
        <w:tc>
          <w:tcPr>
            <w:tcW w:type="dxa" w:w="2520"/>
            <w:vAlign w:val="center"/>
            <w:shd w:fill="F2F5F7"/>
          </w:tcPr>
          <w:p>
            <w:pPr>
              <w:spacing w:after="0" w:line="245" w:lineRule="auto"/>
            </w:pPr>
            <w:r>
              <w:rPr>
                <w:sz w:val="19"/>
              </w:rPr>
              <w:t>Institutional SMS collector</w:t>
            </w:r>
          </w:p>
        </w:tc>
        <w:tc>
          <w:tcPr>
            <w:tcW w:type="dxa" w:w="3528"/>
            <w:vAlign w:val="center"/>
            <w:shd w:fill="F2F5F7"/>
          </w:tcPr>
          <w:p>
            <w:pPr>
              <w:spacing w:after="0" w:line="245" w:lineRule="auto"/>
            </w:pPr>
            <w:r>
              <w:rPr>
                <w:sz w:val="19"/>
              </w:rPr>
              <w:t>Capture and signed upload of new receipt messages</w:t>
            </w:r>
          </w:p>
        </w:tc>
        <w:tc>
          <w:tcPr>
            <w:tcW w:type="dxa" w:w="3802"/>
            <w:vAlign w:val="center"/>
            <w:shd w:fill="F2F5F7"/>
          </w:tcPr>
          <w:p>
            <w:pPr>
              <w:spacing w:after="0" w:line="245" w:lineRule="auto"/>
            </w:pPr>
            <w:r>
              <w:rPr>
                <w:sz w:val="19"/>
              </w:rPr>
              <w:t>Device authentication does not establish financial truth</w:t>
            </w:r>
          </w:p>
        </w:tc>
      </w:tr>
    </w:tbl>
    <w:p>
      <w:pPr>
        <w:spacing w:after="0" w:before="0" w:line="60" w:lineRule="exact"/>
      </w:pPr>
      <w:r>
        <w:rPr>
          <w:sz w:val="6"/>
        </w:rPr>
      </w:r>
    </w:p>
    <w:p>
      <w:pPr/>
      <w:r>
        <w:t xml:space="preserve">The latest face flow enrolls a consenting recipient using one capture and an explicitly selected receiving method. That number may differ from the login number. A payer scan discovers a permitted destination, after which Android opens ACTION_DIAL once with an amount-free USSD route. The operator handles recipient confirmation, amount and PIN. iOS/web use the approved manual or copy fallback. Absence of liveness or a compulsory additional app review screen is intentional. Route computation returning 410 is also intentional; no missing fare, dispatch, matrix or polyline engine is inferred. </w:t>
      </w:r>
      <w:hyperlink r:id="rId12">
        <w:r>
          <w:rPr>
            <w:color w:val="155A85"/>
            <w:u w:val="single"/>
          </w:rPr>
          <w:t>Face scope</w:t>
        </w:r>
      </w:hyperlink>
      <w:r>
        <w:t xml:space="preserve">, </w:t>
      </w:r>
      <w:hyperlink r:id="rId11">
        <w:r>
          <w:rPr>
            <w:color w:val="155A85"/>
            <w:u w:val="single"/>
          </w:rPr>
          <w:t>product rules</w:t>
        </w:r>
      </w:hyperlink>
      <w:r>
        <w:t xml:space="preserve">, </w:t>
      </w:r>
      <w:hyperlink r:id="rId14">
        <w:r>
          <w:rPr>
            <w:color w:val="155A85"/>
            <w:u w:val="single"/>
          </w:rPr>
          <w:t>Maps gateway</w:t>
        </w:r>
      </w:hyperlink>
      <w:r>
        <w:t>.</w:t>
      </w:r>
    </w:p>
    <w:p>
      <w:pPr>
        <w:pStyle w:val="Heading2"/>
      </w:pPr>
      <w:r>
        <w:t>2 2 Implemented strengths</w:t>
      </w:r>
    </w:p>
    <w:p>
      <w:pPr/>
      <w:r>
        <w:t>The repository has real engineering substance: feature organization and shared packages, Riverpod and GoRouter, purpose-separated WhatsApp OTP with atomic claims, live verified identity enforcement, separate admin allowlisting, signed collector batches and durable server deduplication, payment-method/version revalidation, chat report/block controls and provider-aware notification consent. Database migrations and meaningful tests already exist. These assets justify targeted remediation.</w:t>
      </w:r>
    </w:p>
    <w:p>
      <w:pPr/>
      <w:r>
        <w:t xml:space="preserve">The September face implementation deserves particular credit. It starts with disabled recognition policy, requires explicit consent and a receiving method, binds asynchronous work to account and generation, cancels stale camera work, validates shortcut data and limits Android handoff to once. Pause/remove excludes an enrollment in SQL while external cleanup is retried. Model assets and preprocessing are versioned. These controls reduce risks; none establishes real-world identification accuracy or deployment readiness by itself. </w:t>
      </w:r>
      <w:hyperlink r:id="rId15">
        <w:r>
          <w:rPr>
            <w:color w:val="155A85"/>
            <w:u w:val="single"/>
          </w:rPr>
          <w:t>Face enrollment UI</w:t>
        </w:r>
      </w:hyperlink>
      <w:r>
        <w:t xml:space="preserve">, </w:t>
      </w:r>
      <w:hyperlink r:id="rId16">
        <w:r>
          <w:rPr>
            <w:color w:val="155A85"/>
            <w:u w:val="single"/>
          </w:rPr>
          <w:t>face readiness migration</w:t>
        </w:r>
      </w:hyperlink>
      <w:r>
        <w:t xml:space="preserve">, </w:t>
      </w:r>
      <w:hyperlink r:id="rId17">
        <w:r>
          <w:rPr>
            <w:color w:val="155A85"/>
            <w:u w:val="single"/>
          </w:rPr>
          <w:t>face operating runbook</w:t>
        </w:r>
      </w:hyperlink>
      <w:r>
        <w:t>.</w:t>
      </w:r>
    </w:p>
    <w:p>
      <w:pPr>
        <w:pStyle w:val="Heading1"/>
        <w:pageBreakBefore/>
      </w:pPr>
      <w:r>
        <w:t>3 Immediate authority and financial findings</w:t>
      </w:r>
    </w:p>
    <w:p>
      <w:pPr>
        <w:pStyle w:val="Heading2"/>
      </w:pPr>
      <w:r>
        <w:t>F01 Shared signing material and editable access</w:t>
      </w:r>
    </w:p>
    <w:p>
      <w:pPr/>
      <w:r>
        <w:rPr>
          <w:b/>
        </w:rPr>
        <w:t>P0 | Confirmed metadata and redacted source inspection.</w:t>
      </w:r>
      <w:r>
        <w:t xml:space="preserve"> Drive permission metadata on September 27 reports anyone-with-link writer access. The uploaded copy contains android/key.properties, android/mobi-upload.jks and android/app/upload-keystore.jks. The properties file contains nonempty password, alias and store-path values. The signing-store bytes were not inspected, and no credential values are reproduced here. The current Git index excludes these files. There is no evidence that an outsider used the link or altered source.</w:t>
      </w:r>
    </w:p>
    <w:p>
      <w:pPr/>
      <w:r>
        <w:t xml:space="preserve">Restrict access to named collaborators, preserve available access/change records and check whether the shared copy or its descendants were modified. Identify the active Play upload certificate, any app-signing certificate and retired stores. Remove secrets from future review exports and move operational signing to a controlled release process. Reset an exposed active upload key as warranted; an app-signing-key change has different continuity consequences. Verify a signed update installs over the supported previous version without losing data and refresh certificate-bound integrations where required. </w:t>
      </w:r>
      <w:hyperlink r:id="rId18">
        <w:r>
          <w:rPr>
            <w:color w:val="155A85"/>
            <w:u w:val="single"/>
          </w:rPr>
          <w:t>Supplied folder</w:t>
        </w:r>
      </w:hyperlink>
      <w:r>
        <w:t xml:space="preserve">, </w:t>
      </w:r>
      <w:hyperlink r:id="rId19">
        <w:r>
          <w:rPr>
            <w:color w:val="155A85"/>
            <w:u w:val="single"/>
          </w:rPr>
          <w:t>Play App Signing guidance</w:t>
        </w:r>
      </w:hyperlink>
      <w:r>
        <w:t>.</w:t>
      </w:r>
    </w:p>
    <w:p>
      <w:pPr>
        <w:pStyle w:val="Heading2"/>
      </w:pPr>
      <w:r>
        <w:t>F02 Editable aliases influence login authority</w:t>
      </w:r>
    </w:p>
    <w:p>
      <w:pPr/>
      <w:r>
        <w:rPr>
          <w:b/>
        </w:rPr>
        <w:t>P0 | Confirmed source with reproduced helper behavior.</w:t>
      </w:r>
      <w:r>
        <w:t xml:space="preserve"> Authenticated users retain table-wide profile UPDATE. The protective policy omits phone, whatsapp_e164 and created_at; the current profile RPC also accepts phone and WhatsApp fields. Login searches those aliases, selects the newest profile and can ask Auth admin to set its phone to the newly OTP-verified number. A user-controlled directory alias is therefore influencing which Auth account receives the verified identity. </w:t>
      </w:r>
      <w:hyperlink r:id="rId20">
        <w:r>
          <w:rPr>
            <w:color w:val="155A85"/>
            <w:u w:val="single"/>
          </w:rPr>
          <w:t>Profile grant</w:t>
        </w:r>
      </w:hyperlink>
      <w:r>
        <w:t xml:space="preserve">, </w:t>
      </w:r>
      <w:hyperlink r:id="rId21">
        <w:r>
          <w:rPr>
            <w:color w:val="155A85"/>
            <w:u w:val="single"/>
          </w:rPr>
          <w:t>profile policy</w:t>
        </w:r>
      </w:hyperlink>
      <w:r>
        <w:t xml:space="preserve">, </w:t>
      </w:r>
      <w:hyperlink r:id="rId22">
        <w:r>
          <w:rPr>
            <w:color w:val="155A85"/>
            <w:u w:val="single"/>
          </w:rPr>
          <w:t>current profile RPC</w:t>
        </w:r>
      </w:hyperlink>
      <w:r>
        <w:t xml:space="preserve">, </w:t>
      </w:r>
      <w:hyperlink r:id="rId23">
        <w:r>
          <w:rPr>
            <w:color w:val="155A85"/>
            <w:u w:val="single"/>
          </w:rPr>
          <w:t>login verification</w:t>
        </w:r>
      </w:hyperlink>
      <w:r>
        <w:t>.</w:t>
      </w:r>
    </w:p>
    <w:p>
      <w:pPr/>
      <w:r>
        <w:t xml:space="preserve">The actual helper functions were executed under mocks: a later alias shadowed the intended profile, and the function attempted to reassign the selected Auth identity. Auth uniqueness and session issuance were not exercised. This establishes an identity-authority defect, not demonstrated victim takeover; denial of login or wrong-profile binding are possible outcomes requiring real Auth tests. A parallel path resolves BioPay receiving methods through the same client-editable profiles.phone field. Repairing login alone would leave phone-based recipient discovery exposed to alias spoofing. </w:t>
      </w:r>
      <w:hyperlink r:id="rId24">
        <w:r>
          <w:rPr>
            <w:color w:val="155A85"/>
            <w:u w:val="single"/>
          </w:rPr>
          <w:t>BioPay resolver lines 239–245</w:t>
        </w:r>
      </w:hyperlink>
      <w:r>
        <w:t>.</w:t>
      </w:r>
    </w:p>
    <w:p>
      <w:pPr/>
      <w:r>
        <w:t xml:space="preserve">Make verified identity server-owned and unique. Prohibit client changes to verified phone, aliases used for login and creation timestamps. Add an explicit verified phone-change operation. Resolve existing duplicate aliases before enforcing constraints, and never select an account by newest mutable profile. Require recipient discovery to use the authoritative verified mapping or a verified sharing relationship. Test direct REST writes, duplicate/racing verification, spoofed recipient aliases and existing/new Auth numbers using actual roles and sessions. Row ownership alone does not protect sensitive properties. </w:t>
      </w:r>
      <w:hyperlink r:id="rId25">
        <w:r>
          <w:rPr>
            <w:color w:val="155A85"/>
            <w:u w:val="single"/>
          </w:rPr>
          <w:t>Supabase RLS</w:t>
        </w:r>
      </w:hyperlink>
      <w:r>
        <w:t xml:space="preserve">, </w:t>
      </w:r>
      <w:hyperlink r:id="rId26">
        <w:r>
          <w:rPr>
            <w:color w:val="155A85"/>
            <w:u w:val="single"/>
          </w:rPr>
          <w:t>OWASP property authorization</w:t>
        </w:r>
      </w:hyperlink>
      <w:r>
        <w:t>.</w:t>
      </w:r>
    </w:p>
    <w:p>
      <w:pPr>
        <w:pStyle w:val="Heading2"/>
      </w:pPr>
      <w:r>
        <w:t>F03 A passenger can self confirm a paid booking</w:t>
      </w:r>
    </w:p>
    <w:p>
      <w:pPr/>
      <w:r>
        <w:rPr>
          <w:b/>
        </w:rPr>
        <w:t>P0 for paid transport | Confirmed effective source and independent review.</w:t>
      </w:r>
      <w:r>
        <w:t xml:space="preserve"> The booking foundation grants authenticated users UPDATE on bus_bookings at line 253. Its policy at lines 401–413 permits an update of the caller's existing held row and checks only ownership of the resulting row. It does not preserve status, payment_status, amount, seat count, schedule or expiry. The inspected migration chain contains no later repair. A direct table mutation can therefore bypass the authorized confirmation and inventory path. </w:t>
      </w:r>
      <w:hyperlink r:id="rId27">
        <w:r>
          <w:rPr>
            <w:color w:val="155A85"/>
            <w:u w:val="single"/>
          </w:rPr>
          <w:t>Booking foundation</w:t>
        </w:r>
      </w:hyperlink>
      <w:r>
        <w:t>.</w:t>
      </w:r>
    </w:p>
    <w:p>
      <w:pPr/>
      <w:r>
        <w:t>Revoke direct client authority over booking state and financial fields. Route hold, confirm, cancel and refund transitions through authorized transactional operations with explicit previous-state checks. Keep payment evidence and seat inventory consistent in the same transaction. Where this schema is already deployed, review records and authorization exposure using a controlled reconciliation; this audit did not inspect live tickets. Acceptance must include a passenger directly attempting forbidden REST updates, agency boundary tests and concurrent legitimate confirmations. Hiding an action in Flutter does not close this defect.</w:t>
      </w:r>
    </w:p>
    <w:p>
      <w:pPr>
        <w:pStyle w:val="Heading2"/>
      </w:pPr>
      <w:r>
        <w:t>F04 Insufficient SMS evidence can activate subscriptions</w:t>
      </w:r>
    </w:p>
    <w:p>
      <w:pPr/>
      <w:r>
        <w:rPr>
          <w:b/>
        </w:rPr>
        <w:t>P0 for automatic activation | Reproduced parser behavior and confirmed SQL path.</w:t>
      </w:r>
      <w:r>
        <w:t xml:space="preserve"> The SMS parser retains amount fields even when is_momo_payment is false or confidence is zero. The latest allocator ignores is_momo_payment and confidence, substitutes a default merchant code when absent and permits missing payer/member/reference data in its fallback. A sole pending invoice in an amount/time window can therefore be treated as a match without adequate payment evidence. The collector's capture of all new SMS makes this boundary especially important. </w:t>
      </w:r>
      <w:hyperlink r:id="rId28">
        <w:r>
          <w:rPr>
            <w:color w:val="155A85"/>
            <w:u w:val="single"/>
          </w:rPr>
          <w:t>Parser lines 155–200</w:t>
        </w:r>
      </w:hyperlink>
      <w:r>
        <w:t xml:space="preserve">, </w:t>
      </w:r>
      <w:hyperlink r:id="rId29">
        <w:r>
          <w:rPr>
            <w:color w:val="155A85"/>
            <w:u w:val="single"/>
          </w:rPr>
          <w:t>receipt allocator</w:t>
        </w:r>
      </w:hyperlink>
      <w:r>
        <w:t xml:space="preserve">, </w:t>
      </w:r>
      <w:hyperlink r:id="rId30">
        <w:r>
          <w:rPr>
            <w:color w:val="155A85"/>
            <w:u w:val="single"/>
          </w:rPr>
          <w:t>collector ingestion</w:t>
        </w:r>
      </w:hyperlink>
      <w:r>
        <w:t>.</w:t>
      </w:r>
    </w:p>
    <w:p>
      <w:pPr/>
      <w:r>
        <w:t>Two controlled negative-payment fixtures reproduced the unmodified parser's passthrough. The SQL conditions were independently traced; no live model response or database activation was executed. Do not equate these fixtures with measured false-credit prevalence.</w:t>
      </w:r>
    </w:p>
    <w:p>
      <w:pPr/>
      <w:r>
        <w:t>Require a supported transaction type, configured receiving merchant, amount/currency, durable transaction reference and unambiguous invoice binding. Check trusted channel evidence independently from language-model output. Route missing, inconsistent, replayed, unsupported and ambiguous cases to review with no entitlement change. Do not default financial identity fields. Confidence alone is not proof, and a signed device batch proves origin rather than payment. Acceptance must show zero activation for unrelated messages, incomplete receipts, duplicate references and adversarially worded content.</w:t>
      </w:r>
    </w:p>
    <w:p>
      <w:pPr>
        <w:pStyle w:val="Heading1"/>
      </w:pPr>
      <w:r>
        <w:t>4 Backend correctness and abuse resistance</w:t>
      </w:r>
    </w:p>
    <w:p>
      <w:pPr>
        <w:pStyle w:val="Heading2"/>
      </w:pPr>
      <w:r>
        <w:t>F05 Member IDs can collide and disagree across surfaces</w:t>
      </w:r>
    </w:p>
    <w:p>
      <w:pPr/>
      <w:r>
        <w:rPr>
          <w:b/>
        </w:rPr>
        <w:t>P1 for the core identity contract | Confirmed source and deterministic mathematical fixtures.</w:t>
      </w:r>
      <w:r>
        <w:t xml:space="preserve"> The server derives six-digit member_id values from a UUID prefix modulo 900,000, without a uniqueness constraint or collision retry. Synthetic prefixes 00000001 and 000dbba1 both produce 100001. Wallet recipient lookup uses LIMIT 1 on that nonunique field; BioPay sharing similarly selects a grantee without rejecting ambiguity. This concerns reward-token and private receiving-method routing; no live misdirected transfer was observed. </w:t>
      </w:r>
      <w:hyperlink r:id="rId31">
        <w:r>
          <w:rPr>
            <w:color w:val="155A85"/>
            <w:u w:val="single"/>
          </w:rPr>
          <w:t>Member allocator lines 40–72</w:t>
        </w:r>
      </w:hyperlink>
      <w:r>
        <w:t xml:space="preserve">, </w:t>
      </w:r>
      <w:hyperlink r:id="rId32">
        <w:r>
          <w:rPr>
            <w:color w:val="155A85"/>
            <w:u w:val="single"/>
          </w:rPr>
          <w:t>wallet recipient lookup</w:t>
        </w:r>
      </w:hyperlink>
      <w:r>
        <w:t xml:space="preserve">, </w:t>
      </w:r>
      <w:hyperlink r:id="rId16">
        <w:r>
          <w:rPr>
            <w:color w:val="155A85"/>
            <w:u w:val="single"/>
          </w:rPr>
          <w:t>BioPay sharing</w:t>
        </w:r>
      </w:hyperlink>
      <w:r>
        <w:t>.</w:t>
      </w:r>
    </w:p>
    <w:p>
      <w:pPr/>
      <w:r>
        <w:t xml:space="preserve">Flutter compounds the problem. DriverCard hashes the UUID even when Home has the authoritative member ID, Nearby booking cards use six UUID characters that can contain letters, and Profile has another fallback. A user can see an identifier different from the identifier used by the receiver RPC. </w:t>
      </w:r>
      <w:hyperlink r:id="rId33">
        <w:r>
          <w:rPr>
            <w:color w:val="155A85"/>
            <w:u w:val="single"/>
          </w:rPr>
          <w:t>Driver card</w:t>
        </w:r>
      </w:hyperlink>
      <w:r>
        <w:t xml:space="preserve">, </w:t>
      </w:r>
      <w:hyperlink r:id="rId34">
        <w:r>
          <w:rPr>
            <w:color w:val="155A85"/>
            <w:u w:val="single"/>
          </w:rPr>
          <w:t>Nearby booking cards</w:t>
        </w:r>
      </w:hyperlink>
      <w:r>
        <w:t xml:space="preserve">, </w:t>
      </w:r>
      <w:hyperlink r:id="rId35">
        <w:r>
          <w:rPr>
            <w:color w:val="155A85"/>
            <w:u w:val="single"/>
          </w:rPr>
          <w:t>Profile</w:t>
        </w:r>
      </w:hyperlink>
      <w:r>
        <w:t>.</w:t>
      </w:r>
    </w:p>
    <w:p>
      <w:pPr/>
      <w:r>
        <w:t>Create an atomic unique server allocator and migrate collisions with a reviewed owner mapping. Preserve UUID primary keys internally. Reject ambiguous legacy lookups, bind receiver results to the canonical UUID and propagate one authoritative code through every UI, link and sharing operation. Remove fabricated loading IDs and hash fallbacks. Plan the finite 900,000-code capacity explicitly. Acceptance includes concurrent allocation, duplicate rejection, migration reconciliation and cross-screen/transfer/grant consistency.</w:t>
      </w:r>
    </w:p>
    <w:p>
      <w:pPr>
        <w:pStyle w:val="Heading2"/>
      </w:pPr>
      <w:r>
        <w:t>F06 Seat holds and receipt reuse break transactional invariants</w:t>
      </w:r>
    </w:p>
    <w:p>
      <w:pPr/>
      <w:r>
        <w:rPr>
          <w:b/>
        </w:rPr>
        <w:t>P1 for paid transport | Confirmed source.</w:t>
      </w:r>
      <w:r>
        <w:t xml:space="preserve"> Each hold call creates another hold and reduces available inventory; no operation key or reservation quota is evident. In the latest confirmation function, the expired branch updates status and raises an exception, which rolls back that update. The branch also does not release seats, and no expiry worker was found. Repeated or abandoned holds can consume capacity. </w:t>
      </w:r>
      <w:hyperlink r:id="rId36">
        <w:r>
          <w:rPr>
            <w:color w:val="155A85"/>
            <w:u w:val="single"/>
          </w:rPr>
          <w:t>Current transport RPCs lines 7–160</w:t>
        </w:r>
      </w:hyperlink>
      <w:r>
        <w:t xml:space="preserve">, </w:t>
      </w:r>
      <w:hyperlink r:id="rId37">
        <w:r>
          <w:rPr>
            <w:color w:val="155A85"/>
            <w:u w:val="single"/>
          </w:rPr>
          <w:t>PostgreSQL exception behavior</w:t>
        </w:r>
      </w:hyperlink>
      <w:r>
        <w:t>.</w:t>
      </w:r>
    </w:p>
    <w:p>
      <w:pPr/>
      <w:r>
        <w:t>The same function confirms a booking and then handles a duplicate provider reference by updating the existing payment's status/metadata, without verifying the same booking, amount and currency. An authorized agency/service call can reuse a receipt across different bookings. The existence of a unique receipt row does not guarantee unique allocation.</w:t>
      </w:r>
    </w:p>
    <w:p>
      <w:pPr/>
      <w:r>
        <w:t>Add idempotent hold creation, sensible per-user limits, transactional expiry/release and an exercised periodic sweeper. Make receipt allocation immutable and unique across the intended obligation. Retries of the same confirmed operation should return its prior result; reuse for a different obligation must fail before inventory changes. Test concurrent hold/confirm/cancel/expire/retry interleavings and exact inventory conservation in PostgreSQL. Define cancellation/refund and agency reconciliation responsibilities before selling tickets.</w:t>
      </w:r>
    </w:p>
    <w:p>
      <w:pPr>
        <w:pStyle w:val="Heading2"/>
      </w:pPr>
      <w:r>
        <w:t>F07 Concurrent subscription renewals may overlap</w:t>
      </w:r>
    </w:p>
    <w:p>
      <w:pPr/>
      <w:r>
        <w:rPr>
          <w:b/>
        </w:rPr>
        <w:t>P1 for subscriptions | Source-derived concurrency risk requiring a two-session test.</w:t>
      </w:r>
      <w:r>
        <w:t xml:space="preserve"> Activation locks the invoice, then reads the maximum current subscription end for a profile and vehicle. Two different invoices can read the same end and insert overlapping periods. Existing same-invoice idempotency is valuable but does not serialize distinct purchases of the same entitlement. </w:t>
      </w:r>
      <w:hyperlink r:id="rId29">
        <w:r>
          <w:rPr>
            <w:color w:val="155A85"/>
            <w:u w:val="single"/>
          </w:rPr>
          <w:t>Activation lines 298–390</w:t>
        </w:r>
      </w:hyperlink>
      <w:r>
        <w:t>.</w:t>
      </w:r>
    </w:p>
    <w:p>
      <w:pPr/>
      <w:r>
        <w:t xml:space="preserve">Serialize on a shared entitlement identity or apply an equivalent database invariant. Preserve invoice idempotency and define how renewals, reversals and expired periods compose. Run a synchronized two-session test with two valid invoices: total purchased duration must extend correctly once per invoice with no lost period. Record this as unverified until that test runs. PostgreSQL's default isolation does not automatically turn a read-then-insert application sequence into a serial operation. </w:t>
      </w:r>
      <w:hyperlink r:id="rId38">
        <w:r>
          <w:rPr>
            <w:color w:val="155A85"/>
            <w:u w:val="single"/>
          </w:rPr>
          <w:t>Transaction isolation</w:t>
        </w:r>
      </w:hyperlink>
      <w:r>
        <w:t xml:space="preserve">, </w:t>
      </w:r>
      <w:hyperlink r:id="rId39">
        <w:r>
          <w:rPr>
            <w:color w:val="155A85"/>
            <w:u w:val="single"/>
          </w:rPr>
          <w:t>explicit locking</w:t>
        </w:r>
      </w:hyperlink>
      <w:r>
        <w:t>.</w:t>
      </w:r>
    </w:p>
    <w:p>
      <w:pPr>
        <w:pStyle w:val="Heading2"/>
      </w:pPr>
      <w:r>
        <w:t>F08 Nearby discovery can expose stale and excessive location data</w:t>
      </w:r>
    </w:p>
    <w:p>
      <w:pPr/>
      <w:r>
        <w:rPr>
          <w:b/>
        </w:rPr>
        <w:t>P1 for nearby discovery | Confirmed source.</w:t>
      </w:r>
      <w:r>
        <w:t xml:space="preserve"> The latest query checks is_online but lacks a heartbeat-age cutoff and radius restriction. Caller p_limit has a lower bound without an upper cap. Direct table policy also exposes online coordinates to verified users, so fixing only the RPC would leave another access route. Exact coordinates and WhatsApp contact can remain discoverable after a crash or network loss, while the UI labels drivers live. </w:t>
      </w:r>
      <w:hyperlink r:id="rId40">
        <w:r>
          <w:rPr>
            <w:color w:val="155A85"/>
            <w:u w:val="single"/>
          </w:rPr>
          <w:t>Current discovery query and policies</w:t>
        </w:r>
      </w:hyperlink>
      <w:r>
        <w:t>.</w:t>
      </w:r>
    </w:p>
    <w:p>
      <w:pPr/>
      <w:r>
        <w:t>Define freshness and visibility rules, enforce server expiry and bounded radius/limits across every read path, and minimize the returned location precision to the actual journey. Bind sharing to the current account and cancel in-flight starts when sharing stops. Display a timestamp or unavailable state when freshness is unknown. Test crash, revoked location, logout, stale heartbeat, large limit, distant query and direct table access. Verify background disclosure and store approval separately; neither an online flag nor client cleanup is a reliable retention boundary.</w:t>
      </w:r>
    </w:p>
    <w:p>
      <w:pPr>
        <w:pStyle w:val="Heading2"/>
      </w:pPr>
      <w:r>
        <w:t>F09 Secondary ingress and authentication controls need alignment</w:t>
      </w:r>
    </w:p>
    <w:p>
      <w:pPr/>
      <w:r>
        <w:rPr>
          <w:b/>
        </w:rPr>
        <w:t>P1 before the relevant endpoint is exposed.</w:t>
      </w:r>
      <w:r>
        <w:t xml:space="preserve"> parse-sms and reconcile-momo-sms remain implemented as shared-secret privileged ingestion handlers in the supplied source/configuration, despite older documents describing retired paths. They lack the signed collector's per-device revocation, replay nonce and body-size controls. Maps rate limits use an in-process Map and reset across instances; its authority check and upstream deadlines are weaker than the protected BioPay paths. </w:t>
      </w:r>
      <w:hyperlink r:id="rId41">
        <w:r>
          <w:rPr>
            <w:color w:val="155A85"/>
            <w:u w:val="single"/>
          </w:rPr>
          <w:t>Legacy SMS handler</w:t>
        </w:r>
      </w:hyperlink>
      <w:r>
        <w:t xml:space="preserve">, </w:t>
      </w:r>
      <w:hyperlink r:id="rId42">
        <w:r>
          <w:rPr>
            <w:color w:val="155A85"/>
            <w:u w:val="single"/>
          </w:rPr>
          <w:t>reconciliation handler</w:t>
        </w:r>
      </w:hyperlink>
      <w:r>
        <w:t xml:space="preserve">, </w:t>
      </w:r>
      <w:hyperlink r:id="rId14">
        <w:r>
          <w:rPr>
            <w:color w:val="155A85"/>
            <w:u w:val="single"/>
          </w:rPr>
          <w:t>Maps gateway</w:t>
        </w:r>
      </w:hyperlink>
      <w:r>
        <w:t>.</w:t>
      </w:r>
    </w:p>
    <w:p>
      <w:pPr/>
      <w:r>
        <w:t>Inventory actual deployed routes. Retire unused privileged entry points or route them through the same verified, bounded ingress. Use shared durable quotas for costly Maps/OTP/face/SMS operations and explicit provider timeouts. Preserve compute_route returning 410. Audit authorization at the Edge Function and SQL boundaries, including missing/expired/anonymous sessions.</w:t>
      </w:r>
    </w:p>
    <w:p>
      <w:pPr/>
      <w:r>
        <w:t xml:space="preserve">Classic Play Integrity challenges are not consumed once or bound to the full request; device verdicts are logged and the default is monitor. Choose and test an explicit enforcement policy, including supported-device exceptions and outage behavior. The fixed store-review credential still requires a live OTP row and atomic claim and does not grant admin authority, but it needs controlled data, role, rate and credential lifecycle boundaries. Production must also reject WhatsApp dry-run configuration, which currently logs full phone/code in that mode. </w:t>
      </w:r>
      <w:hyperlink r:id="rId43">
        <w:r>
          <w:rPr>
            <w:color w:val="155A85"/>
            <w:u w:val="single"/>
          </w:rPr>
          <w:t>Integrity helper</w:t>
        </w:r>
      </w:hyperlink>
      <w:r>
        <w:t xml:space="preserve">, </w:t>
      </w:r>
      <w:hyperlink r:id="rId44">
        <w:r>
          <w:rPr>
            <w:color w:val="155A85"/>
            <w:u w:val="single"/>
          </w:rPr>
          <w:t>review login</w:t>
        </w:r>
      </w:hyperlink>
      <w:r>
        <w:t xml:space="preserve">, </w:t>
      </w:r>
      <w:hyperlink r:id="rId45">
        <w:r>
          <w:rPr>
            <w:color w:val="155A85"/>
            <w:u w:val="single"/>
          </w:rPr>
          <w:t>WhatsApp helper</w:t>
        </w:r>
      </w:hyperlink>
      <w:r>
        <w:t xml:space="preserve">, </w:t>
      </w:r>
      <w:hyperlink r:id="rId46">
        <w:r>
          <w:rPr>
            <w:color w:val="155A85"/>
            <w:u w:val="single"/>
          </w:rPr>
          <w:t>Google classic request guidance</w:t>
        </w:r>
      </w:hyperlink>
      <w:r>
        <w:t>.</w:t>
      </w:r>
    </w:p>
    <w:p>
      <w:pPr>
        <w:pStyle w:val="Heading1"/>
      </w:pPr>
      <w:r>
        <w:t>5 Mobile and platform readiness</w:t>
      </w:r>
    </w:p>
    <w:p>
      <w:pPr>
        <w:pStyle w:val="Heading2"/>
      </w:pPr>
      <w:r>
        <w:t>F10 Logout and device ownership are incomplete</w:t>
      </w:r>
    </w:p>
    <w:p>
      <w:pPr/>
      <w:r>
        <w:rPr>
          <w:b/>
        </w:rPr>
        <w:t>P1 | Confirmed client flow and backend contract; cross-account leakage not reproduced.</w:t>
      </w:r>
      <w:r>
        <w:t xml:space="preserve"> No ordinary passenger/driver sign-out action was found. The admin exit awaits location cleanup before sign-out; a cleanup failure can prevent credential removal. The session helper catches sign-out failure and may accept a remaining session. FCM unregister is attempted after the auth-change event has removed the old identity, while the table requires the old owner and a token is globally unique. Old-account association may persist and prevent new-account registration on the same phone. </w:t>
      </w:r>
      <w:hyperlink r:id="rId47">
        <w:r>
          <w:rPr>
            <w:color w:val="155A85"/>
            <w:u w:val="single"/>
          </w:rPr>
          <w:t>Exit wrapper</w:t>
        </w:r>
      </w:hyperlink>
      <w:r>
        <w:t xml:space="preserve">, </w:t>
      </w:r>
      <w:hyperlink r:id="rId48">
        <w:r>
          <w:rPr>
            <w:color w:val="155A85"/>
            <w:u w:val="single"/>
          </w:rPr>
          <w:t>session service</w:t>
        </w:r>
      </w:hyperlink>
      <w:r>
        <w:t xml:space="preserve">, </w:t>
      </w:r>
      <w:hyperlink r:id="rId49">
        <w:r>
          <w:rPr>
            <w:color w:val="155A85"/>
            <w:u w:val="single"/>
          </w:rPr>
          <w:t>shell listener</w:t>
        </w:r>
      </w:hyperlink>
      <w:r>
        <w:t xml:space="preserve">, </w:t>
      </w:r>
      <w:hyperlink r:id="rId50">
        <w:r>
          <w:rPr>
            <w:color w:val="155A85"/>
            <w:u w:val="single"/>
          </w:rPr>
          <w:t>push service</w:t>
        </w:r>
      </w:hyperlink>
      <w:r>
        <w:t xml:space="preserve">, </w:t>
      </w:r>
      <w:hyperlink r:id="rId51">
        <w:r>
          <w:rPr>
            <w:color w:val="155A85"/>
            <w:u w:val="single"/>
          </w:rPr>
          <w:t>FCM policies</w:t>
        </w:r>
      </w:hyperlink>
      <w:r>
        <w:t>.</w:t>
      </w:r>
    </w:p>
    <w:p>
      <w:pPr/>
      <w:r>
        <w:t>Implement one account lifecycle coordinator. Revoke device association while the previous identity is available, guarantee local exit despite network errors, stop location/NFC, invalidate account-scoped providers and separate anonymous from verified registration. Use an authorized atomic token-transfer operation where needed. Test A login, A push, logout, B login and later A/B notifications on a physical phone; A's content must no longer appear there. Test lost network, failed cleanup, process death and refresh-token revocation. Review native OS-backed credential persistence and the distinct web/admin storage threat model.</w:t>
      </w:r>
    </w:p>
    <w:p>
      <w:pPr>
        <w:pStyle w:val="Heading2"/>
      </w:pPr>
      <w:r>
        <w:t>F11 Admin session policy is inconsistent</w:t>
      </w:r>
    </w:p>
    <w:p>
      <w:pPr/>
      <w:r>
        <w:rPr>
          <w:b/>
        </w:rPr>
        <w:t>P1 for admin | Confirmed policy mismatch, not server privilege escalation.</w:t>
      </w:r>
      <w:r>
        <w:t xml:space="preserve"> The router accepts hasAdminRole OR hasActiveAdminSession. A normal admin metadata role can therefore bypass the separate guard's documented 15-minute timeout. Backend admin OTP also assigns the full permission set on login, which may be intended for platform superadmins but does not provide delegated least privilege. </w:t>
      </w:r>
      <w:hyperlink r:id="rId52">
        <w:r>
          <w:rPr>
            <w:color w:val="155A85"/>
            <w:u w:val="single"/>
          </w:rPr>
          <w:t>Router</w:t>
        </w:r>
      </w:hyperlink>
      <w:r>
        <w:t xml:space="preserve">, </w:t>
      </w:r>
      <w:hyperlink r:id="rId53">
        <w:r>
          <w:rPr>
            <w:color w:val="155A85"/>
            <w:u w:val="single"/>
          </w:rPr>
          <w:t>admin guard</w:t>
        </w:r>
      </w:hyperlink>
      <w:r>
        <w:t>.</w:t>
      </w:r>
    </w:p>
    <w:p>
      <w:pPr/>
      <w:r>
        <w:t>Agree whether all allowlisted accounts are superadmins or whether operations roles need separation. Define idle and absolute lifetimes and enforce the intended server authority alongside UI locks. Test role removal, token refresh, resume, browser restart, expired sessions and cross-purpose tokens. Keep the existing allowlist and verified-session checks. Require a reauthentication policy for high-impact operations, attributable audit records and a controlled emergency-access procedure.</w:t>
      </w:r>
    </w:p>
    <w:p>
      <w:pPr>
        <w:pStyle w:val="Heading2"/>
      </w:pPr>
      <w:r>
        <w:t>F12 Startup and asynchronous state can mislead users</w:t>
      </w:r>
    </w:p>
    <w:p>
      <w:pPr/>
      <w:r>
        <w:rPr>
          <w:b/>
        </w:rPr>
        <w:t>P1 for core reliability.</w:t>
      </w:r>
      <w:r>
        <w:t xml:space="preserve"> Bootstrap awaits optional Firebase/Remote Config/push work before mounting the application, with incomplete overall deadlines. A logged outer error can leave the launch screen without recovery. Elsewhere, face-status failure becomes not_started, an initial profile member code is fabricated, and account-generation protection is less consistent in Bookings/Profile/role synchronization than in the newer face flow. </w:t>
      </w:r>
      <w:hyperlink r:id="rId54">
        <w:r>
          <w:rPr>
            <w:color w:val="155A85"/>
            <w:u w:val="single"/>
          </w:rPr>
          <w:t>Bootstrap</w:t>
        </w:r>
      </w:hyperlink>
      <w:r>
        <w:t xml:space="preserve">, </w:t>
      </w:r>
      <w:hyperlink r:id="rId35">
        <w:r>
          <w:rPr>
            <w:color w:val="155A85"/>
            <w:u w:val="single"/>
          </w:rPr>
          <w:t>Profile</w:t>
        </w:r>
      </w:hyperlink>
      <w:r>
        <w:t xml:space="preserve">, </w:t>
      </w:r>
      <w:hyperlink r:id="rId34">
        <w:r>
          <w:rPr>
            <w:color w:val="155A85"/>
            <w:u w:val="single"/>
          </w:rPr>
          <w:t>Bookings</w:t>
        </w:r>
      </w:hyperlink>
      <w:r>
        <w:t>.</w:t>
      </w:r>
    </w:p>
    <w:p>
      <w:pPr/>
      <w:r>
        <w:t>Mount a bounded startup state after essential configuration; use cached defaults for auxiliary services and provide retryable failure UI. Preserve deliberate failure for missing mandatory release configuration. Model loading, unavailable, stale and authoritative results separately. Standardize account/generation checks and request deadlines. For mutations, a timeout means an unknown outcome until reconciled; do not invite blind retries. Wallet operation state should be owner-scoped and check persistence success, while chat needs stable message IDs and history pagination. Cache only appropriate read snapshots with timestamps; never replay stale face destinations as current authority.</w:t>
      </w:r>
    </w:p>
    <w:p>
      <w:pPr>
        <w:pStyle w:val="Heading2"/>
      </w:pPr>
      <w:r>
        <w:t>F13 Native NFC expiry is not enforced</w:t>
      </w:r>
    </w:p>
    <w:p>
      <w:pPr/>
      <w:r>
        <w:rPr>
          <w:b/>
        </w:rPr>
        <w:t>P1 for device NFC advertising | Confirmed source.</w:t>
      </w:r>
      <w:r>
        <w:t xml:space="preserve"> MainActivity persists advertising expiry, but BioPayHostApduService checks enabled/nonempty/size and never checks that expiry. Native readiness also ignores it, and disposing the Flutter NFC screen does not stop advertising. The emitted response can be a tel/USSD payload, so the reader does not necessarily have an opaque token whose expiry the backend can enforce. A stale response may survive screen departure, process death or reboot. This is a stale disclosure and handoff risk, not demonstrated automatic debit. </w:t>
      </w:r>
      <w:hyperlink r:id="rId55">
        <w:r>
          <w:rPr>
            <w:color w:val="155A85"/>
            <w:u w:val="single"/>
          </w:rPr>
          <w:t>Native activity</w:t>
        </w:r>
      </w:hyperlink>
      <w:r>
        <w:t xml:space="preserve">, </w:t>
      </w:r>
      <w:hyperlink r:id="rId56">
        <w:r>
          <w:rPr>
            <w:color w:val="155A85"/>
            <w:u w:val="single"/>
          </w:rPr>
          <w:t>HCE service</w:t>
        </w:r>
      </w:hyperlink>
      <w:r>
        <w:t xml:space="preserve">, </w:t>
      </w:r>
      <w:hyperlink r:id="rId57">
        <w:r>
          <w:rPr>
            <w:color w:val="155A85"/>
            <w:u w:val="single"/>
          </w:rPr>
          <w:t>NFC screen</w:t>
        </w:r>
      </w:hyperlink>
      <w:r>
        <w:t>.</w:t>
      </w:r>
    </w:p>
    <w:p>
      <w:pPr/>
      <w:r>
        <w:t>Enforce validity before every native APDU response and clear stale persisted state on startup, stop and logout. Define the intended advertising lifecycle and validate full APDU structure. Test expiration while Flutter is closed, reboot, malformed lengths/AIDs, unsupported commands and oversized payloads with a real reader. Preserve explicit user/operator control of the dialer journey.</w:t>
      </w:r>
    </w:p>
    <w:p>
      <w:pPr>
        <w:pStyle w:val="Heading2"/>
      </w:pPr>
      <w:r>
        <w:t>F14 Android and iOS release artifacts are not accepted yet</w:t>
      </w:r>
    </w:p>
    <w:p>
      <w:pPr/>
      <w:r>
        <w:rPr>
          <w:b/>
        </w:rPr>
        <w:t>P1 for each store release.</w:t>
      </w:r>
      <w:r>
        <w:t xml:space="preserve"> Android compiles against API 36 but targets API 35. The current Play rule requires new apps and updates to target API 36 from August 31, 2026; a documented extension may apply until November 1. Existing-app availability has a separate API 35 rule. Change and verify the emitted artifact, then test API 36 behavior; this does not imply existing installations stop working. </w:t>
      </w:r>
      <w:hyperlink r:id="rId58">
        <w:r>
          <w:rPr>
            <w:color w:val="155A85"/>
            <w:u w:val="single"/>
          </w:rPr>
          <w:t>Android build configuration</w:t>
        </w:r>
      </w:hyperlink>
      <w:r>
        <w:t xml:space="preserve">, </w:t>
      </w:r>
      <w:hyperlink r:id="rId59">
        <w:r>
          <w:rPr>
            <w:color w:val="155A85"/>
            <w:u w:val="single"/>
          </w:rPr>
          <w:t>current target API policy</w:t>
        </w:r>
      </w:hyperlink>
      <w:r>
        <w:t xml:space="preserve">, </w:t>
      </w:r>
      <w:hyperlink r:id="rId60">
        <w:r>
          <w:rPr>
            <w:color w:val="155A85"/>
            <w:u w:val="single"/>
          </w:rPr>
          <w:t>Android 16 behavior changes</w:t>
        </w:r>
      </w:hyperlink>
      <w:r>
        <w:t>.</w:t>
      </w:r>
    </w:p>
    <w:p>
      <w:pPr/>
      <w:r>
        <w:t xml:space="preserve">The iOS gate uses --no-codesign, its Xcode selection is not asserted, and RunnerTests contains an empty example. Apple requires Xcode 26 or later with the iOS 26 SDK for current uploads. The existing iOS 15.5 deployment minimum is adequate; the missing evidence is a signed distributable archive, entitlement agreement and device acceptance. </w:t>
      </w:r>
      <w:hyperlink r:id="rId61">
        <w:r>
          <w:rPr>
            <w:color w:val="155A85"/>
            <w:u w:val="single"/>
          </w:rPr>
          <w:t>iOS release script</w:t>
        </w:r>
      </w:hyperlink>
      <w:r>
        <w:t xml:space="preserve">, </w:t>
      </w:r>
      <w:hyperlink r:id="rId62">
        <w:r>
          <w:rPr>
            <w:color w:val="155A85"/>
            <w:u w:val="single"/>
          </w:rPr>
          <w:t>Apple submission requirements</w:t>
        </w:r>
      </w:hyperlink>
      <w:r>
        <w:t>.</w:t>
      </w:r>
    </w:p>
    <w:p>
      <w:pPr/>
      <w:r>
        <w:t>Generate a signed AAB and signed iOS archive from an identified candidate. Check certificates, application links, APNs, NFC, permission text, symbols and privacy manifests; install through the actual internal store/TestFlight route. Test denial, revocation, notifications, background location, QR/photo/contact pickers and manual USSD fallback. The main Android app correctly uses ACTION_DIAL without CALL_PHONE. No macOS product target exists, so Mac notarization is not an appropriate task; macOS remains the required iOS build environment.</w:t>
      </w:r>
    </w:p>
    <w:p>
      <w:pPr/>
      <w:r>
        <w:t xml:space="preserve">Verify every emitted native library and generated APK for 16 KB compatibility. The current Android guidance states noncompliant updates targeting API 35 or later will be blocked on Google Play for 64-bit devices from February 1, 2027. Packaging/tool versions alone do not prove compatibility, and this audit did not establish incompatibility. Archive bundle/ELF/zip alignment results and run a 16 KB environment with camera and scanning plugins. </w:t>
      </w:r>
      <w:hyperlink r:id="rId63">
        <w:r>
          <w:rPr>
            <w:color w:val="155A85"/>
            <w:u w:val="single"/>
          </w:rPr>
          <w:t>Android page-size guidance</w:t>
        </w:r>
      </w:hyperlink>
      <w:r>
        <w:t>.</w:t>
      </w:r>
    </w:p>
    <w:p>
      <w:pPr>
        <w:pStyle w:val="Heading2"/>
      </w:pPr>
      <w:r>
        <w:t>F15 The institutional SMS collector needs operational hardening</w:t>
      </w:r>
    </w:p>
    <w:p>
      <w:pPr/>
      <w:r>
        <w:rPr>
          <w:b/>
        </w:rPr>
        <w:t>P1 for collector deployment.</w:t>
      </w:r>
      <w:r>
        <w:t xml:space="preserve"> The UAT script signs a release APK with the standard workstation debug key; no dedicated production signing process is established. The collector captures all new SMS through RECEIVE_SMS, without historical inbox reads or a local relevance filter. It serializes the entire pending queue into SharedPreferences, retains uploaded hashes without bounds and silently drops malformed rows while reading. Device authentication is stronger than its data minimization and durability. </w:t>
      </w:r>
      <w:hyperlink r:id="rId64">
        <w:r>
          <w:rPr>
            <w:color w:val="155A85"/>
            <w:u w:val="single"/>
          </w:rPr>
          <w:t>Collector UAT</w:t>
        </w:r>
      </w:hyperlink>
      <w:r>
        <w:t xml:space="preserve">, </w:t>
      </w:r>
      <w:hyperlink r:id="rId65">
        <w:r>
          <w:rPr>
            <w:color w:val="155A85"/>
            <w:u w:val="single"/>
          </w:rPr>
          <w:t>SMS receiver</w:t>
        </w:r>
      </w:hyperlink>
      <w:r>
        <w:t xml:space="preserve">, </w:t>
      </w:r>
      <w:hyperlink r:id="rId66">
        <w:r>
          <w:rPr>
            <w:color w:val="155A85"/>
            <w:u w:val="single"/>
          </w:rPr>
          <w:t>queue</w:t>
        </w:r>
      </w:hyperlink>
      <w:r>
        <w:t>.</w:t>
      </w:r>
    </w:p>
    <w:p>
      <w:pPr/>
      <w:r>
        <w:t xml:space="preserve">Use a dedicated institutional SIM/device and maintained local sender/category filtering before persistence or upload, with a clear disclosure. Keep server financial validation independent. Migrate to a transactional bounded queue with explicit quarantine, retention, disk-pressure handling and reconciliation for missed broadcasts. Use one persistent upload owner with capped backoff, jitter and Retry-After; the UI, foreground service and WorkManager currently have separate in-flight protection. An empty queue currently reports success before validating configuration, so Running is not reliable enrollment or delivery evidence. </w:t>
      </w:r>
      <w:hyperlink r:id="rId67">
        <w:r>
          <w:rPr>
            <w:color w:val="155A85"/>
            <w:u w:val="single"/>
          </w:rPr>
          <w:t>Upload client</w:t>
        </w:r>
      </w:hyperlink>
      <w:r>
        <w:t xml:space="preserve">, </w:t>
      </w:r>
      <w:hyperlink r:id="rId68">
        <w:r>
          <w:rPr>
            <w:color w:val="155A85"/>
            <w:u w:val="single"/>
          </w:rPr>
          <w:t>WorkManager retry guidance</w:t>
        </w:r>
      </w:hyperlink>
      <w:r>
        <w:t>.</w:t>
      </w:r>
    </w:p>
    <w:p>
      <w:pPr/>
      <w:r>
        <w:t xml:space="preserve">Provide a dedicated release key and update path that preserves queued receipts and device enrollment. Test offline volume, restart, update, disk full, corrupt records, multipart duplicates, 401/403, 429, 503 and clock skew. Public Play SMS eligibility must be reviewed if that distribution route is chosen; private organizational distribution does not remove privacy duties. </w:t>
      </w:r>
      <w:hyperlink r:id="rId69">
        <w:r>
          <w:rPr>
            <w:color w:val="155A85"/>
            <w:u w:val="single"/>
          </w:rPr>
          <w:t>Play SMS policy</w:t>
        </w:r>
      </w:hyperlink>
      <w:r>
        <w:t>.</w:t>
      </w:r>
    </w:p>
    <w:p>
      <w:pPr>
        <w:pStyle w:val="Heading2"/>
      </w:pPr>
      <w:r>
        <w:t>F16 Accessibility localization and performance need measured acceptance</w:t>
      </w:r>
    </w:p>
    <w:p>
      <w:pPr/>
      <w:r>
        <w:rPr>
          <w:b/>
        </w:rPr>
        <w:t>P1 for promised launch journeys; P2 for broader improvement.</w:t>
      </w:r>
      <w:r>
        <w:t xml:space="preserve"> Stored mobile and admin fixtures show a coherent visual system, clear face consent and readiness labels, and structured navigation. They are historical golden images, not a current running build. Existing tests include semantics, focus, text scaling and reduced motion; those should be executed and extended, not dismissed. English, Kinyarwanda and French ARBs exist, but important journeys retain hardcoded English. </w:t>
      </w:r>
      <w:hyperlink r:id="rId70">
        <w:r>
          <w:rPr>
            <w:color w:val="155A85"/>
            <w:u w:val="single"/>
          </w:rPr>
          <w:t>Localization sources</w:t>
        </w:r>
      </w:hyperlink>
      <w:r>
        <w:t xml:space="preserve">, </w:t>
      </w:r>
      <w:hyperlink r:id="rId71">
        <w:r>
          <w:rPr>
            <w:color w:val="155A85"/>
            <w:u w:val="single"/>
          </w:rPr>
          <w:t>design contract</w:t>
        </w:r>
      </w:hyperlink>
      <w:r>
        <w:t>.</w:t>
      </w:r>
    </w:p>
    <w:p>
      <w:pPr/>
      <w:r>
        <w:t xml:space="preserve">Run critical journeys with TalkBack and VoiceOver, large text, reduced motion, keyboard focus, light/dark themes and small screens. Announce automatic external handoff and retain supported alternatives. Have competent language review for each promised launch language. Measure startup, frame timing, memory during camera work, upload sizes, location battery use and large admin lists in release/profile mode on representative lower-cost Android devices and an iPhone. Set budgets from pilot evidence, then optimize observed bottlenecks. Split overloaded Trip/identity contracts and screen-owned orchestration as touched features are repaired; retain the established framework and state tools. </w:t>
      </w:r>
      <w:hyperlink r:id="rId72">
        <w:r>
          <w:rPr>
            <w:color w:val="155A85"/>
            <w:u w:val="single"/>
          </w:rPr>
          <w:t>Flutter accessibility</w:t>
        </w:r>
      </w:hyperlink>
      <w:r>
        <w:t xml:space="preserve">, </w:t>
      </w:r>
      <w:hyperlink r:id="rId73">
        <w:r>
          <w:rPr>
            <w:color w:val="155A85"/>
            <w:u w:val="single"/>
          </w:rPr>
          <w:t>Flutter architecture</w:t>
        </w:r>
      </w:hyperlink>
      <w:r>
        <w:t xml:space="preserve">, </w:t>
      </w:r>
      <w:hyperlink r:id="rId74">
        <w:r>
          <w:rPr>
            <w:color w:val="155A85"/>
            <w:u w:val="single"/>
          </w:rPr>
          <w:t>Flutter performance</w:t>
        </w:r>
      </w:hyperlink>
      <w:r>
        <w:t>.</w:t>
      </w:r>
    </w:p>
    <w:p>
      <w:pPr>
        <w:pStyle w:val="Heading1"/>
      </w:pPr>
      <w:r>
        <w:t>6 Face discovery acceptance and capacity</w:t>
      </w:r>
    </w:p>
    <w:p>
      <w:pPr>
        <w:pStyle w:val="Heading2"/>
      </w:pPr>
      <w:r>
        <w:t>F17 Recognition and operator evidence remain release gates</w:t>
      </w:r>
    </w:p>
    <w:p>
      <w:pPr/>
      <w:r>
        <w:rPr>
          <w:b/>
        </w:rPr>
        <w:t>P1 for face | Explicit evidence gap in the latest execution/testing report.</w:t>
      </w:r>
      <w:r>
        <w:t xml:space="preserve"> The September report records substantial local tests but leaves production recognition acceptance, deployed SQL/Edge/Worker configuration, the Linux container and the actual new-app scan-to-dialer/operator journey open. A YuNet/SFace tutorial threshold is not evidence for Mobio's one-to-many recipient search at its gallery size. A synthetic admin shortcut rate is not identification accuracy. </w:t>
      </w:r>
      <w:hyperlink r:id="rId13">
        <w:r>
          <w:rPr>
            <w:color w:val="155A85"/>
            <w:u w:val="single"/>
          </w:rPr>
          <w:t>Historical face evidence</w:t>
        </w:r>
      </w:hyperlink>
      <w:r>
        <w:t xml:space="preserve">, </w:t>
      </w:r>
      <w:hyperlink r:id="rId75">
        <w:r>
          <w:rPr>
            <w:color w:val="155A85"/>
            <w:u w:val="single"/>
          </w:rPr>
          <w:t>OpenCV face tutorial</w:t>
        </w:r>
      </w:hyperlink>
      <w:r>
        <w:t>.</w:t>
      </w:r>
    </w:p>
    <w:p>
      <w:pPr/>
      <w:r>
        <w:t>Build a consented, purpose-limited evaluation with a declared model/preprocessing revision, separate enrollment/probe sessions and held-out identities. Include enrolled and unenrolled probes, near-duplicate candidates, realistic gallery sizes, lighting, pose, occlusion, device quality and relevant participant variation. Report false recipient selection, false rejection, ambiguous/no-match outcomes, latency and confidence intervals; avoid presenting a small clean sample as universal accuracy. Choose the threshold and top-candidate margin from the evaluation and record who accepts the residual wrong-recipient risk. Maintain operator recipient confirmation and manual alternatives.</w:t>
      </w:r>
    </w:p>
    <w:p>
      <w:pPr/>
      <w:r>
        <w:t xml:space="preserve">Verify the currently supported Rwanda carrier route through an authorized test with no unintended transfer: enrollment, changed receiving number, scan, amount-free ACTION_DIAL, operator recipient confirmation and cancellation. A dialer-open result does not prove transfer success. Exercise consent withdrawal, pause/remove, duplicate enrollment, delayed vector mutation, index/model mismatch, account switch and provider outage. Cloudflare vector mutations are asynchronous, so cleanup must prove immediate SQL exclusion and eventual vector absence, including a late insert after cancellation. Keep the feature disabled until these gates are met. </w:t>
      </w:r>
      <w:hyperlink r:id="rId76">
        <w:r>
          <w:rPr>
            <w:color w:val="155A85"/>
            <w:u w:val="single"/>
          </w:rPr>
          <w:t>Vectorize client behavior</w:t>
        </w:r>
      </w:hyperlink>
      <w:r>
        <w:t xml:space="preserve">, </w:t>
      </w:r>
      <w:hyperlink r:id="rId17">
        <w:r>
          <w:rPr>
            <w:color w:val="155A85"/>
            <w:u w:val="single"/>
          </w:rPr>
          <w:t>face runbook</w:t>
        </w:r>
      </w:hyperlink>
      <w:r>
        <w:t>.</w:t>
      </w:r>
    </w:p>
    <w:p>
      <w:pPr>
        <w:pStyle w:val="Heading2"/>
      </w:pPr>
      <w:r>
        <w:t>F18 Inference capacity and service resilience are unmeasured</w:t>
      </w:r>
    </w:p>
    <w:p>
      <w:pPr/>
      <w:r>
        <w:rPr>
          <w:b/>
        </w:rPr>
        <w:t>P1 for initial face capacity; P2 for subsequent optimization.</w:t>
      </w:r>
      <w:r>
        <w:t xml:space="preserve"> Configuration routes to one fixed container, with one OpenCV thread and serialized inference; concurrent work can return SERVICE_BUSY. Containers sleep after inactivity, and compatibility checks add several index operations per request. This is a controlled staging baseline, not established production throughput. Python serves through ThreadingHTTPServer, whose standard-library documentation cautions against production use. </w:t>
      </w:r>
      <w:hyperlink r:id="rId77">
        <w:r>
          <w:rPr>
            <w:color w:val="155A85"/>
            <w:u w:val="single"/>
          </w:rPr>
          <w:t>Worker configuration</w:t>
        </w:r>
      </w:hyperlink>
      <w:r>
        <w:t xml:space="preserve">, </w:t>
      </w:r>
      <w:hyperlink r:id="rId78">
        <w:r>
          <w:rPr>
            <w:color w:val="155A85"/>
            <w:u w:val="single"/>
          </w:rPr>
          <w:t>Python server guidance</w:t>
        </w:r>
      </w:hyperlink>
      <w:r>
        <w:t xml:space="preserve">, </w:t>
      </w:r>
      <w:hyperlink r:id="rId79">
        <w:r>
          <w:rPr>
            <w:color w:val="155A85"/>
            <w:u w:val="single"/>
          </w:rPr>
          <w:t>Cloudflare scaling</w:t>
        </w:r>
      </w:hyperlink>
      <w:r>
        <w:t>.</w:t>
      </w:r>
    </w:p>
    <w:p>
      <w:pPr/>
      <w:r>
        <w:t>Benchmark cold and warm P50/P95 latency from target networks, peak concurrency, queue/rejection rate, memory and cost per enrollment/lookup. Set payload, execution and queue bounds and a graceful overload response. Harden or replace the HTTP serving layer, support health/readiness and graceful draining, and add a bounded scaling policy only after measurements. Cache compatibility metadata only with explicit revision invalidation. Record Worker requests, CPU/runtime, container awake time and Vectorize operations; do not invent a monthly cloud-cost estimate without traffic and account pricing evidence.</w:t>
      </w:r>
    </w:p>
    <w:p>
      <w:pPr>
        <w:pStyle w:val="Heading1"/>
      </w:pPr>
      <w:r>
        <w:t>7 Privacy and regulatory readiness</w:t>
      </w:r>
    </w:p>
    <w:p>
      <w:pPr>
        <w:pStyle w:val="Heading2"/>
      </w:pPr>
      <w:r>
        <w:t>F19 Public notices and account deletion lag the implementation</w:t>
      </w:r>
    </w:p>
    <w:p>
      <w:pPr/>
      <w:r>
        <w:rPr>
          <w:b/>
        </w:rPr>
        <w:t>P1 before the relevant public release.</w:t>
      </w:r>
      <w:r>
        <w:t xml:space="preserve"> Terms still describe anonymous authentication and optional phone data; the privacy policy refers to AWS face verification and payment identity verification. The current implementation requires WhatsApp OTP and uses Cloudflare/OpenCV for recipient discovery. The May data inventory labels biometrics/SMS inactive. iOS camera text also retains AWS language. These statements need a coherent release-specific revision. </w:t>
      </w:r>
      <w:hyperlink r:id="rId80">
        <w:r>
          <w:rPr>
            <w:color w:val="155A85"/>
            <w:u w:val="single"/>
          </w:rPr>
          <w:t>Terms</w:t>
        </w:r>
      </w:hyperlink>
      <w:r>
        <w:t xml:space="preserve">, </w:t>
      </w:r>
      <w:hyperlink r:id="rId81">
        <w:r>
          <w:rPr>
            <w:color w:val="155A85"/>
            <w:u w:val="single"/>
          </w:rPr>
          <w:t>privacy policy</w:t>
        </w:r>
      </w:hyperlink>
      <w:r>
        <w:t xml:space="preserve">, </w:t>
      </w:r>
      <w:hyperlink r:id="rId82">
        <w:r>
          <w:rPr>
            <w:color w:val="155A85"/>
            <w:u w:val="single"/>
          </w:rPr>
          <w:t>data inventory</w:t>
        </w:r>
      </w:hyperlink>
      <w:r>
        <w:t xml:space="preserve">, </w:t>
      </w:r>
      <w:hyperlink r:id="rId83">
        <w:r>
          <w:rPr>
            <w:color w:val="155A85"/>
            <w:u w:val="single"/>
          </w:rPr>
          <w:t>iOS purpose strings</w:t>
        </w:r>
      </w:hyperlink>
      <w:r>
        <w:t>.</w:t>
      </w:r>
    </w:p>
    <w:p>
      <w:pPr/>
      <w:r>
        <w:t xml:space="preserve">Profile opens an account-deletion URL, and the supplied page provides support instructions; no complete authenticated request/status/fulfillment flow was found. Face removal is not whole-account deletion. Implement and test a request-to-completion process covering Auth sessions, profile, posts/chat dispositions, receiving methods, enrollment/vector cleanup, push tokens, bookings/receipts, analytics identifiers and justified retained records. Include retries and evidence of external processor cleanup. The current page's 30-day promise starts after verification/review. Record receipt immediately, track fulfillment and justified retention, and issue the statutory erasure notification within the applicable deadline; an acknowledgment alone is insufficient. </w:t>
      </w:r>
      <w:hyperlink r:id="rId84">
        <w:r>
          <w:rPr>
            <w:color w:val="155A85"/>
            <w:u w:val="single"/>
          </w:rPr>
          <w:t>Deletion page</w:t>
        </w:r>
      </w:hyperlink>
      <w:r>
        <w:t>.</w:t>
      </w:r>
    </w:p>
    <w:p>
      <w:pPr/>
      <w:r>
        <w:t xml:space="preserve">Apple requires account-deletion initiation from the app and generally does not accept mandatory email/phone support for ordinary apps; a direct web completion route can be acceptable. Google's requirement includes an in-app path and a web request resource, and can permit email or a form. Therefore the defect is not that every email link violates every store rule: the implementation and evidence must satisfy the actual channel and complete the request. </w:t>
      </w:r>
      <w:hyperlink r:id="rId85">
        <w:r>
          <w:rPr>
            <w:color w:val="155A85"/>
            <w:u w:val="single"/>
          </w:rPr>
          <w:t>Apple deletion guidance</w:t>
        </w:r>
      </w:hyperlink>
      <w:r>
        <w:t xml:space="preserve">, </w:t>
      </w:r>
      <w:hyperlink r:id="rId86">
        <w:r>
          <w:rPr>
            <w:color w:val="155A85"/>
            <w:u w:val="single"/>
          </w:rPr>
          <w:t>Google deletion guidance</w:t>
        </w:r>
      </w:hyperlink>
      <w:r>
        <w:t>.</w:t>
      </w:r>
    </w:p>
    <w:p>
      <w:pPr>
        <w:pStyle w:val="Heading2"/>
      </w:pPr>
      <w:r>
        <w:t>F20 Rwanda obligations and processing geography require evidence</w:t>
      </w:r>
    </w:p>
    <w:p>
      <w:pPr/>
      <w:r>
        <w:rPr>
          <w:b/>
        </w:rPr>
        <w:t>P1 evidence gate | Research, not organization-specific legal clearance.</w:t>
      </w:r>
      <w:r>
        <w:t xml:space="preserve"> Rwanda Law 058/2021 treats biometrics as sensitive personal data. Relevant requirements include controller/processor registration, processor agreements, collection notices, retention controls, and breach notification/reporting deadlines. Article 23 requires written or electronic notification concerning erasure within 30 days of receiving the request, subject to statutory exceptions. Overseas transfer grounds and overseas storage authorization are distinct: Articles 48–49 address transfers, while Article 50 concerns a valid certificate authorizing storage outside Rwanda. Consent is not a universal substitute for every storage obligation. </w:t>
      </w:r>
      <w:hyperlink r:id="rId87">
        <w:r>
          <w:rPr>
            <w:color w:val="155A85"/>
            <w:u w:val="single"/>
          </w:rPr>
          <w:t>Official Gazette law</w:t>
        </w:r>
      </w:hyperlink>
      <w:r>
        <w:t>.</w:t>
      </w:r>
    </w:p>
    <w:p>
      <w:pPr/>
      <w:r>
        <w:t xml:space="preserve">Obtain the operator's actual registration/certificate scope, DPO appointment/contact, processor contracts, processing register and impact assessment. RISA's explanation includes private corporate bodies within DPO designation and describes high-risk processing assessment. Applying an impact assessment to face discovery and location is this review's reasoned recommendation, not an authority's determination about Mobio. NCSA's April 2026 Application Software Security Directives also cover applications of public and private institutions; map evidence to them without representing a checklist as certification. </w:t>
      </w:r>
      <w:hyperlink r:id="rId88">
        <w:r>
          <w:rPr>
            <w:color w:val="155A85"/>
            <w:u w:val="single"/>
          </w:rPr>
          <w:t>RISA guidance</w:t>
        </w:r>
      </w:hyperlink>
      <w:r>
        <w:t xml:space="preserve">, </w:t>
      </w:r>
      <w:hyperlink r:id="rId89">
        <w:r>
          <w:rPr>
            <w:color w:val="155A85"/>
            <w:u w:val="single"/>
          </w:rPr>
          <w:t>NCSA directives</w:t>
        </w:r>
      </w:hyperlink>
      <w:r>
        <w:t>.</w:t>
      </w:r>
    </w:p>
    <w:p>
      <w:pPr/>
      <w:r>
        <w:t xml:space="preserve">Document actual locations for SQL, Storage, vectors, inference, logs, backups and support access. Cloudflare's compatibility table marks Vectorize incompatible with Regional Services and Customer Metadata Boundary. A regional Worker therefore does not prove regional vector storage. Container placement and Supabase project region require separate account evidence; neither inspected public documentation establishes Rwanda-only processing. Complete the permitted overseas arrangement or keep the affected feature disabled. Do not infer a mandatory provider migration without that assessment. </w:t>
      </w:r>
      <w:hyperlink r:id="rId90">
        <w:r>
          <w:rPr>
            <w:color w:val="155A85"/>
            <w:u w:val="single"/>
          </w:rPr>
          <w:t>Cloudflare localization compatibility</w:t>
        </w:r>
      </w:hyperlink>
      <w:r>
        <w:t xml:space="preserve">, </w:t>
      </w:r>
      <w:hyperlink r:id="rId91">
        <w:r>
          <w:rPr>
            <w:color w:val="155A85"/>
            <w:u w:val="single"/>
          </w:rPr>
          <w:t>container placement</w:t>
        </w:r>
      </w:hyperlink>
      <w:r>
        <w:t xml:space="preserve">, </w:t>
      </w:r>
      <w:hyperlink r:id="rId92">
        <w:r>
          <w:rPr>
            <w:color w:val="155A85"/>
            <w:u w:val="single"/>
          </w:rPr>
          <w:t>Supabase regions</w:t>
        </w:r>
      </w:hyperlink>
      <w:r>
        <w:t>.</w:t>
      </w:r>
    </w:p>
    <w:p>
      <w:pPr/>
      <w:r>
        <w:t>The organization-specific certificates, current form requirements and sectoral permissions were not supplied or comprehensively verified. Obtain local review before legal sign-off. Classify subscriptions, rewards, ticketing, merchant receipt handling and external MoMo handoff by actual funds flow and contractual role. This review makes no claim that Mobio holds a required licence, is exempt, or performs regulated custody merely because it opens a dialer.</w:t>
      </w:r>
    </w:p>
    <w:p>
      <w:pPr>
        <w:pStyle w:val="Heading2"/>
      </w:pPr>
      <w:r>
        <w:t>F21 Retention provider retirement and messaging need executable controls</w:t>
      </w:r>
    </w:p>
    <w:p>
      <w:pPr/>
      <w:r>
        <w:rPr>
          <w:b/>
        </w:rPr>
        <w:t>P1 for enabled data processing.</w:t>
      </w:r>
      <w:r>
        <w:t xml:space="preserve"> Define per-class retention for OTP/security logs, collector bodies, receipt evidence, location history, chat/report records, templates/vectors, consent and backups. Each entry needs a purpose, trigger, period, exception authority, deletion mechanism and owner. Demonstrate purge and tombstone behavior in staging. Opaque face vectors remain linkable through SQL and should not be called anonymous. Local capture cleanup and deliberate avoidance of raw-image persistence are strengths to preserve. </w:t>
      </w:r>
      <w:hyperlink r:id="rId82">
        <w:r>
          <w:rPr>
            <w:color w:val="155A85"/>
            <w:u w:val="single"/>
          </w:rPr>
          <w:t>Data inventory</w:t>
        </w:r>
      </w:hyperlink>
      <w:r>
        <w:t xml:space="preserve">, </w:t>
      </w:r>
      <w:hyperlink r:id="rId17">
        <w:r>
          <w:rPr>
            <w:color w:val="155A85"/>
            <w:u w:val="single"/>
          </w:rPr>
          <w:t>face runbook</w:t>
        </w:r>
      </w:hyperlink>
      <w:r>
        <w:t>.</w:t>
      </w:r>
    </w:p>
    <w:p>
      <w:pPr/>
      <w:r>
        <w:t>Removing AWS code does not erase old provider resources. Inventory only the authorized face collections, credentials and retained data, then perform an approved retirement with evidence while preserving unrelated resources. Reconcile current SDK behavior, required-reason APIs, store privacy/data-safety forms and analytics choices using the actual archive. SDK names in Podfile.lock do not by themselves prove tracking.</w:t>
      </w:r>
    </w:p>
    <w:p>
      <w:pPr/>
      <w:r>
        <w:t xml:space="preserve">For WhatsApp, verify the exact approved authentication template/language/components, delivery, retry, expiry and supported API version in the live account. Keep authentication permission distinct from promotional messaging permission and test opt-out. Meta's current policy and authentication-template rules govern these behaviors; configuration strings are not approval evidence. Define a proportionate age policy for account, driver and face use, with underage-report handling and no unnecessary identity-document collection. </w:t>
      </w:r>
      <w:hyperlink r:id="rId93">
        <w:r>
          <w:rPr>
            <w:color w:val="155A85"/>
            <w:u w:val="single"/>
          </w:rPr>
          <w:t>WhatsApp policy</w:t>
        </w:r>
      </w:hyperlink>
      <w:r>
        <w:t xml:space="preserve">, </w:t>
      </w:r>
      <w:hyperlink r:id="rId94">
        <w:r>
          <w:rPr>
            <w:color w:val="155A85"/>
            <w:u w:val="single"/>
          </w:rPr>
          <w:t>authentication templates</w:t>
        </w:r>
      </w:hyperlink>
      <w:r>
        <w:t>.</w:t>
      </w:r>
    </w:p>
    <w:p>
      <w:pPr>
        <w:pStyle w:val="Heading1"/>
      </w:pPr>
      <w:r>
        <w:t>8 Delivery operations and supply chain</w:t>
      </w:r>
    </w:p>
    <w:p>
      <w:pPr>
        <w:pStyle w:val="Heading2"/>
      </w:pPr>
      <w:r>
        <w:t>F22 CI fails on a valid local workflow reference</w:t>
      </w:r>
    </w:p>
    <w:p>
      <w:pPr/>
      <w:r>
        <w:rPr>
          <w:b/>
        </w:rPr>
        <w:t>P1 | Reproduced exit 1.</w:t>
      </w:r>
      <w:r>
        <w:t xml:space="preserve"> check_github_actions_pinned.sh treats every uses entry as requiring a remote immutable SHA, including the valid local reusable workflow reference ./.github/workflows/cloudflare-pwa.yml. The backend CI job calls this checker before its Deno and database checks. Consequently this guard currently blocks that validation path. </w:t>
      </w:r>
      <w:hyperlink r:id="rId95">
        <w:r>
          <w:rPr>
            <w:color w:val="155A85"/>
            <w:u w:val="single"/>
          </w:rPr>
          <w:t>Pin checker</w:t>
        </w:r>
      </w:hyperlink>
      <w:r>
        <w:t xml:space="preserve">, </w:t>
      </w:r>
      <w:hyperlink r:id="rId96">
        <w:r>
          <w:rPr>
            <w:color w:val="155A85"/>
            <w:u w:val="single"/>
          </w:rPr>
          <w:t>Pages workflow</w:t>
        </w:r>
      </w:hyperlink>
      <w:r>
        <w:t xml:space="preserve">, </w:t>
      </w:r>
      <w:hyperlink r:id="rId97">
        <w:r>
          <w:rPr>
            <w:color w:val="155A85"/>
            <w:u w:val="single"/>
          </w:rPr>
          <w:t>GitHub reusable workflows</w:t>
        </w:r>
      </w:hyperlink>
      <w:r>
        <w:t>.</w:t>
      </w:r>
    </w:p>
    <w:p>
      <w:pPr/>
      <w:r>
        <w:t>Classify local reusable workflows separately and continue requiring immutable SHAs for remote actions/workflows. Add small positive/negative fixtures for local paths, valid remote SHAs and mutable remote tags. Re-run the actual CI lane and confirm downstream checks execute; do not simply remove the pinning control.</w:t>
      </w:r>
    </w:p>
    <w:p>
      <w:pPr>
        <w:pStyle w:val="Heading2"/>
      </w:pPr>
      <w:r>
        <w:t>F23 Release gates do not consistently bind accepted evidence</w:t>
      </w:r>
    </w:p>
    <w:p>
      <w:pPr/>
      <w:r>
        <w:rPr>
          <w:b/>
        </w:rPr>
        <w:t>P1 | Confirmed workflows and reproduced nested skip behavior.</w:t>
      </w:r>
      <w:r>
        <w:t xml:space="preserve"> Production upload workflows do not consistently consume the aggregate go/no-go evidence. The nested feature-readiness helper prints PASS after both child gates are disabled; this was reproduced with two SKIPs and exit 0. That does not prove the entire outer release gate is bypassed. Existing gates often check a file/flag rather than whether acceptance belongs to this source, artifact, model revision and environment. </w:t>
      </w:r>
      <w:hyperlink r:id="rId98">
        <w:r>
          <w:rPr>
            <w:color w:val="155A85"/>
            <w:u w:val="single"/>
          </w:rPr>
          <w:t>CI workflow</w:t>
        </w:r>
      </w:hyperlink>
      <w:r>
        <w:t xml:space="preserve">, </w:t>
      </w:r>
      <w:hyperlink r:id="rId99">
        <w:r>
          <w:rPr>
            <w:color w:val="155A85"/>
            <w:u w:val="single"/>
          </w:rPr>
          <w:t>release workflow</w:t>
        </w:r>
      </w:hyperlink>
      <w:r>
        <w:t xml:space="preserve">, </w:t>
      </w:r>
      <w:hyperlink r:id="rId100">
        <w:r>
          <w:rPr>
            <w:color w:val="155A85"/>
            <w:u w:val="single"/>
          </w:rPr>
          <w:t>nested readiness helper</w:t>
        </w:r>
      </w:hyperlink>
      <w:r>
        <w:t>.</w:t>
      </w:r>
    </w:p>
    <w:p>
      <w:pPr/>
      <w:r>
        <w:t xml:space="preserve">Make release approval a structured record binding source commit, migration set, model/index revision, build defines, artifact hash, signing identity and required test/provider/device evidence. Skipped required gates must be incomplete, not PASS. Require the new face Worker/Python/container/database contracts and collector build/tests in the relevant CI paths. Assert the Play version code exactly rather than accepting a version prefix; the current check can accept 170 when expecting 17. Use protected deployment environments and named approvers for production transitions. </w:t>
      </w:r>
      <w:hyperlink r:id="rId101">
        <w:r>
          <w:rPr>
            <w:color w:val="155A85"/>
            <w:u w:val="single"/>
          </w:rPr>
          <w:t>GitHub deployment environments</w:t>
        </w:r>
      </w:hyperlink>
      <w:r>
        <w:t>.</w:t>
      </w:r>
    </w:p>
    <w:p>
      <w:pPr/>
      <w:r>
        <w:t>Resolve the full visual suite deliberately. The September report says 812 functional tests passed with full goldens excluded and records many unaccepted differences. Normal CI invokes the full Flutter suite. Approve intended baseline changes by visual review and repair genuine regressions; do not blanket-update images to get green. Maintain one current feature/release matrix so old May readiness claims cannot override newer approved scope or open acceptance work.</w:t>
      </w:r>
    </w:p>
    <w:p>
      <w:pPr>
        <w:pStyle w:val="Heading2"/>
      </w:pPr>
      <w:r>
        <w:t>F24 Observability recovery and dependency controls are incomplete</w:t>
      </w:r>
    </w:p>
    <w:p>
      <w:pPr/>
      <w:r>
        <w:rPr>
          <w:b/>
        </w:rPr>
        <w:t>P1 for launch operations, with P2 optimization.</w:t>
      </w:r>
      <w:r>
        <w:t xml:space="preserve"> Face application observability is disabled in Worker configuration and Python suppresses request logs. Existing platform metrics may still exist, but no reviewed evidence establishes a useful alerting/ownership system. Push dispatch records queued work but has no durable outbox claim, lease, retry or idempotency protocol. The declared Remote Config maintenance flag has no client consumer. </w:t>
      </w:r>
      <w:hyperlink r:id="rId77">
        <w:r>
          <w:rPr>
            <w:color w:val="155A85"/>
            <w:u w:val="single"/>
          </w:rPr>
          <w:t>Worker configuration</w:t>
        </w:r>
      </w:hyperlink>
      <w:r>
        <w:t xml:space="preserve">, </w:t>
      </w:r>
      <w:hyperlink r:id="rId102">
        <w:r>
          <w:rPr>
            <w:color w:val="155A85"/>
            <w:u w:val="single"/>
          </w:rPr>
          <w:t>push function</w:t>
        </w:r>
      </w:hyperlink>
      <w:r>
        <w:t xml:space="preserve">, </w:t>
      </w:r>
      <w:hyperlink r:id="rId103">
        <w:r>
          <w:rPr>
            <w:color w:val="155A85"/>
            <w:u w:val="single"/>
          </w:rPr>
          <w:t>notification dispatch</w:t>
        </w:r>
      </w:hyperlink>
      <w:r>
        <w:t>.</w:t>
      </w:r>
    </w:p>
    <w:p>
      <w:pPr/>
      <w:r>
        <w:t xml:space="preserve">Instrument sanitized outcomes and latency by stage, including OTP delivery, login rejection, stale locations, booking holds, receipt review, queue age, push delivery and face no-match/ambiguity/busy rates. Avoid faces, templates, OTPs, full phone numbers and raw financial SMS in routine logs. Add durable push retries with bounded backoff and duplicate suppression. Implement server-enforced feature interruption and truthful client messaging, then exercise recovery. </w:t>
      </w:r>
      <w:hyperlink r:id="rId104">
        <w:r>
          <w:rPr>
            <w:color w:val="155A85"/>
            <w:u w:val="single"/>
          </w:rPr>
          <w:t>FCM scaling and retry guidance</w:t>
        </w:r>
      </w:hyperlink>
      <w:r>
        <w:t xml:space="preserve">, </w:t>
      </w:r>
      <w:hyperlink r:id="rId105">
        <w:r>
          <w:rPr>
            <w:color w:val="155A85"/>
            <w:u w:val="single"/>
          </w:rPr>
          <w:t>Cloudflare observability</w:t>
        </w:r>
      </w:hyperlink>
      <w:r>
        <w:t>.</w:t>
      </w:r>
    </w:p>
    <w:p>
      <w:pPr/>
      <w:r>
        <w:t xml:space="preserve">Set RPO/RTO and demonstrate isolated recovery for database, storage objects, configuration, secrets, cron/Vault state and vector index. Supabase database backups do not include Storage API object bytes. Face vectors cannot simply be regenerated from raw photos that the design intentionally does not retain; the recovery plan must choose secured index recovery or re-enrollment and reapply deletion tombstones. Restore tests must suppress outbound provider jobs until safe. </w:t>
      </w:r>
      <w:hyperlink r:id="rId106">
        <w:r>
          <w:rPr>
            <w:color w:val="155A85"/>
            <w:u w:val="single"/>
          </w:rPr>
          <w:t>Supabase backup scope</w:t>
        </w:r>
      </w:hyperlink>
      <w:r>
        <w:t>.</w:t>
      </w:r>
    </w:p>
    <w:p>
      <w:pPr/>
      <w:r>
        <w:t>Extend dependency update/advisory coverage to npm/pnpm, Python and Docker alongside existing ecosystems. Pin reproducible tool/runtime/model versions, produce an SBOM and artifact provenance, and test the supplied release locks in CI. No exhaustive vulnerability scan or clean bill of health was produced here. Sanitize future source exports; copied virtual environments, caches and generated failure images are untracked in this snapshot and should not be confused with committed bloat.</w:t>
      </w:r>
    </w:p>
    <w:p>
      <w:pPr>
        <w:pStyle w:val="Heading1"/>
        <w:pageBreakBefore/>
      </w:pPr>
      <w:r>
        <w:t>9 Verification results and remaining evidence</w:t>
      </w:r>
    </w:p>
    <w:p>
      <w:pPr>
        <w:pStyle w:val="Heading2"/>
      </w:pPr>
      <w:r>
        <w:t>9 1 Executed during this investigation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520"/>
        <w:gridCol w:w="3528"/>
        <w:gridCol w:w="3802"/>
      </w:tblGrid>
      <w:tr>
        <w:trPr>
          <w:cantSplit/>
          <w:tblHeader/>
        </w:trPr>
        <w:tc>
          <w:tcPr>
            <w:tcW w:type="dxa" w:w="2520"/>
            <w:vAlign w:val="center"/>
            <w:shd w:fill="203D54"/>
          </w:tcPr>
          <w:p>
            <w:pPr>
              <w:keepNext/>
              <w:spacing w:after="0" w:line="245" w:lineRule="auto"/>
            </w:pPr>
            <w:r>
              <w:rPr>
                <w:b/>
                <w:color w:val="FFFFFF"/>
                <w:sz w:val="19"/>
              </w:rPr>
              <w:t>Check</w:t>
            </w:r>
          </w:p>
        </w:tc>
        <w:tc>
          <w:tcPr>
            <w:tcW w:type="dxa" w:w="3528"/>
            <w:vAlign w:val="center"/>
            <w:shd w:fill="203D54"/>
          </w:tcPr>
          <w:p>
            <w:pPr>
              <w:keepNext/>
              <w:spacing w:after="0" w:line="245" w:lineRule="auto"/>
            </w:pPr>
            <w:r>
              <w:rPr>
                <w:b/>
                <w:color w:val="FFFFFF"/>
                <w:sz w:val="19"/>
              </w:rPr>
              <w:t>Result</w:t>
            </w:r>
          </w:p>
        </w:tc>
        <w:tc>
          <w:tcPr>
            <w:tcW w:type="dxa" w:w="3802"/>
            <w:vAlign w:val="center"/>
            <w:shd w:fill="203D54"/>
          </w:tcPr>
          <w:p>
            <w:pPr>
              <w:keepNext/>
              <w:spacing w:after="0" w:line="245" w:lineRule="auto"/>
            </w:pPr>
            <w:r>
              <w:rPr>
                <w:b/>
                <w:color w:val="FFFFFF"/>
                <w:sz w:val="19"/>
              </w:rPr>
              <w:t>What it establishes</w:t>
            </w:r>
          </w:p>
        </w:tc>
      </w:tr>
      <w:tr>
        <w:trPr>
          <w:cantSplit/>
        </w:trPr>
        <w:tc>
          <w:tcPr>
            <w:tcW w:type="dxa" w:w="2520"/>
            <w:vAlign w:val="center"/>
            <w:shd w:fill="FFFFFF"/>
          </w:tcPr>
          <w:p>
            <w:pPr>
              <w:keepNext/>
              <w:spacing w:after="0" w:line="245" w:lineRule="auto"/>
            </w:pPr>
            <w:r>
              <w:rPr>
                <w:sz w:val="19"/>
              </w:rPr>
              <w:t>Pages and admin Node tests</w:t>
            </w:r>
          </w:p>
        </w:tc>
        <w:tc>
          <w:tcPr>
            <w:tcW w:type="dxa" w:w="3528"/>
            <w:vAlign w:val="center"/>
            <w:shd w:fill="FFFFFF"/>
          </w:tcPr>
          <w:p>
            <w:pPr>
              <w:keepNext/>
              <w:spacing w:after="0" w:line="245" w:lineRule="auto"/>
            </w:pPr>
            <w:r>
              <w:rPr>
                <w:sz w:val="19"/>
              </w:rPr>
              <w:t>69 passed</w:t>
            </w:r>
          </w:p>
        </w:tc>
        <w:tc>
          <w:tcPr>
            <w:tcW w:type="dxa" w:w="3802"/>
            <w:vAlign w:val="center"/>
            <w:shd w:fill="FFFFFF"/>
          </w:tcPr>
          <w:p>
            <w:pPr>
              <w:keepNext/>
              <w:spacing w:after="0" w:line="245" w:lineRule="auto"/>
            </w:pPr>
            <w:r>
              <w:rPr>
                <w:sz w:val="19"/>
              </w:rPr>
              <w:t>Tested local worker logic under its fixtures</w:t>
            </w:r>
          </w:p>
        </w:tc>
      </w:tr>
      <w:tr>
        <w:trPr>
          <w:cantSplit/>
        </w:trPr>
        <w:tc>
          <w:tcPr>
            <w:tcW w:type="dxa" w:w="2520"/>
            <w:vAlign w:val="center"/>
            <w:shd w:fill="F2F5F7"/>
          </w:tcPr>
          <w:p>
            <w:pPr>
              <w:spacing w:after="0" w:line="245" w:lineRule="auto"/>
            </w:pPr>
            <w:r>
              <w:rPr>
                <w:sz w:val="19"/>
              </w:rPr>
              <w:t>Face Worker Node tests</w:t>
            </w:r>
          </w:p>
        </w:tc>
        <w:tc>
          <w:tcPr>
            <w:tcW w:type="dxa" w:w="3528"/>
            <w:vAlign w:val="center"/>
            <w:shd w:fill="F2F5F7"/>
          </w:tcPr>
          <w:p>
            <w:pPr>
              <w:spacing w:after="0" w:line="245" w:lineRule="auto"/>
            </w:pPr>
            <w:r>
              <w:rPr>
                <w:sz w:val="19"/>
              </w:rPr>
              <w:t>7 passed</w:t>
            </w:r>
          </w:p>
        </w:tc>
        <w:tc>
          <w:tcPr>
            <w:tcW w:type="dxa" w:w="3802"/>
            <w:vAlign w:val="center"/>
            <w:shd w:fill="F2F5F7"/>
          </w:tcPr>
          <w:p>
            <w:pPr>
              <w:spacing w:after="0" w:line="245" w:lineRule="auto"/>
            </w:pPr>
            <w:r>
              <w:rPr>
                <w:sz w:val="19"/>
              </w:rPr>
              <w:t>Local Worker contract behavior under mocks</w:t>
            </w:r>
          </w:p>
        </w:tc>
      </w:tr>
      <w:tr>
        <w:trPr>
          <w:cantSplit/>
        </w:trPr>
        <w:tc>
          <w:tcPr>
            <w:tcW w:type="dxa" w:w="2520"/>
            <w:vAlign w:val="center"/>
            <w:shd w:fill="FFFFFF"/>
          </w:tcPr>
          <w:p>
            <w:pPr>
              <w:spacing w:after="0" w:line="245" w:lineRule="auto"/>
            </w:pPr>
            <w:r>
              <w:rPr>
                <w:sz w:val="19"/>
              </w:rPr>
              <w:t>Python script tests</w:t>
            </w:r>
          </w:p>
        </w:tc>
        <w:tc>
          <w:tcPr>
            <w:tcW w:type="dxa" w:w="3528"/>
            <w:vAlign w:val="center"/>
            <w:shd w:fill="FFFFFF"/>
          </w:tcPr>
          <w:p>
            <w:pPr>
              <w:spacing w:after="0" w:line="245" w:lineRule="auto"/>
            </w:pPr>
            <w:r>
              <w:rPr>
                <w:sz w:val="19"/>
              </w:rPr>
              <w:t>26 passed</w:t>
            </w:r>
          </w:p>
        </w:tc>
        <w:tc>
          <w:tcPr>
            <w:tcW w:type="dxa" w:w="3802"/>
            <w:vAlign w:val="center"/>
            <w:shd w:fill="FFFFFF"/>
          </w:tcPr>
          <w:p>
            <w:pPr>
              <w:spacing w:after="0" w:line="245" w:lineRule="auto"/>
            </w:pPr>
            <w:r>
              <w:rPr>
                <w:sz w:val="19"/>
              </w:rPr>
              <w:t>Includes 7 fake-ADB harness tests; no real Android evidence</w:t>
            </w:r>
          </w:p>
        </w:tc>
      </w:tr>
      <w:tr>
        <w:trPr>
          <w:cantSplit/>
        </w:trPr>
        <w:tc>
          <w:tcPr>
            <w:tcW w:type="dxa" w:w="2520"/>
            <w:vAlign w:val="center"/>
            <w:shd w:fill="F2F5F7"/>
          </w:tcPr>
          <w:p>
            <w:pPr>
              <w:spacing w:after="0" w:line="245" w:lineRule="auto"/>
            </w:pPr>
            <w:r>
              <w:rPr>
                <w:sz w:val="19"/>
              </w:rPr>
              <w:t>Existing pure SMS parser tests</w:t>
            </w:r>
          </w:p>
        </w:tc>
        <w:tc>
          <w:tcPr>
            <w:tcW w:type="dxa" w:w="3528"/>
            <w:vAlign w:val="center"/>
            <w:shd w:fill="F2F5F7"/>
          </w:tcPr>
          <w:p>
            <w:pPr>
              <w:spacing w:after="0" w:line="245" w:lineRule="auto"/>
            </w:pPr>
            <w:r>
              <w:rPr>
                <w:sz w:val="19"/>
              </w:rPr>
              <w:t>5 passed; 1 live-provider case skipped</w:t>
            </w:r>
          </w:p>
        </w:tc>
        <w:tc>
          <w:tcPr>
            <w:tcW w:type="dxa" w:w="3802"/>
            <w:vAlign w:val="center"/>
            <w:shd w:fill="F2F5F7"/>
          </w:tcPr>
          <w:p>
            <w:pPr>
              <w:spacing w:after="0" w:line="245" w:lineRule="auto"/>
            </w:pPr>
            <w:r>
              <w:rPr>
                <w:sz w:val="19"/>
              </w:rPr>
              <w:t>Parser behavior through a minimal Deno shim on Node</w:t>
            </w:r>
          </w:p>
        </w:tc>
      </w:tr>
      <w:tr>
        <w:trPr>
          <w:cantSplit/>
        </w:trPr>
        <w:tc>
          <w:tcPr>
            <w:tcW w:type="dxa" w:w="2520"/>
            <w:vAlign w:val="center"/>
            <w:shd w:fill="FFFFFF"/>
          </w:tcPr>
          <w:p>
            <w:pPr>
              <w:spacing w:after="0" w:line="245" w:lineRule="auto"/>
            </w:pPr>
            <w:r>
              <w:rPr>
                <w:sz w:val="19"/>
              </w:rPr>
              <w:t>Negative SMS fixtures</w:t>
            </w:r>
          </w:p>
        </w:tc>
        <w:tc>
          <w:tcPr>
            <w:tcW w:type="dxa" w:w="3528"/>
            <w:vAlign w:val="center"/>
            <w:shd w:fill="FFFFFF"/>
          </w:tcPr>
          <w:p>
            <w:pPr>
              <w:spacing w:after="0" w:line="245" w:lineRule="auto"/>
            </w:pPr>
            <w:r>
              <w:rPr>
                <w:sz w:val="19"/>
              </w:rPr>
              <w:t>2 reproduced</w:t>
            </w:r>
          </w:p>
        </w:tc>
        <w:tc>
          <w:tcPr>
            <w:tcW w:type="dxa" w:w="3802"/>
            <w:vAlign w:val="center"/>
            <w:shd w:fill="FFFFFF"/>
          </w:tcPr>
          <w:p>
            <w:pPr>
              <w:spacing w:after="0" w:line="245" w:lineRule="auto"/>
            </w:pPr>
            <w:r>
              <w:rPr>
                <w:sz w:val="19"/>
              </w:rPr>
              <w:t>Nonpayment/low-confidence amount survives parser</w:t>
            </w:r>
          </w:p>
        </w:tc>
      </w:tr>
      <w:tr>
        <w:trPr>
          <w:cantSplit/>
        </w:trPr>
        <w:tc>
          <w:tcPr>
            <w:tcW w:type="dxa" w:w="2520"/>
            <w:vAlign w:val="center"/>
            <w:shd w:fill="F2F5F7"/>
          </w:tcPr>
          <w:p>
            <w:pPr>
              <w:spacing w:after="0" w:line="245" w:lineRule="auto"/>
            </w:pPr>
            <w:r>
              <w:rPr>
                <w:sz w:val="19"/>
              </w:rPr>
              <w:t>Identity helper assertions</w:t>
            </w:r>
          </w:p>
        </w:tc>
        <w:tc>
          <w:tcPr>
            <w:tcW w:type="dxa" w:w="3528"/>
            <w:vAlign w:val="center"/>
            <w:shd w:fill="F2F5F7"/>
          </w:tcPr>
          <w:p>
            <w:pPr>
              <w:spacing w:after="0" w:line="245" w:lineRule="auto"/>
            </w:pPr>
            <w:r>
              <w:rPr>
                <w:sz w:val="19"/>
              </w:rPr>
              <w:t>2 reproduced</w:t>
            </w:r>
          </w:p>
        </w:tc>
        <w:tc>
          <w:tcPr>
            <w:tcW w:type="dxa" w:w="3802"/>
            <w:vAlign w:val="center"/>
            <w:shd w:fill="F2F5F7"/>
          </w:tcPr>
          <w:p>
            <w:pPr>
              <w:spacing w:after="0" w:line="245" w:lineRule="auto"/>
            </w:pPr>
            <w:r>
              <w:rPr>
                <w:sz w:val="19"/>
              </w:rPr>
              <w:t>Alias misselection and attempted Auth reassignment under mocks</w:t>
            </w:r>
          </w:p>
        </w:tc>
      </w:tr>
      <w:tr>
        <w:trPr>
          <w:cantSplit/>
        </w:trPr>
        <w:tc>
          <w:tcPr>
            <w:tcW w:type="dxa" w:w="2520"/>
            <w:vAlign w:val="center"/>
            <w:shd w:fill="FFFFFF"/>
          </w:tcPr>
          <w:p>
            <w:pPr>
              <w:spacing w:after="0" w:line="245" w:lineRule="auto"/>
            </w:pPr>
            <w:r>
              <w:rPr>
                <w:sz w:val="19"/>
              </w:rPr>
              <w:t>GitHub Actions pin checker</w:t>
            </w:r>
          </w:p>
        </w:tc>
        <w:tc>
          <w:tcPr>
            <w:tcW w:type="dxa" w:w="3528"/>
            <w:vAlign w:val="center"/>
            <w:shd w:fill="FFFFFF"/>
          </w:tcPr>
          <w:p>
            <w:pPr>
              <w:spacing w:after="0" w:line="245" w:lineRule="auto"/>
            </w:pPr>
            <w:r>
              <w:rPr>
                <w:sz w:val="19"/>
              </w:rPr>
              <w:t>Failed with exit 1</w:t>
            </w:r>
          </w:p>
        </w:tc>
        <w:tc>
          <w:tcPr>
            <w:tcW w:type="dxa" w:w="3802"/>
            <w:vAlign w:val="center"/>
            <w:shd w:fill="FFFFFF"/>
          </w:tcPr>
          <w:p>
            <w:pPr>
              <w:spacing w:after="0" w:line="245" w:lineRule="auto"/>
            </w:pPr>
            <w:r>
              <w:rPr>
                <w:sz w:val="19"/>
              </w:rPr>
              <w:t>Valid local workflow reference rejected</w:t>
            </w:r>
          </w:p>
        </w:tc>
      </w:tr>
      <w:tr>
        <w:trPr>
          <w:cantSplit/>
        </w:trPr>
        <w:tc>
          <w:tcPr>
            <w:tcW w:type="dxa" w:w="2520"/>
            <w:vAlign w:val="center"/>
            <w:shd w:fill="F2F5F7"/>
          </w:tcPr>
          <w:p>
            <w:pPr>
              <w:spacing w:after="0" w:line="245" w:lineRule="auto"/>
            </w:pPr>
            <w:r>
              <w:rPr>
                <w:sz w:val="19"/>
              </w:rPr>
              <w:t>Nested readiness skip fixture</w:t>
            </w:r>
          </w:p>
        </w:tc>
        <w:tc>
          <w:tcPr>
            <w:tcW w:type="dxa" w:w="3528"/>
            <w:vAlign w:val="center"/>
            <w:shd w:fill="F2F5F7"/>
          </w:tcPr>
          <w:p>
            <w:pPr>
              <w:spacing w:after="0" w:line="245" w:lineRule="auto"/>
            </w:pPr>
            <w:r>
              <w:rPr>
                <w:sz w:val="19"/>
              </w:rPr>
              <w:t>2 SKIPs then PASS, exit 0</w:t>
            </w:r>
          </w:p>
        </w:tc>
        <w:tc>
          <w:tcPr>
            <w:tcW w:type="dxa" w:w="3802"/>
            <w:vAlign w:val="center"/>
            <w:shd w:fill="F2F5F7"/>
          </w:tcPr>
          <w:p>
            <w:pPr>
              <w:spacing w:after="0" w:line="245" w:lineRule="auto"/>
            </w:pPr>
            <w:r>
              <w:rPr>
                <w:sz w:val="19"/>
              </w:rPr>
              <w:t>Child-helper status misrepresents skipped coverage</w:t>
            </w:r>
          </w:p>
        </w:tc>
      </w:tr>
      <w:tr>
        <w:trPr>
          <w:cantSplit/>
        </w:trPr>
        <w:tc>
          <w:tcPr>
            <w:tcW w:type="dxa" w:w="2520"/>
            <w:vAlign w:val="center"/>
            <w:shd w:fill="FFFFFF"/>
          </w:tcPr>
          <w:p>
            <w:pPr>
              <w:spacing w:after="0" w:line="245" w:lineRule="auto"/>
            </w:pPr>
            <w:r>
              <w:rPr>
                <w:sz w:val="19"/>
              </w:rPr>
              <w:t>Shell syntax</w:t>
            </w:r>
          </w:p>
        </w:tc>
        <w:tc>
          <w:tcPr>
            <w:tcW w:type="dxa" w:w="3528"/>
            <w:vAlign w:val="center"/>
            <w:shd w:fill="FFFFFF"/>
          </w:tcPr>
          <w:p>
            <w:pPr>
              <w:spacing w:after="0" w:line="245" w:lineRule="auto"/>
            </w:pPr>
            <w:r>
              <w:rPr>
                <w:sz w:val="19"/>
              </w:rPr>
              <w:t>32 files passed</w:t>
            </w:r>
          </w:p>
        </w:tc>
        <w:tc>
          <w:tcPr>
            <w:tcW w:type="dxa" w:w="3802"/>
            <w:vAlign w:val="center"/>
            <w:shd w:fill="FFFFFF"/>
          </w:tcPr>
          <w:p>
            <w:pPr>
              <w:spacing w:after="0" w:line="245" w:lineRule="auto"/>
            </w:pPr>
            <w:r>
              <w:rPr>
                <w:sz w:val="19"/>
              </w:rPr>
              <w:t>Parse validity only</w:t>
            </w:r>
          </w:p>
        </w:tc>
      </w:tr>
      <w:tr>
        <w:trPr>
          <w:cantSplit/>
        </w:trPr>
        <w:tc>
          <w:tcPr>
            <w:tcW w:type="dxa" w:w="2520"/>
            <w:vAlign w:val="center"/>
            <w:shd w:fill="F2F5F7"/>
          </w:tcPr>
          <w:p>
            <w:pPr>
              <w:spacing w:after="0" w:line="245" w:lineRule="auto"/>
            </w:pPr>
            <w:r>
              <w:rPr>
                <w:sz w:val="19"/>
              </w:rPr>
              <w:t>Python syntax</w:t>
            </w:r>
          </w:p>
        </w:tc>
        <w:tc>
          <w:tcPr>
            <w:tcW w:type="dxa" w:w="3528"/>
            <w:vAlign w:val="center"/>
            <w:shd w:fill="F2F5F7"/>
          </w:tcPr>
          <w:p>
            <w:pPr>
              <w:spacing w:after="0" w:line="245" w:lineRule="auto"/>
            </w:pPr>
            <w:r>
              <w:rPr>
                <w:sz w:val="19"/>
              </w:rPr>
              <w:t>21 files passed</w:t>
            </w:r>
          </w:p>
        </w:tc>
        <w:tc>
          <w:tcPr>
            <w:tcW w:type="dxa" w:w="3802"/>
            <w:vAlign w:val="center"/>
            <w:shd w:fill="F2F5F7"/>
          </w:tcPr>
          <w:p>
            <w:pPr>
              <w:spacing w:after="0" w:line="245" w:lineRule="auto"/>
            </w:pPr>
            <w:r>
              <w:rPr>
                <w:sz w:val="19"/>
              </w:rPr>
              <w:t>Parse validity only</w:t>
            </w:r>
          </w:p>
        </w:tc>
      </w:tr>
      <w:tr>
        <w:trPr>
          <w:cantSplit/>
        </w:trPr>
        <w:tc>
          <w:tcPr>
            <w:tcW w:type="dxa" w:w="2520"/>
            <w:vAlign w:val="center"/>
            <w:shd w:fill="FFFFFF"/>
          </w:tcPr>
          <w:p>
            <w:pPr>
              <w:spacing w:after="0" w:line="245" w:lineRule="auto"/>
            </w:pPr>
            <w:r>
              <w:rPr>
                <w:sz w:val="19"/>
              </w:rPr>
              <w:t>Source and supplied Git index</w:t>
            </w:r>
          </w:p>
        </w:tc>
        <w:tc>
          <w:tcPr>
            <w:tcW w:type="dxa" w:w="3528"/>
            <w:vAlign w:val="center"/>
            <w:shd w:fill="FFFFFF"/>
          </w:tcPr>
          <w:p>
            <w:pPr>
              <w:spacing w:after="0" w:line="245" w:lineRule="auto"/>
            </w:pPr>
            <w:r>
              <w:rPr>
                <w:sz w:val="19"/>
              </w:rPr>
              <w:t>995 matching blobs</w:t>
            </w:r>
          </w:p>
        </w:tc>
        <w:tc>
          <w:tcPr>
            <w:tcW w:type="dxa" w:w="3802"/>
            <w:vAlign w:val="center"/>
            <w:shd w:fill="FFFFFF"/>
          </w:tcPr>
          <w:p>
            <w:pPr>
              <w:spacing w:after="0" w:line="245" w:lineRule="auto"/>
            </w:pPr>
            <w:r>
              <w:rPr>
                <w:sz w:val="19"/>
              </w:rPr>
              <w:t>Collected tracked content matches that index</w:t>
            </w:r>
          </w:p>
        </w:tc>
      </w:tr>
      <w:tr>
        <w:trPr>
          <w:cantSplit/>
        </w:trPr>
        <w:tc>
          <w:tcPr>
            <w:tcW w:type="dxa" w:w="2520"/>
            <w:vAlign w:val="center"/>
            <w:shd w:fill="F2F5F7"/>
          </w:tcPr>
          <w:p>
            <w:pPr>
              <w:spacing w:after="0" w:line="245" w:lineRule="auto"/>
            </w:pPr>
            <w:r>
              <w:rPr>
                <w:sz w:val="19"/>
              </w:rPr>
              <w:t>Synthetic PWA packaging test</w:t>
            </w:r>
          </w:p>
        </w:tc>
        <w:tc>
          <w:tcPr>
            <w:tcW w:type="dxa" w:w="3528"/>
            <w:vAlign w:val="center"/>
            <w:shd w:fill="F2F5F7"/>
          </w:tcPr>
          <w:p>
            <w:pPr>
              <w:spacing w:after="0" w:line="245" w:lineRule="auto"/>
            </w:pPr>
            <w:r>
              <w:rPr>
                <w:sz w:val="19"/>
              </w:rPr>
              <w:t>Environment blocked</w:t>
            </w:r>
          </w:p>
        </w:tc>
        <w:tc>
          <w:tcPr>
            <w:tcW w:type="dxa" w:w="3802"/>
            <w:vAlign w:val="center"/>
            <w:shd w:fill="F2F5F7"/>
          </w:tcPr>
          <w:p>
            <w:pPr>
              <w:spacing w:after="0" w:line="245" w:lineRule="auto"/>
            </w:pPr>
            <w:r>
              <w:rPr>
                <w:sz w:val="19"/>
              </w:rPr>
              <w:t>No acceptance result without Flutter/full Git identity</w:t>
            </w:r>
          </w:p>
        </w:tc>
      </w:tr>
    </w:tbl>
    <w:p>
      <w:pPr>
        <w:spacing w:after="0" w:before="0" w:line="60" w:lineRule="exact"/>
      </w:pPr>
      <w:r>
        <w:rPr>
          <w:sz w:val="6"/>
        </w:rPr>
      </w:r>
    </w:p>
    <w:p>
      <w:pPr/>
      <w:r>
        <w:t>Fixtures used actual relevant helper/parser logic where stated, with no network identity or financial action. SQL findings were evaluated against the effective migration chain and independently reviewed, but no database replay, actual role request or concurrency experiment ran here. Four stored golden fixtures were visually reviewed; this was not a new app screenshot run.</w:t>
      </w:r>
    </w:p>
    <w:p>
      <w:pPr>
        <w:pStyle w:val="Heading2"/>
      </w:pPr>
      <w:r>
        <w:t>9 2 Historical repository evidence</w:t>
      </w:r>
    </w:p>
    <w:p>
      <w:pPr/>
      <w:r>
        <w:t xml:space="preserve">The September 20 report records 812 Flutter functional passes excluding the full golden suite, 31 final camera regression tests, 12 scoped goldens, 123 Deno passes with one ignored case, seven Worker tests, eight actual-model HTTP tests and a selected PostgreSQL/PostgREST fixture. It also records a signed APK and a limited earlier Android dialer intent probe. These are </w:t>
      </w:r>
      <w:r>
        <w:rPr>
          <w:b/>
        </w:rPr>
        <w:t>the repository's historical claims</w:t>
      </w:r>
      <w:r>
        <w:t xml:space="preserve">, not reruns in this audit, and they are not all independent counts to sum. </w:t>
      </w:r>
      <w:hyperlink r:id="rId13">
        <w:r>
          <w:rPr>
            <w:color w:val="155A85"/>
            <w:u w:val="single"/>
          </w:rPr>
          <w:t>Historical execution report</w:t>
        </w:r>
      </w:hyperlink>
      <w:r>
        <w:t>.</w:t>
      </w:r>
    </w:p>
    <w:p>
      <w:pPr/>
      <w:r>
        <w:t>That same report explicitly leaves the Linux image/deployment, real recognition cohort, current new-app operator journey, broader visual acceptance, physical accessibility, iOS fallback, data geography and AWS retirement incomplete. Its candor is useful. Use it as a starting evidence register and rerun the required subset for the exact release candidate.</w:t>
      </w:r>
    </w:p>
    <w:p>
      <w:pPr>
        <w:pStyle w:val="Heading2"/>
      </w:pPr>
      <w:r>
        <w:t>9 3 Required acceptance matrix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520"/>
        <w:gridCol w:w="3528"/>
        <w:gridCol w:w="3802"/>
      </w:tblGrid>
      <w:tr>
        <w:trPr>
          <w:cantSplit/>
          <w:tblHeader/>
        </w:trPr>
        <w:tc>
          <w:tcPr>
            <w:tcW w:type="dxa" w:w="2520"/>
            <w:vAlign w:val="center"/>
            <w:shd w:fill="203D54"/>
          </w:tcPr>
          <w:p>
            <w:pPr>
              <w:keepNext/>
              <w:spacing w:after="0" w:line="245" w:lineRule="auto"/>
            </w:pPr>
            <w:r>
              <w:rPr>
                <w:b/>
                <w:color w:val="FFFFFF"/>
                <w:sz w:val="19"/>
              </w:rPr>
              <w:t>Environment</w:t>
            </w:r>
          </w:p>
        </w:tc>
        <w:tc>
          <w:tcPr>
            <w:tcW w:type="dxa" w:w="3528"/>
            <w:vAlign w:val="center"/>
            <w:shd w:fill="203D54"/>
          </w:tcPr>
          <w:p>
            <w:pPr>
              <w:keepNext/>
              <w:spacing w:after="0" w:line="245" w:lineRule="auto"/>
            </w:pPr>
            <w:r>
              <w:rPr>
                <w:b/>
                <w:color w:val="FFFFFF"/>
                <w:sz w:val="19"/>
              </w:rPr>
              <w:t>Required cases</w:t>
            </w:r>
          </w:p>
        </w:tc>
        <w:tc>
          <w:tcPr>
            <w:tcW w:type="dxa" w:w="3802"/>
            <w:vAlign w:val="center"/>
            <w:shd w:fill="203D54"/>
          </w:tcPr>
          <w:p>
            <w:pPr>
              <w:keepNext/>
              <w:spacing w:after="0" w:line="245" w:lineRule="auto"/>
            </w:pPr>
            <w:r>
              <w:rPr>
                <w:b/>
                <w:color w:val="FFFFFF"/>
                <w:sz w:val="19"/>
              </w:rPr>
              <w:t>Evidence artifact</w:t>
            </w:r>
          </w:p>
        </w:tc>
      </w:tr>
      <w:tr>
        <w:trPr>
          <w:cantSplit/>
        </w:trPr>
        <w:tc>
          <w:tcPr>
            <w:tcW w:type="dxa" w:w="2520"/>
            <w:vAlign w:val="center"/>
            <w:shd w:fill="FFFFFF"/>
          </w:tcPr>
          <w:p>
            <w:pPr>
              <w:keepNext/>
              <w:spacing w:after="0" w:line="245" w:lineRule="auto"/>
            </w:pPr>
            <w:r>
              <w:rPr>
                <w:sz w:val="19"/>
              </w:rPr>
              <w:t>Real Postgres and PostgREST fixture</w:t>
            </w:r>
          </w:p>
        </w:tc>
        <w:tc>
          <w:tcPr>
            <w:tcW w:type="dxa" w:w="3528"/>
            <w:vAlign w:val="center"/>
            <w:shd w:fill="FFFFFF"/>
          </w:tcPr>
          <w:p>
            <w:pPr>
              <w:keepNext/>
              <w:spacing w:after="0" w:line="245" w:lineRule="auto"/>
            </w:pPr>
            <w:r>
              <w:rPr>
                <w:sz w:val="19"/>
              </w:rPr>
              <w:t>Direct-role RLS, identity alias constraints, unique IDs, booking/receipt invariants, renewal concurrency</w:t>
            </w:r>
          </w:p>
        </w:tc>
        <w:tc>
          <w:tcPr>
            <w:tcW w:type="dxa" w:w="3802"/>
            <w:vAlign w:val="center"/>
            <w:shd w:fill="FFFFFF"/>
          </w:tcPr>
          <w:p>
            <w:pPr>
              <w:keepNext/>
              <w:spacing w:after="0" w:line="245" w:lineRule="auto"/>
            </w:pPr>
            <w:r>
              <w:rPr>
                <w:sz w:val="19"/>
              </w:rPr>
              <w:t>Reproducible test logs and migration checksum</w:t>
            </w:r>
          </w:p>
        </w:tc>
      </w:tr>
      <w:tr>
        <w:trPr>
          <w:cantSplit/>
        </w:trPr>
        <w:tc>
          <w:tcPr>
            <w:tcW w:type="dxa" w:w="2520"/>
            <w:vAlign w:val="center"/>
            <w:shd w:fill="F2F5F7"/>
          </w:tcPr>
          <w:p>
            <w:pPr>
              <w:spacing w:after="0" w:line="245" w:lineRule="auto"/>
            </w:pPr>
            <w:r>
              <w:rPr>
                <w:sz w:val="19"/>
              </w:rPr>
              <w:t>Staging Auth and providers</w:t>
            </w:r>
          </w:p>
        </w:tc>
        <w:tc>
          <w:tcPr>
            <w:tcW w:type="dxa" w:w="3528"/>
            <w:vAlign w:val="center"/>
            <w:shd w:fill="F2F5F7"/>
          </w:tcPr>
          <w:p>
            <w:pPr>
              <w:spacing w:after="0" w:line="245" w:lineRule="auto"/>
            </w:pPr>
            <w:r>
              <w:rPr>
                <w:sz w:val="19"/>
              </w:rPr>
              <w:t>OTP lifecycle, review isolation, templates, delivery, live-session revocation, rate limits</w:t>
            </w:r>
          </w:p>
        </w:tc>
        <w:tc>
          <w:tcPr>
            <w:tcW w:type="dxa" w:w="3802"/>
            <w:vAlign w:val="center"/>
            <w:shd w:fill="F2F5F7"/>
          </w:tcPr>
          <w:p>
            <w:pPr>
              <w:spacing w:after="0" w:line="245" w:lineRule="auto"/>
            </w:pPr>
            <w:r>
              <w:rPr>
                <w:sz w:val="19"/>
              </w:rPr>
              <w:t>Sanitized provider/config and outcome record</w:t>
            </w:r>
          </w:p>
        </w:tc>
      </w:tr>
      <w:tr>
        <w:trPr>
          <w:cantSplit/>
        </w:trPr>
        <w:tc>
          <w:tcPr>
            <w:tcW w:type="dxa" w:w="2520"/>
            <w:vAlign w:val="center"/>
            <w:shd w:fill="FFFFFF"/>
          </w:tcPr>
          <w:p>
            <w:pPr>
              <w:spacing w:after="0" w:line="245" w:lineRule="auto"/>
            </w:pPr>
            <w:r>
              <w:rPr>
                <w:sz w:val="19"/>
              </w:rPr>
              <w:t>Android API 35 and 36</w:t>
            </w:r>
          </w:p>
        </w:tc>
        <w:tc>
          <w:tcPr>
            <w:tcW w:type="dxa" w:w="3528"/>
            <w:vAlign w:val="center"/>
            <w:shd w:fill="FFFFFF"/>
          </w:tcPr>
          <w:p>
            <w:pPr>
              <w:spacing w:after="0" w:line="245" w:lineRule="auto"/>
            </w:pPr>
            <w:r>
              <w:rPr>
                <w:sz w:val="19"/>
              </w:rPr>
              <w:t>Login, lifecycle, target behavior, notifications, camera, location, actual dialer</w:t>
            </w:r>
          </w:p>
        </w:tc>
        <w:tc>
          <w:tcPr>
            <w:tcW w:type="dxa" w:w="3802"/>
            <w:vAlign w:val="center"/>
            <w:shd w:fill="FFFFFF"/>
          </w:tcPr>
          <w:p>
            <w:pPr>
              <w:spacing w:after="0" w:line="245" w:lineRule="auto"/>
            </w:pPr>
            <w:r>
              <w:rPr>
                <w:sz w:val="19"/>
              </w:rPr>
              <w:t>Signed-artifact install record and device results</w:t>
            </w:r>
          </w:p>
        </w:tc>
      </w:tr>
      <w:tr>
        <w:trPr>
          <w:cantSplit/>
        </w:trPr>
        <w:tc>
          <w:tcPr>
            <w:tcW w:type="dxa" w:w="2520"/>
            <w:vAlign w:val="center"/>
            <w:shd w:fill="F2F5F7"/>
          </w:tcPr>
          <w:p>
            <w:pPr>
              <w:spacing w:after="0" w:line="245" w:lineRule="auto"/>
            </w:pPr>
            <w:r>
              <w:rPr>
                <w:sz w:val="19"/>
              </w:rPr>
              <w:t>Android 16 KB environment</w:t>
            </w:r>
          </w:p>
        </w:tc>
        <w:tc>
          <w:tcPr>
            <w:tcW w:type="dxa" w:w="3528"/>
            <w:vAlign w:val="center"/>
            <w:shd w:fill="F2F5F7"/>
          </w:tcPr>
          <w:p>
            <w:pPr>
              <w:spacing w:after="0" w:line="245" w:lineRule="auto"/>
            </w:pPr>
            <w:r>
              <w:rPr>
                <w:sz w:val="19"/>
              </w:rPr>
              <w:t>All emitted native libraries and critical plugin paths</w:t>
            </w:r>
          </w:p>
        </w:tc>
        <w:tc>
          <w:tcPr>
            <w:tcW w:type="dxa" w:w="3802"/>
            <w:vAlign w:val="center"/>
            <w:shd w:fill="F2F5F7"/>
          </w:tcPr>
          <w:p>
            <w:pPr>
              <w:spacing w:after="0" w:line="245" w:lineRule="auto"/>
            </w:pPr>
            <w:r>
              <w:rPr>
                <w:sz w:val="19"/>
              </w:rPr>
              <w:t>Alignment output and 16 KB runtime evidence</w:t>
            </w:r>
          </w:p>
        </w:tc>
      </w:tr>
      <w:tr>
        <w:trPr>
          <w:cantSplit/>
        </w:trPr>
        <w:tc>
          <w:tcPr>
            <w:tcW w:type="dxa" w:w="2520"/>
            <w:vAlign w:val="center"/>
            <w:shd w:fill="FFFFFF"/>
          </w:tcPr>
          <w:p>
            <w:pPr>
              <w:spacing w:after="0" w:line="245" w:lineRule="auto"/>
            </w:pPr>
            <w:r>
              <w:rPr>
                <w:sz w:val="19"/>
              </w:rPr>
              <w:t>NFC-capable physical Android</w:t>
            </w:r>
          </w:p>
        </w:tc>
        <w:tc>
          <w:tcPr>
            <w:tcW w:type="dxa" w:w="3528"/>
            <w:vAlign w:val="center"/>
            <w:shd w:fill="FFFFFF"/>
          </w:tcPr>
          <w:p>
            <w:pPr>
              <w:spacing w:after="0" w:line="245" w:lineRule="auto"/>
            </w:pPr>
            <w:r>
              <w:rPr>
                <w:sz w:val="19"/>
              </w:rPr>
              <w:t>Expiry after process death/reboot, stop/logout, malformed APDUs</w:t>
            </w:r>
          </w:p>
        </w:tc>
        <w:tc>
          <w:tcPr>
            <w:tcW w:type="dxa" w:w="3802"/>
            <w:vAlign w:val="center"/>
            <w:shd w:fill="FFFFFF"/>
          </w:tcPr>
          <w:p>
            <w:pPr>
              <w:spacing w:after="0" w:line="245" w:lineRule="auto"/>
            </w:pPr>
            <w:r>
              <w:rPr>
                <w:sz w:val="19"/>
              </w:rPr>
              <w:t>Reader/device trace with no sensitive payload disclosure</w:t>
            </w:r>
          </w:p>
        </w:tc>
      </w:tr>
      <w:tr>
        <w:trPr>
          <w:cantSplit/>
        </w:trPr>
        <w:tc>
          <w:tcPr>
            <w:tcW w:type="dxa" w:w="2520"/>
            <w:vAlign w:val="center"/>
            <w:shd w:fill="F2F5F7"/>
          </w:tcPr>
          <w:p>
            <w:pPr>
              <w:spacing w:after="0" w:line="245" w:lineRule="auto"/>
            </w:pPr>
            <w:r>
              <w:rPr>
                <w:sz w:val="19"/>
              </w:rPr>
              <w:t>Physical iPhone via TestFlight</w:t>
            </w:r>
          </w:p>
        </w:tc>
        <w:tc>
          <w:tcPr>
            <w:tcW w:type="dxa" w:w="3528"/>
            <w:vAlign w:val="center"/>
            <w:shd w:fill="F2F5F7"/>
          </w:tcPr>
          <w:p>
            <w:pPr>
              <w:spacing w:after="0" w:line="245" w:lineRule="auto"/>
            </w:pPr>
            <w:r>
              <w:rPr>
                <w:sz w:val="19"/>
              </w:rPr>
              <w:t>Signing, entitlements, APNs, camera/NFC, permission denial, manual fallback, deletion</w:t>
            </w:r>
          </w:p>
        </w:tc>
        <w:tc>
          <w:tcPr>
            <w:tcW w:type="dxa" w:w="3802"/>
            <w:vAlign w:val="center"/>
            <w:shd w:fill="F2F5F7"/>
          </w:tcPr>
          <w:p>
            <w:pPr>
              <w:spacing w:after="0" w:line="245" w:lineRule="auto"/>
            </w:pPr>
            <w:r>
              <w:rPr>
                <w:sz w:val="19"/>
              </w:rPr>
              <w:t>Archive hash and recorded acceptance</w:t>
            </w:r>
          </w:p>
        </w:tc>
      </w:tr>
      <w:tr>
        <w:trPr>
          <w:cantSplit/>
        </w:trPr>
        <w:tc>
          <w:tcPr>
            <w:tcW w:type="dxa" w:w="2520"/>
            <w:vAlign w:val="center"/>
            <w:shd w:fill="FFFFFF"/>
          </w:tcPr>
          <w:p>
            <w:pPr>
              <w:spacing w:after="0" w:line="245" w:lineRule="auto"/>
            </w:pPr>
            <w:r>
              <w:rPr>
                <w:sz w:val="19"/>
              </w:rPr>
              <w:t>Institutional collector device</w:t>
            </w:r>
          </w:p>
        </w:tc>
        <w:tc>
          <w:tcPr>
            <w:tcW w:type="dxa" w:w="3528"/>
            <w:vAlign w:val="center"/>
            <w:shd w:fill="FFFFFF"/>
          </w:tcPr>
          <w:p>
            <w:pPr>
              <w:spacing w:after="0" w:line="245" w:lineRule="auto"/>
            </w:pPr>
            <w:r>
              <w:rPr>
                <w:sz w:val="19"/>
              </w:rPr>
              <w:t>Filtering, capture/queue, offline/restart/update, retries, revocation and reconciliation</w:t>
            </w:r>
          </w:p>
        </w:tc>
        <w:tc>
          <w:tcPr>
            <w:tcW w:type="dxa" w:w="3802"/>
            <w:vAlign w:val="center"/>
            <w:shd w:fill="FFFFFF"/>
          </w:tcPr>
          <w:p>
            <w:pPr>
              <w:spacing w:after="0" w:line="245" w:lineRule="auto"/>
            </w:pPr>
            <w:r>
              <w:rPr>
                <w:sz w:val="19"/>
              </w:rPr>
              <w:t>Synthetic receipt ledger and loss/duplicate report</w:t>
            </w:r>
          </w:p>
        </w:tc>
      </w:tr>
      <w:tr>
        <w:trPr>
          <w:cantSplit/>
        </w:trPr>
        <w:tc>
          <w:tcPr>
            <w:tcW w:type="dxa" w:w="2520"/>
            <w:vAlign w:val="center"/>
            <w:shd w:fill="F2F5F7"/>
          </w:tcPr>
          <w:p>
            <w:pPr>
              <w:spacing w:after="0" w:line="245" w:lineRule="auto"/>
            </w:pPr>
            <w:r>
              <w:rPr>
                <w:sz w:val="19"/>
              </w:rPr>
              <w:t>Controlled face evaluation</w:t>
            </w:r>
          </w:p>
        </w:tc>
        <w:tc>
          <w:tcPr>
            <w:tcW w:type="dxa" w:w="3528"/>
            <w:vAlign w:val="center"/>
            <w:shd w:fill="F2F5F7"/>
          </w:tcPr>
          <w:p>
            <w:pPr>
              <w:spacing w:after="0" w:line="245" w:lineRule="auto"/>
            </w:pPr>
            <w:r>
              <w:rPr>
                <w:sz w:val="19"/>
              </w:rPr>
              <w:t>One-to-many accuracy, ambiguity, deletion races, real network and carrier handoff</w:t>
            </w:r>
          </w:p>
        </w:tc>
        <w:tc>
          <w:tcPr>
            <w:tcW w:type="dxa" w:w="3802"/>
            <w:vAlign w:val="center"/>
            <w:shd w:fill="F2F5F7"/>
          </w:tcPr>
          <w:p>
            <w:pPr>
              <w:spacing w:after="0" w:line="245" w:lineRule="auto"/>
            </w:pPr>
            <w:r>
              <w:rPr>
                <w:sz w:val="19"/>
              </w:rPr>
              <w:t>Versioned evaluation and signed acceptance decision</w:t>
            </w:r>
          </w:p>
        </w:tc>
      </w:tr>
      <w:tr>
        <w:trPr>
          <w:cantSplit/>
        </w:trPr>
        <w:tc>
          <w:tcPr>
            <w:tcW w:type="dxa" w:w="2520"/>
            <w:vAlign w:val="center"/>
            <w:shd w:fill="FFFFFF"/>
          </w:tcPr>
          <w:p>
            <w:pPr>
              <w:spacing w:after="0" w:line="245" w:lineRule="auto"/>
            </w:pPr>
            <w:r>
              <w:rPr>
                <w:sz w:val="19"/>
              </w:rPr>
              <w:t>Recovery environment</w:t>
            </w:r>
          </w:p>
        </w:tc>
        <w:tc>
          <w:tcPr>
            <w:tcW w:type="dxa" w:w="3528"/>
            <w:vAlign w:val="center"/>
            <w:shd w:fill="FFFFFF"/>
          </w:tcPr>
          <w:p>
            <w:pPr>
              <w:spacing w:after="0" w:line="245" w:lineRule="auto"/>
            </w:pPr>
            <w:r>
              <w:rPr>
                <w:sz w:val="19"/>
              </w:rPr>
              <w:t>Restore, tombstones, disabled outbound jobs, rollback and feature interruption</w:t>
            </w:r>
          </w:p>
        </w:tc>
        <w:tc>
          <w:tcPr>
            <w:tcW w:type="dxa" w:w="3802"/>
            <w:vAlign w:val="center"/>
            <w:shd w:fill="FFFFFF"/>
          </w:tcPr>
          <w:p>
            <w:pPr>
              <w:spacing w:after="0" w:line="245" w:lineRule="auto"/>
            </w:pPr>
            <w:r>
              <w:rPr>
                <w:sz w:val="19"/>
              </w:rPr>
              <w:t>Timed recovery drill and approved runbook</w:t>
            </w:r>
          </w:p>
        </w:tc>
      </w:tr>
    </w:tbl>
    <w:p>
      <w:pPr>
        <w:spacing w:after="0" w:before="0" w:line="60" w:lineRule="exact"/>
      </w:pPr>
      <w:r>
        <w:rPr>
          <w:sz w:val="6"/>
        </w:rPr>
      </w:r>
    </w:p>
    <w:p>
      <w:pPr>
        <w:pStyle w:val="Heading1"/>
      </w:pPr>
      <w:r>
        <w:t>10 Recommendations and execution plan</w:t>
      </w:r>
    </w:p>
    <w:p>
      <w:pPr>
        <w:pStyle w:val="Heading2"/>
      </w:pPr>
      <w:r>
        <w:t>10 1 Complete work in dependency order</w:t>
      </w:r>
    </w:p>
    <w:p>
      <w:pPr/>
      <w:r>
        <w:rPr>
          <w:b/>
        </w:rPr>
        <w:t>Phase 1 containment and authority.</w:t>
      </w:r>
      <w:r>
        <w:t xml:space="preserve"> Assign one accountable engineering lead. Restrict the shared folder and complete the key review. Repair verified phone authority, direct booking writes and receipt evidence. Establish unique member IDs and migrate ambiguities before changing every display. Review any deployed exposure with sanitized queries and preserve relevant records. These tasks have the highest effect on trust and financial integrity.</w:t>
      </w:r>
    </w:p>
    <w:p>
      <w:pPr/>
      <w:r>
        <w:rPr>
          <w:b/>
        </w:rPr>
        <w:t>Phase 2 a reliable core candidate.</w:t>
      </w:r>
      <w:r>
        <w:t xml:space="preserve"> Repair logout/FCM, startup and stale asynchronous state; enforce nearby freshness; fix the CI pin checker and release evidence semantics. Build real role-based database regressions. Reconcile current notices, account deletion and required store metadata. Produce signed API 36 Android and current Xcode iOS artifacts. A core candidate can progress independently if unaccepted optional services are disabled server-side and absent or accurately unavailable in the user experience.</w:t>
      </w:r>
    </w:p>
    <w:p>
      <w:pPr/>
      <w:r>
        <w:rPr>
          <w:b/>
        </w:rPr>
        <w:t>Phase 3 accept each additional feature.</w:t>
      </w:r>
      <w:r>
        <w:t xml:space="preserve"> Paid transport needs inventory, receipt-allocation and cancellation/reconciliation acceptance. Automatic subscriptions need trusted receipt classification and concurrent-period correctness. The collector needs private distribution/signing, local minimization, queue durability and device acceptance. NFC needs native expiry. Face needs model/operator/deployment/privacy acceptance. Treat each as an explicit enablement decision with a rollback switch and owner.</w:t>
      </w:r>
    </w:p>
    <w:p>
      <w:pPr/>
      <w:r>
        <w:rPr>
          <w:b/>
        </w:rPr>
        <w:t>Phase 4 operate and expand.</w:t>
      </w:r>
      <w:r>
        <w:t xml:space="preserve"> Run a bounded pilot with agreed support coverage, service objectives and cost/latency measurement. Rehearse restore and rollback. Resolve localization/accessibility/performance issues against actual launch commitments. Extend dependency and provenance controls and refactor touched high-risk modules. Increase volume only when measured error, queue and support load meet the agreed thresholds.</w:t>
      </w:r>
    </w:p>
    <w:p>
      <w:pPr/>
      <w:r>
        <w:t>No defensible completion date can be inferred from source alone. Staffing, existing deployment state, provider approvals, device access and the remediation of existing records affect the critical path. The workbook uses S/M/L effort bands for sequencing rather than invented calendar promises. After Phase 1, the team should estimate the accepted task set against named people and external lead times.</w:t>
      </w:r>
    </w:p>
    <w:p>
      <w:pPr>
        <w:pStyle w:val="Heading2"/>
      </w:pPr>
      <w:r>
        <w:t>10 2 Ownership and measurable launch gates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520"/>
        <w:gridCol w:w="3528"/>
        <w:gridCol w:w="3802"/>
      </w:tblGrid>
      <w:tr>
        <w:trPr>
          <w:cantSplit/>
          <w:tblHeader/>
        </w:trPr>
        <w:tc>
          <w:tcPr>
            <w:tcW w:type="dxa" w:w="2520"/>
            <w:vAlign w:val="center"/>
            <w:shd w:fill="203D54"/>
          </w:tcPr>
          <w:p>
            <w:pPr>
              <w:keepNext/>
              <w:spacing w:after="0" w:line="245" w:lineRule="auto"/>
            </w:pPr>
            <w:r>
              <w:rPr>
                <w:b/>
                <w:color w:val="FFFFFF"/>
                <w:sz w:val="19"/>
              </w:rPr>
              <w:t>Gate</w:t>
            </w:r>
          </w:p>
        </w:tc>
        <w:tc>
          <w:tcPr>
            <w:tcW w:type="dxa" w:w="3528"/>
            <w:vAlign w:val="center"/>
            <w:shd w:fill="203D54"/>
          </w:tcPr>
          <w:p>
            <w:pPr>
              <w:keepNext/>
              <w:spacing w:after="0" w:line="245" w:lineRule="auto"/>
            </w:pPr>
            <w:r>
              <w:rPr>
                <w:b/>
                <w:color w:val="FFFFFF"/>
                <w:sz w:val="19"/>
              </w:rPr>
              <w:t>Accountable role</w:t>
            </w:r>
          </w:p>
        </w:tc>
        <w:tc>
          <w:tcPr>
            <w:tcW w:type="dxa" w:w="3802"/>
            <w:vAlign w:val="center"/>
            <w:shd w:fill="203D54"/>
          </w:tcPr>
          <w:p>
            <w:pPr>
              <w:keepNext/>
              <w:spacing w:after="0" w:line="245" w:lineRule="auto"/>
            </w:pPr>
            <w:r>
              <w:rPr>
                <w:b/>
                <w:color w:val="FFFFFF"/>
                <w:sz w:val="19"/>
              </w:rPr>
              <w:t>Minimum evidence to close</w:t>
            </w:r>
          </w:p>
        </w:tc>
      </w:tr>
      <w:tr>
        <w:trPr>
          <w:cantSplit/>
        </w:trPr>
        <w:tc>
          <w:tcPr>
            <w:tcW w:type="dxa" w:w="2520"/>
            <w:vAlign w:val="center"/>
            <w:shd w:fill="FFFFFF"/>
          </w:tcPr>
          <w:p>
            <w:pPr>
              <w:keepNext/>
              <w:spacing w:after="0" w:line="245" w:lineRule="auto"/>
            </w:pPr>
            <w:r>
              <w:rPr>
                <w:sz w:val="19"/>
              </w:rPr>
              <w:t>Access and credentials</w:t>
            </w:r>
          </w:p>
        </w:tc>
        <w:tc>
          <w:tcPr>
            <w:tcW w:type="dxa" w:w="3528"/>
            <w:vAlign w:val="center"/>
            <w:shd w:fill="FFFFFF"/>
          </w:tcPr>
          <w:p>
            <w:pPr>
              <w:keepNext/>
              <w:spacing w:after="0" w:line="245" w:lineRule="auto"/>
            </w:pPr>
            <w:r>
              <w:rPr>
                <w:sz w:val="19"/>
              </w:rPr>
              <w:t>Engineering lead and release owner</w:t>
            </w:r>
          </w:p>
        </w:tc>
        <w:tc>
          <w:tcPr>
            <w:tcW w:type="dxa" w:w="3802"/>
            <w:vAlign w:val="center"/>
            <w:shd w:fill="FFFFFF"/>
          </w:tcPr>
          <w:p>
            <w:pPr>
              <w:keepNext/>
              <w:spacing w:after="0" w:line="245" w:lineRule="auto"/>
            </w:pPr>
            <w:r>
              <w:rPr>
                <w:sz w:val="19"/>
              </w:rPr>
              <w:t>Restricted access, key decision and verified signing continuity</w:t>
            </w:r>
          </w:p>
        </w:tc>
      </w:tr>
      <w:tr>
        <w:trPr>
          <w:cantSplit/>
        </w:trPr>
        <w:tc>
          <w:tcPr>
            <w:tcW w:type="dxa" w:w="2520"/>
            <w:vAlign w:val="center"/>
            <w:shd w:fill="F2F5F7"/>
          </w:tcPr>
          <w:p>
            <w:pPr>
              <w:spacing w:after="0" w:line="245" w:lineRule="auto"/>
            </w:pPr>
            <w:r>
              <w:rPr>
                <w:sz w:val="19"/>
              </w:rPr>
              <w:t>Identity and authorization</w:t>
            </w:r>
          </w:p>
        </w:tc>
        <w:tc>
          <w:tcPr>
            <w:tcW w:type="dxa" w:w="3528"/>
            <w:vAlign w:val="center"/>
            <w:shd w:fill="F2F5F7"/>
          </w:tcPr>
          <w:p>
            <w:pPr>
              <w:spacing w:after="0" w:line="245" w:lineRule="auto"/>
            </w:pPr>
            <w:r>
              <w:rPr>
                <w:sz w:val="19"/>
              </w:rPr>
              <w:t>Backend lead with mobile reviewer</w:t>
            </w:r>
          </w:p>
        </w:tc>
        <w:tc>
          <w:tcPr>
            <w:tcW w:type="dxa" w:w="3802"/>
            <w:vAlign w:val="center"/>
            <w:shd w:fill="F2F5F7"/>
          </w:tcPr>
          <w:p>
            <w:pPr>
              <w:spacing w:after="0" w:line="245" w:lineRule="auto"/>
            </w:pPr>
            <w:r>
              <w:rPr>
                <w:sz w:val="19"/>
              </w:rPr>
              <w:t>Real-role negative tests, canonical IDs, no client authority over protected fields</w:t>
            </w:r>
          </w:p>
        </w:tc>
      </w:tr>
      <w:tr>
        <w:trPr>
          <w:cantSplit/>
        </w:trPr>
        <w:tc>
          <w:tcPr>
            <w:tcW w:type="dxa" w:w="2520"/>
            <w:vAlign w:val="center"/>
            <w:shd w:fill="FFFFFF"/>
          </w:tcPr>
          <w:p>
            <w:pPr>
              <w:spacing w:after="0" w:line="245" w:lineRule="auto"/>
            </w:pPr>
            <w:r>
              <w:rPr>
                <w:sz w:val="19"/>
              </w:rPr>
              <w:t>Core mobile release</w:t>
            </w:r>
          </w:p>
        </w:tc>
        <w:tc>
          <w:tcPr>
            <w:tcW w:type="dxa" w:w="3528"/>
            <w:vAlign w:val="center"/>
            <w:shd w:fill="FFFFFF"/>
          </w:tcPr>
          <w:p>
            <w:pPr>
              <w:spacing w:after="0" w:line="245" w:lineRule="auto"/>
            </w:pPr>
            <w:r>
              <w:rPr>
                <w:sz w:val="19"/>
              </w:rPr>
              <w:t>Mobile lead and QA</w:t>
            </w:r>
          </w:p>
        </w:tc>
        <w:tc>
          <w:tcPr>
            <w:tcW w:type="dxa" w:w="3802"/>
            <w:vAlign w:val="center"/>
            <w:shd w:fill="FFFFFF"/>
          </w:tcPr>
          <w:p>
            <w:pPr>
              <w:spacing w:after="0" w:line="245" w:lineRule="auto"/>
            </w:pPr>
            <w:r>
              <w:rPr>
                <w:sz w:val="19"/>
              </w:rPr>
              <w:t>Signed store artifacts; critical device, deletion and accessibility results</w:t>
            </w:r>
          </w:p>
        </w:tc>
      </w:tr>
      <w:tr>
        <w:trPr>
          <w:cantSplit/>
        </w:trPr>
        <w:tc>
          <w:tcPr>
            <w:tcW w:type="dxa" w:w="2520"/>
            <w:vAlign w:val="center"/>
            <w:shd w:fill="F2F5F7"/>
          </w:tcPr>
          <w:p>
            <w:pPr>
              <w:spacing w:after="0" w:line="245" w:lineRule="auto"/>
            </w:pPr>
            <w:r>
              <w:rPr>
                <w:sz w:val="19"/>
              </w:rPr>
              <w:t>Paid transport and subscriptions</w:t>
            </w:r>
          </w:p>
        </w:tc>
        <w:tc>
          <w:tcPr>
            <w:tcW w:type="dxa" w:w="3528"/>
            <w:vAlign w:val="center"/>
            <w:shd w:fill="F2F5F7"/>
          </w:tcPr>
          <w:p>
            <w:pPr>
              <w:spacing w:after="0" w:line="245" w:lineRule="auto"/>
            </w:pPr>
            <w:r>
              <w:rPr>
                <w:sz w:val="19"/>
              </w:rPr>
              <w:t>Backend lead and operations owner</w:t>
            </w:r>
          </w:p>
        </w:tc>
        <w:tc>
          <w:tcPr>
            <w:tcW w:type="dxa" w:w="3802"/>
            <w:vAlign w:val="center"/>
            <w:shd w:fill="F2F5F7"/>
          </w:tcPr>
          <w:p>
            <w:pPr>
              <w:spacing w:after="0" w:line="245" w:lineRule="auto"/>
            </w:pPr>
            <w:r>
              <w:rPr>
                <w:sz w:val="19"/>
              </w:rPr>
              <w:t>Transaction invariants, unique payment allocation, reconciliation and expiry evidence</w:t>
            </w:r>
          </w:p>
        </w:tc>
      </w:tr>
      <w:tr>
        <w:trPr>
          <w:cantSplit/>
        </w:trPr>
        <w:tc>
          <w:tcPr>
            <w:tcW w:type="dxa" w:w="2520"/>
            <w:vAlign w:val="center"/>
            <w:shd w:fill="FFFFFF"/>
          </w:tcPr>
          <w:p>
            <w:pPr>
              <w:spacing w:after="0" w:line="245" w:lineRule="auto"/>
            </w:pPr>
            <w:r>
              <w:rPr>
                <w:sz w:val="19"/>
              </w:rPr>
              <w:t>Collector</w:t>
            </w:r>
          </w:p>
        </w:tc>
        <w:tc>
          <w:tcPr>
            <w:tcW w:type="dxa" w:w="3528"/>
            <w:vAlign w:val="center"/>
            <w:shd w:fill="FFFFFF"/>
          </w:tcPr>
          <w:p>
            <w:pPr>
              <w:spacing w:after="0" w:line="245" w:lineRule="auto"/>
            </w:pPr>
            <w:r>
              <w:rPr>
                <w:sz w:val="19"/>
              </w:rPr>
              <w:t>Android owner and institutional operator</w:t>
            </w:r>
          </w:p>
        </w:tc>
        <w:tc>
          <w:tcPr>
            <w:tcW w:type="dxa" w:w="3802"/>
            <w:vAlign w:val="center"/>
            <w:shd w:fill="FFFFFF"/>
          </w:tcPr>
          <w:p>
            <w:pPr>
              <w:spacing w:after="0" w:line="245" w:lineRule="auto"/>
            </w:pPr>
            <w:r>
              <w:rPr>
                <w:sz w:val="19"/>
              </w:rPr>
              <w:t>Dedicated signer, minimized input, durable queue, enrollment and recovery results</w:t>
            </w:r>
          </w:p>
        </w:tc>
      </w:tr>
      <w:tr>
        <w:trPr>
          <w:cantSplit/>
        </w:trPr>
        <w:tc>
          <w:tcPr>
            <w:tcW w:type="dxa" w:w="2520"/>
            <w:vAlign w:val="center"/>
            <w:shd w:fill="F2F5F7"/>
          </w:tcPr>
          <w:p>
            <w:pPr>
              <w:spacing w:after="0" w:line="245" w:lineRule="auto"/>
            </w:pPr>
            <w:r>
              <w:rPr>
                <w:sz w:val="19"/>
              </w:rPr>
              <w:t>Face and NFC</w:t>
            </w:r>
          </w:p>
        </w:tc>
        <w:tc>
          <w:tcPr>
            <w:tcW w:type="dxa" w:w="3528"/>
            <w:vAlign w:val="center"/>
            <w:shd w:fill="F2F5F7"/>
          </w:tcPr>
          <w:p>
            <w:pPr>
              <w:spacing w:after="0" w:line="245" w:lineRule="auto"/>
            </w:pPr>
            <w:r>
              <w:rPr>
                <w:sz w:val="19"/>
              </w:rPr>
              <w:t>Mobile/backend leads and product owner</w:t>
            </w:r>
          </w:p>
        </w:tc>
        <w:tc>
          <w:tcPr>
            <w:tcW w:type="dxa" w:w="3802"/>
            <w:vAlign w:val="center"/>
            <w:shd w:fill="F2F5F7"/>
          </w:tcPr>
          <w:p>
            <w:pPr>
              <w:spacing w:after="0" w:line="245" w:lineRule="auto"/>
            </w:pPr>
            <w:r>
              <w:rPr>
                <w:sz w:val="19"/>
              </w:rPr>
              <w:t>Native lifecycle, model/operator acceptance, consent/deletion and capacity evidence</w:t>
            </w:r>
          </w:p>
        </w:tc>
      </w:tr>
      <w:tr>
        <w:trPr>
          <w:cantSplit/>
        </w:trPr>
        <w:tc>
          <w:tcPr>
            <w:tcW w:type="dxa" w:w="2520"/>
            <w:vAlign w:val="center"/>
            <w:shd w:fill="FFFFFF"/>
          </w:tcPr>
          <w:p>
            <w:pPr>
              <w:spacing w:after="0" w:line="245" w:lineRule="auto"/>
            </w:pPr>
            <w:r>
              <w:rPr>
                <w:sz w:val="19"/>
              </w:rPr>
              <w:t>Privacy and legal applicability</w:t>
            </w:r>
          </w:p>
        </w:tc>
        <w:tc>
          <w:tcPr>
            <w:tcW w:type="dxa" w:w="3528"/>
            <w:vAlign w:val="center"/>
            <w:shd w:fill="FFFFFF"/>
          </w:tcPr>
          <w:p>
            <w:pPr>
              <w:spacing w:after="0" w:line="245" w:lineRule="auto"/>
            </w:pPr>
            <w:r>
              <w:rPr>
                <w:sz w:val="19"/>
              </w:rPr>
              <w:t>DPO or privacy owner with local counsel</w:t>
            </w:r>
          </w:p>
        </w:tc>
        <w:tc>
          <w:tcPr>
            <w:tcW w:type="dxa" w:w="3802"/>
            <w:vAlign w:val="center"/>
            <w:shd w:fill="FFFFFF"/>
          </w:tcPr>
          <w:p>
            <w:pPr>
              <w:spacing w:after="0" w:line="245" w:lineRule="auto"/>
            </w:pPr>
            <w:r>
              <w:rPr>
                <w:sz w:val="19"/>
              </w:rPr>
              <w:t>Current notices, actual contracts/certificates, rights and retention execution</w:t>
            </w:r>
          </w:p>
        </w:tc>
      </w:tr>
      <w:tr>
        <w:trPr>
          <w:cantSplit/>
        </w:trPr>
        <w:tc>
          <w:tcPr>
            <w:tcW w:type="dxa" w:w="2520"/>
            <w:vAlign w:val="center"/>
            <w:shd w:fill="F2F5F7"/>
          </w:tcPr>
          <w:p>
            <w:pPr>
              <w:spacing w:after="0" w:line="245" w:lineRule="auto"/>
            </w:pPr>
            <w:r>
              <w:rPr>
                <w:sz w:val="19"/>
              </w:rPr>
              <w:t>Production operations</w:t>
            </w:r>
          </w:p>
        </w:tc>
        <w:tc>
          <w:tcPr>
            <w:tcW w:type="dxa" w:w="3528"/>
            <w:vAlign w:val="center"/>
            <w:shd w:fill="F2F5F7"/>
          </w:tcPr>
          <w:p>
            <w:pPr>
              <w:spacing w:after="0" w:line="245" w:lineRule="auto"/>
            </w:pPr>
            <w:r>
              <w:rPr>
                <w:sz w:val="19"/>
              </w:rPr>
              <w:t>Operations lead</w:t>
            </w:r>
          </w:p>
        </w:tc>
        <w:tc>
          <w:tcPr>
            <w:tcW w:type="dxa" w:w="3802"/>
            <w:vAlign w:val="center"/>
            <w:shd w:fill="F2F5F7"/>
          </w:tcPr>
          <w:p>
            <w:pPr>
              <w:spacing w:after="0" w:line="245" w:lineRule="auto"/>
            </w:pPr>
            <w:r>
              <w:rPr>
                <w:sz w:val="19"/>
              </w:rPr>
              <w:t>SLOs, sanitized alerts, on-call/support, restore/rollback and versioned release record</w:t>
            </w:r>
          </w:p>
        </w:tc>
      </w:tr>
    </w:tbl>
    <w:p>
      <w:pPr>
        <w:spacing w:after="0" w:before="0" w:line="60" w:lineRule="exact"/>
      </w:pPr>
      <w:r>
        <w:rPr>
          <w:sz w:val="6"/>
        </w:rPr>
      </w:r>
    </w:p>
    <w:p>
      <w:pPr/>
      <w:r>
        <w:t>Use one release record per artifact and environment. A gate is closed by linked evidence and an accountable decision, not by a filename, Boolean flag, count of historical tests or a statement that a feature exists. Security repairs should include negative tests demonstrating the original unauthorized action is denied while legitimate behavior remains intact.</w:t>
      </w:r>
    </w:p>
    <w:p>
      <w:pPr>
        <w:pStyle w:val="Heading2"/>
      </w:pPr>
      <w:r>
        <w:t>10 3 How to use the implementation workbook</w:t>
      </w:r>
    </w:p>
    <w:p>
      <w:pPr/>
      <w:r>
        <w:t>The Backlog sheet is the full action register for this investigation. Filter by priority and affected release scope, assign a named owner in place of each suggested role, confirm dependencies and attach the evidence produced by the acceptance criteria. Status begins at Not started because this was an investigation, not a remediation engagement. Effort is a planning hypothesis and should be refined during implementation.</w:t>
      </w:r>
    </w:p>
    <w:p>
      <w:pPr/>
      <w:r>
        <w:t>The Release gates sheet groups tasks into concrete enablement decisions. The Validation sheet preserves the distinction between tests executed here, historical results, source-only conclusions and work still required. Keep those distinctions during progress reporting. A resolved code defect may still require deployment and device verification before its release gate can close.</w:t>
      </w:r>
    </w:p>
    <w:p>
      <w:pPr>
        <w:pStyle w:val="Heading1"/>
      </w:pPr>
      <w:r>
        <w:t>11 Research and assessment limits</w:t>
      </w:r>
    </w:p>
    <w:p>
      <w:pPr/>
      <w:r>
        <w:t>Technical and policy research used current official sources from Google/Android, Apple, Flutter, Supabase, PostgreSQL, GitHub, Cloudflare, OpenCV, Firebase, Meta and Rwanda's official NCSA/RISA publications. Links appear beside the claims they support. Research was checked on September 27, 2026; policies and provider controls can change, so recheck them at actual submission and contracting time.</w:t>
      </w:r>
    </w:p>
    <w:p>
      <w:pPr/>
      <w:r>
        <w:t>This assessment did not include live database content, cloud account settings, Play/App Store console state, active provider contracts, incident history, production traffic, business financials, staffing or user interviews. It cannot establish a conversion rate, real recognition error rate, monthly operating cost, company-wide legal compliance or a production compromise. The findings are sufficient to recommend a current no-go decision and a specific remediation program without inventing those missing facts.</w:t>
      </w:r>
    </w:p>
    <w:p>
      <w:pPr/>
      <w:r>
        <w:t>The report and workbook are intended for controlled engineering and product review because they describe sensitive authority weaknesses. No repository changes, production deployments, credential rotations, external messages or Drive permission changes were performed as part of this investigation.</w:t>
      </w:r>
    </w:p>
    <w:p>
      <w:pPr>
        <w:pStyle w:val="Heading1"/>
      </w:pPr>
      <w:r>
        <w:t>Repository source index</w:t>
      </w:r>
    </w:p>
    <w:p>
      <w:r>
        <w:t>These links identify the original files in the supplied Drive snapshot. Findings also name relevant source locations in their text. Linked source paths are evidence references, not permission to broaden access to the shared copy.</w:t>
      </w:r>
    </w:p>
    <w:p>
      <w:pPr>
        <w:keepLines/>
        <w:spacing w:after="100"/>
      </w:pPr>
      <w:r>
        <w:rPr>
          <w:b/>
          <w:sz w:val="18"/>
          <w:sz w:val="18"/>
        </w:rPr>
        <w:t xml:space="preserve">S01  </w:t>
      </w:r>
      <w:hyperlink r:id="rId11">
        <w:r>
          <w:rPr>
            <w:color w:val="155A85"/>
            <w:u w:val="single"/>
            <w:sz w:val="18"/>
          </w:rPr>
          <w:t>CRITICAL_​RULES.md</w:t>
        </w:r>
      </w:hyperlink>
    </w:p>
    <w:p>
      <w:pPr>
        <w:keepLines/>
        <w:spacing w:after="100"/>
      </w:pPr>
      <w:r>
        <w:rPr>
          <w:b/>
          <w:sz w:val="18"/>
          <w:sz w:val="18"/>
        </w:rPr>
        <w:t xml:space="preserve">S02  </w:t>
      </w:r>
      <w:hyperlink r:id="rId12">
        <w:r>
          <w:rPr>
            <w:color w:val="155A85"/>
            <w:u w:val="single"/>
            <w:sz w:val="18"/>
          </w:rPr>
          <w:t>docs/​product/​face-ussd-20260920/​APPROVAL.md</w:t>
        </w:r>
      </w:hyperlink>
    </w:p>
    <w:p>
      <w:pPr>
        <w:keepLines/>
        <w:spacing w:after="100"/>
      </w:pPr>
      <w:r>
        <w:rPr>
          <w:b/>
          <w:sz w:val="18"/>
          <w:sz w:val="18"/>
        </w:rPr>
        <w:t xml:space="preserve">S03  </w:t>
      </w:r>
      <w:hyperlink r:id="rId13">
        <w:r>
          <w:rPr>
            <w:color w:val="155A85"/>
            <w:u w:val="single"/>
            <w:sz w:val="18"/>
          </w:rPr>
          <w:t>docs/​testing/​face-ussd-implementation-20260920.md</w:t>
        </w:r>
      </w:hyperlink>
    </w:p>
    <w:p>
      <w:pPr>
        <w:keepLines/>
        <w:spacing w:after="100"/>
      </w:pPr>
      <w:r>
        <w:rPr>
          <w:b/>
          <w:sz w:val="18"/>
          <w:sz w:val="18"/>
        </w:rPr>
        <w:t xml:space="preserve">S04  </w:t>
      </w:r>
      <w:hyperlink r:id="rId14">
        <w:r>
          <w:rPr>
            <w:color w:val="155A85"/>
            <w:u w:val="single"/>
            <w:sz w:val="18"/>
          </w:rPr>
          <w:t>supabase/​functions/​maps-gateway/​index.ts</w:t>
        </w:r>
      </w:hyperlink>
    </w:p>
    <w:p>
      <w:pPr>
        <w:keepLines/>
        <w:spacing w:after="100"/>
      </w:pPr>
      <w:r>
        <w:rPr>
          <w:b/>
          <w:sz w:val="18"/>
          <w:sz w:val="18"/>
        </w:rPr>
        <w:t xml:space="preserve">S05  </w:t>
      </w:r>
      <w:hyperlink r:id="rId15">
        <w:r>
          <w:rPr>
            <w:color w:val="155A85"/>
            <w:u w:val="single"/>
            <w:sz w:val="18"/>
          </w:rPr>
          <w:t>lib/​features/​biopay/​presentation/​biopay_​face_​enroll_​screen.dart</w:t>
        </w:r>
      </w:hyperlink>
    </w:p>
    <w:p>
      <w:pPr>
        <w:keepLines/>
        <w:spacing w:after="100"/>
      </w:pPr>
      <w:r>
        <w:rPr>
          <w:b/>
          <w:sz w:val="18"/>
          <w:sz w:val="18"/>
        </w:rPr>
        <w:t xml:space="preserve">S06  </w:t>
      </w:r>
      <w:hyperlink r:id="rId16">
        <w:r>
          <w:rPr>
            <w:color w:val="155A85"/>
            <w:u w:val="single"/>
            <w:sz w:val="18"/>
          </w:rPr>
          <w:t>supabase/​migrations/​20260920150100_​biopay_​face_​readiness.sql</w:t>
        </w:r>
      </w:hyperlink>
    </w:p>
    <w:p>
      <w:pPr>
        <w:keepLines/>
        <w:spacing w:after="100"/>
      </w:pPr>
      <w:r>
        <w:rPr>
          <w:b/>
          <w:sz w:val="18"/>
          <w:sz w:val="18"/>
        </w:rPr>
        <w:t xml:space="preserve">S07  </w:t>
      </w:r>
      <w:hyperlink r:id="rId17">
        <w:r>
          <w:rPr>
            <w:color w:val="155A85"/>
            <w:u w:val="single"/>
            <w:sz w:val="18"/>
          </w:rPr>
          <w:t>docs/​operations/​face-ussd-runbook.md</w:t>
        </w:r>
      </w:hyperlink>
    </w:p>
    <w:p>
      <w:pPr>
        <w:keepLines/>
        <w:spacing w:after="100"/>
      </w:pPr>
      <w:r>
        <w:rPr>
          <w:b/>
          <w:sz w:val="18"/>
          <w:sz w:val="18"/>
        </w:rPr>
        <w:t xml:space="preserve">S08  </w:t>
      </w:r>
      <w:hyperlink r:id="rId20">
        <w:r>
          <w:rPr>
            <w:color w:val="155A85"/>
            <w:u w:val="single"/>
            <w:sz w:val="18"/>
          </w:rPr>
          <w:t>supabase/​migrations/​20260501080000_​backend_​security_​payment_​rls_​hardening.sql</w:t>
        </w:r>
      </w:hyperlink>
    </w:p>
    <w:p>
      <w:pPr>
        <w:keepLines/>
        <w:spacing w:after="100"/>
      </w:pPr>
      <w:r>
        <w:rPr>
          <w:b/>
          <w:sz w:val="18"/>
          <w:sz w:val="18"/>
        </w:rPr>
        <w:t xml:space="preserve">S09  </w:t>
      </w:r>
      <w:hyperlink r:id="rId21">
        <w:r>
          <w:rPr>
            <w:color w:val="155A85"/>
            <w:u w:val="single"/>
            <w:sz w:val="18"/>
          </w:rPr>
          <w:t>supabase/​migrations/​20260501110000_​security_​profile_​chat_​dashboard_​hardening.sql</w:t>
        </w:r>
      </w:hyperlink>
    </w:p>
    <w:p>
      <w:pPr>
        <w:keepLines/>
        <w:spacing w:after="100"/>
      </w:pPr>
      <w:r>
        <w:rPr>
          <w:b/>
          <w:sz w:val="18"/>
          <w:sz w:val="18"/>
        </w:rPr>
        <w:t xml:space="preserve">S10  </w:t>
      </w:r>
      <w:hyperlink r:id="rId22">
        <w:r>
          <w:rPr>
            <w:color w:val="155A85"/>
            <w:u w:val="single"/>
            <w:sz w:val="18"/>
          </w:rPr>
          <w:t>supabase/​migrations/​20260614153000_​rentals_​vehicle_​type_​onboarding.sql</w:t>
        </w:r>
      </w:hyperlink>
    </w:p>
    <w:p>
      <w:pPr>
        <w:keepLines/>
        <w:spacing w:after="100"/>
      </w:pPr>
      <w:r>
        <w:rPr>
          <w:b/>
          <w:sz w:val="18"/>
          <w:sz w:val="18"/>
        </w:rPr>
        <w:t xml:space="preserve">S11  </w:t>
      </w:r>
      <w:hyperlink r:id="rId23">
        <w:r>
          <w:rPr>
            <w:color w:val="155A85"/>
            <w:u w:val="single"/>
            <w:sz w:val="18"/>
          </w:rPr>
          <w:t>supabase/​functions/​verify-login-otp/​index.ts</w:t>
        </w:r>
      </w:hyperlink>
    </w:p>
    <w:p>
      <w:pPr>
        <w:keepLines/>
        <w:spacing w:after="100"/>
      </w:pPr>
      <w:r>
        <w:rPr>
          <w:b/>
          <w:sz w:val="18"/>
          <w:sz w:val="18"/>
        </w:rPr>
        <w:t xml:space="preserve">S12  </w:t>
      </w:r>
      <w:hyperlink r:id="rId24">
        <w:r>
          <w:rPr>
            <w:color w:val="155A85"/>
            <w:u w:val="single"/>
            <w:sz w:val="18"/>
          </w:rPr>
          <w:t>supabase/​migrations/​20260908090000_​biopay_​payment_​discovery.sql</w:t>
        </w:r>
      </w:hyperlink>
    </w:p>
    <w:p>
      <w:pPr>
        <w:keepLines/>
        <w:spacing w:after="100"/>
      </w:pPr>
      <w:r>
        <w:rPr>
          <w:b/>
          <w:sz w:val="18"/>
          <w:sz w:val="18"/>
        </w:rPr>
        <w:t xml:space="preserve">S13  </w:t>
      </w:r>
      <w:hyperlink r:id="rId27">
        <w:r>
          <w:rPr>
            <w:color w:val="155A85"/>
            <w:u w:val="single"/>
            <w:sz w:val="18"/>
          </w:rPr>
          <w:t>supabase/​migrations/​20260608093000_​public_​transport_​booking_​foundation.sql</w:t>
        </w:r>
      </w:hyperlink>
    </w:p>
    <w:p>
      <w:pPr>
        <w:keepLines/>
        <w:spacing w:after="100"/>
      </w:pPr>
      <w:r>
        <w:rPr>
          <w:b/>
          <w:sz w:val="18"/>
          <w:sz w:val="18"/>
        </w:rPr>
        <w:t xml:space="preserve">S14  </w:t>
      </w:r>
      <w:hyperlink r:id="rId28">
        <w:r>
          <w:rPr>
            <w:color w:val="155A85"/>
            <w:u w:val="single"/>
            <w:sz w:val="18"/>
          </w:rPr>
          <w:t>supabase/​functions/​_​shared/​momo-sms.ts</w:t>
        </w:r>
      </w:hyperlink>
    </w:p>
    <w:p>
      <w:pPr>
        <w:keepLines/>
        <w:spacing w:after="100"/>
      </w:pPr>
      <w:r>
        <w:rPr>
          <w:b/>
          <w:sz w:val="18"/>
          <w:sz w:val="18"/>
        </w:rPr>
        <w:t xml:space="preserve">S15  </w:t>
      </w:r>
      <w:hyperlink r:id="rId29">
        <w:r>
          <w:rPr>
            <w:color w:val="155A85"/>
            <w:u w:val="single"/>
            <w:sz w:val="18"/>
          </w:rPr>
          <w:t>supabase/​migrations/​20260906145000_​subscription_​receipt_​integrity.sql</w:t>
        </w:r>
      </w:hyperlink>
    </w:p>
    <w:p>
      <w:pPr>
        <w:keepLines/>
        <w:spacing w:after="100"/>
      </w:pPr>
      <w:r>
        <w:rPr>
          <w:b/>
          <w:sz w:val="18"/>
          <w:sz w:val="18"/>
        </w:rPr>
        <w:t xml:space="preserve">S16  </w:t>
      </w:r>
      <w:hyperlink r:id="rId30">
        <w:r>
          <w:rPr>
            <w:color w:val="155A85"/>
            <w:u w:val="single"/>
            <w:sz w:val="18"/>
          </w:rPr>
          <w:t>supabase/​functions/​momobio-sms-ingest/​index.ts</w:t>
        </w:r>
      </w:hyperlink>
    </w:p>
    <w:p>
      <w:pPr>
        <w:keepLines/>
        <w:spacing w:after="100"/>
      </w:pPr>
      <w:r>
        <w:rPr>
          <w:b/>
          <w:sz w:val="18"/>
          <w:sz w:val="18"/>
        </w:rPr>
        <w:t xml:space="preserve">S17  </w:t>
      </w:r>
      <w:hyperlink r:id="rId31">
        <w:r>
          <w:rPr>
            <w:color w:val="155A85"/>
            <w:u w:val="single"/>
            <w:sz w:val="18"/>
          </w:rPr>
          <w:t>supabase/​migrations/​20260324175000_​comprehensive_​rpcs.sql</w:t>
        </w:r>
      </w:hyperlink>
    </w:p>
    <w:p>
      <w:pPr>
        <w:keepLines/>
        <w:spacing w:after="100"/>
      </w:pPr>
      <w:r>
        <w:rPr>
          <w:b/>
          <w:sz w:val="18"/>
          <w:sz w:val="18"/>
        </w:rPr>
        <w:t xml:space="preserve">S18  </w:t>
      </w:r>
      <w:hyperlink r:id="rId32">
        <w:r>
          <w:rPr>
            <w:color w:val="155A85"/>
            <w:u w:val="single"/>
            <w:sz w:val="18"/>
          </w:rPr>
          <w:t>supabase/​migrations/​20260615103000_​wallet_​subscription_​production_​readiness.sql</w:t>
        </w:r>
      </w:hyperlink>
    </w:p>
    <w:p>
      <w:pPr>
        <w:keepLines/>
        <w:spacing w:after="100"/>
      </w:pPr>
      <w:r>
        <w:rPr>
          <w:b/>
          <w:sz w:val="18"/>
          <w:sz w:val="18"/>
        </w:rPr>
        <w:t xml:space="preserve">S19  </w:t>
      </w:r>
      <w:hyperlink r:id="rId33">
        <w:r>
          <w:rPr>
            <w:color w:val="155A85"/>
            <w:u w:val="single"/>
            <w:sz w:val="18"/>
          </w:rPr>
          <w:t>lib/​shared/​widgets/​driver_​card.dart</w:t>
        </w:r>
      </w:hyperlink>
    </w:p>
    <w:p>
      <w:pPr>
        <w:keepLines/>
        <w:spacing w:after="100"/>
      </w:pPr>
      <w:r>
        <w:rPr>
          <w:b/>
          <w:sz w:val="18"/>
          <w:sz w:val="18"/>
        </w:rPr>
        <w:t xml:space="preserve">S20  </w:t>
      </w:r>
      <w:hyperlink r:id="rId34">
        <w:r>
          <w:rPr>
            <w:color w:val="155A85"/>
            <w:u w:val="single"/>
            <w:sz w:val="18"/>
          </w:rPr>
          <w:t>lib/​features/​bookings/​presentation/​bookings_​screen.dart</w:t>
        </w:r>
      </w:hyperlink>
    </w:p>
    <w:p>
      <w:pPr>
        <w:keepLines/>
        <w:spacing w:after="100"/>
      </w:pPr>
      <w:r>
        <w:rPr>
          <w:b/>
          <w:sz w:val="18"/>
          <w:sz w:val="18"/>
        </w:rPr>
        <w:t xml:space="preserve">S21  </w:t>
      </w:r>
      <w:hyperlink r:id="rId35">
        <w:r>
          <w:rPr>
            <w:color w:val="155A85"/>
            <w:u w:val="single"/>
            <w:sz w:val="18"/>
          </w:rPr>
          <w:t>lib/​features/​profile/​presentation/​profile_​screen.dart</w:t>
        </w:r>
      </w:hyperlink>
    </w:p>
    <w:p>
      <w:pPr>
        <w:keepLines/>
        <w:spacing w:after="100"/>
      </w:pPr>
      <w:r>
        <w:rPr>
          <w:b/>
          <w:sz w:val="18"/>
          <w:sz w:val="18"/>
        </w:rPr>
        <w:t xml:space="preserve">S22  </w:t>
      </w:r>
      <w:hyperlink r:id="rId36">
        <w:r>
          <w:rPr>
            <w:color w:val="155A85"/>
            <w:u w:val="single"/>
            <w:sz w:val="18"/>
          </w:rPr>
          <w:t>supabase/​migrations/​20260611170000_​public_​transport_​rpc_​column_​qualification.sql</w:t>
        </w:r>
      </w:hyperlink>
    </w:p>
    <w:p>
      <w:pPr>
        <w:keepLines/>
        <w:spacing w:after="100"/>
      </w:pPr>
      <w:r>
        <w:rPr>
          <w:b/>
          <w:sz w:val="18"/>
          <w:sz w:val="18"/>
        </w:rPr>
        <w:t xml:space="preserve">S23  </w:t>
      </w:r>
      <w:hyperlink r:id="rId40">
        <w:r>
          <w:rPr>
            <w:color w:val="155A85"/>
            <w:u w:val="single"/>
            <w:sz w:val="18"/>
          </w:rPr>
          <w:t>supabase/​migrations/​20260915003031_​harden_​driver_​discovery_​identity.sql</w:t>
        </w:r>
      </w:hyperlink>
    </w:p>
    <w:p>
      <w:pPr>
        <w:keepLines/>
        <w:spacing w:after="100"/>
      </w:pPr>
      <w:r>
        <w:rPr>
          <w:b/>
          <w:sz w:val="18"/>
          <w:sz w:val="18"/>
        </w:rPr>
        <w:t xml:space="preserve">S24  </w:t>
      </w:r>
      <w:hyperlink r:id="rId41">
        <w:r>
          <w:rPr>
            <w:color w:val="155A85"/>
            <w:u w:val="single"/>
            <w:sz w:val="18"/>
          </w:rPr>
          <w:t>supabase/​functions/​parse-sms/​index.ts</w:t>
        </w:r>
      </w:hyperlink>
    </w:p>
    <w:p>
      <w:pPr>
        <w:keepLines/>
        <w:spacing w:after="100"/>
      </w:pPr>
      <w:r>
        <w:rPr>
          <w:b/>
          <w:sz w:val="18"/>
          <w:sz w:val="18"/>
        </w:rPr>
        <w:t xml:space="preserve">S25  </w:t>
      </w:r>
      <w:hyperlink r:id="rId42">
        <w:r>
          <w:rPr>
            <w:color w:val="155A85"/>
            <w:u w:val="single"/>
            <w:sz w:val="18"/>
          </w:rPr>
          <w:t>supabase/​functions/​reconcile-momo-sms/​index.ts</w:t>
        </w:r>
      </w:hyperlink>
    </w:p>
    <w:p>
      <w:pPr>
        <w:keepLines/>
        <w:spacing w:after="100"/>
      </w:pPr>
      <w:r>
        <w:rPr>
          <w:b/>
          <w:sz w:val="18"/>
          <w:sz w:val="18"/>
        </w:rPr>
        <w:t xml:space="preserve">S26  </w:t>
      </w:r>
      <w:hyperlink r:id="rId43">
        <w:r>
          <w:rPr>
            <w:color w:val="155A85"/>
            <w:u w:val="single"/>
            <w:sz w:val="18"/>
          </w:rPr>
          <w:t>supabase/​functions/​_​shared/​play-integrity.ts</w:t>
        </w:r>
      </w:hyperlink>
    </w:p>
    <w:p>
      <w:pPr>
        <w:keepLines/>
        <w:spacing w:after="100"/>
      </w:pPr>
      <w:r>
        <w:rPr>
          <w:b/>
          <w:sz w:val="18"/>
          <w:sz w:val="18"/>
        </w:rPr>
        <w:t xml:space="preserve">S27  </w:t>
      </w:r>
      <w:hyperlink r:id="rId44">
        <w:r>
          <w:rPr>
            <w:color w:val="155A85"/>
            <w:u w:val="single"/>
            <w:sz w:val="18"/>
          </w:rPr>
          <w:t>supabase/​functions/​_​shared/​play-review-login.ts</w:t>
        </w:r>
      </w:hyperlink>
    </w:p>
    <w:p>
      <w:pPr>
        <w:keepLines/>
        <w:spacing w:after="100"/>
      </w:pPr>
      <w:r>
        <w:rPr>
          <w:b/>
          <w:sz w:val="18"/>
          <w:sz w:val="18"/>
        </w:rPr>
        <w:t xml:space="preserve">S28  </w:t>
      </w:r>
      <w:hyperlink r:id="rId45">
        <w:r>
          <w:rPr>
            <w:color w:val="155A85"/>
            <w:u w:val="single"/>
            <w:sz w:val="18"/>
          </w:rPr>
          <w:t>supabase/​functions/​_​shared/​whatsapp-cloud.ts</w:t>
        </w:r>
      </w:hyperlink>
    </w:p>
    <w:p>
      <w:pPr>
        <w:keepLines/>
        <w:spacing w:after="100"/>
      </w:pPr>
      <w:r>
        <w:rPr>
          <w:b/>
          <w:sz w:val="18"/>
          <w:sz w:val="18"/>
        </w:rPr>
        <w:t xml:space="preserve">S29  </w:t>
      </w:r>
      <w:hyperlink r:id="rId47">
        <w:r>
          <w:rPr>
            <w:color w:val="155A85"/>
            <w:u w:val="single"/>
            <w:sz w:val="18"/>
          </w:rPr>
          <w:t>lib/​app/​router/​screen_​wrappers.dart</w:t>
        </w:r>
      </w:hyperlink>
    </w:p>
    <w:p>
      <w:pPr>
        <w:keepLines/>
        <w:spacing w:after="100"/>
      </w:pPr>
      <w:r>
        <w:rPr>
          <w:b/>
          <w:sz w:val="18"/>
          <w:sz w:val="18"/>
        </w:rPr>
        <w:t xml:space="preserve">S30  </w:t>
      </w:r>
      <w:hyperlink r:id="rId48">
        <w:r>
          <w:rPr>
            <w:color w:val="155A85"/>
            <w:u w:val="single"/>
            <w:sz w:val="18"/>
          </w:rPr>
          <w:t>lib/​core/​auth/​supabase_​session_​service.dart</w:t>
        </w:r>
      </w:hyperlink>
    </w:p>
    <w:p>
      <w:pPr>
        <w:keepLines/>
        <w:spacing w:after="100"/>
      </w:pPr>
      <w:r>
        <w:rPr>
          <w:b/>
          <w:sz w:val="18"/>
          <w:sz w:val="18"/>
        </w:rPr>
        <w:t xml:space="preserve">S31  </w:t>
      </w:r>
      <w:hyperlink r:id="rId49">
        <w:r>
          <w:rPr>
            <w:color w:val="155A85"/>
            <w:u w:val="single"/>
            <w:sz w:val="18"/>
          </w:rPr>
          <w:t>lib/​app/​shell.dart</w:t>
        </w:r>
      </w:hyperlink>
    </w:p>
    <w:p>
      <w:pPr>
        <w:keepLines/>
        <w:spacing w:after="100"/>
      </w:pPr>
      <w:r>
        <w:rPr>
          <w:b/>
          <w:sz w:val="18"/>
          <w:sz w:val="18"/>
        </w:rPr>
        <w:t xml:space="preserve">S32  </w:t>
      </w:r>
      <w:hyperlink r:id="rId50">
        <w:r>
          <w:rPr>
            <w:color w:val="155A85"/>
            <w:u w:val="single"/>
            <w:sz w:val="18"/>
          </w:rPr>
          <w:t>lib/​features/​notifications/​data/​push_​notification_​service.dart</w:t>
        </w:r>
      </w:hyperlink>
    </w:p>
    <w:p>
      <w:pPr>
        <w:keepLines/>
        <w:spacing w:after="100"/>
      </w:pPr>
      <w:r>
        <w:rPr>
          <w:b/>
          <w:sz w:val="18"/>
          <w:sz w:val="18"/>
        </w:rPr>
        <w:t xml:space="preserve">S33  </w:t>
      </w:r>
      <w:hyperlink r:id="rId51">
        <w:r>
          <w:rPr>
            <w:color w:val="155A85"/>
            <w:u w:val="single"/>
            <w:sz w:val="18"/>
          </w:rPr>
          <w:t>supabase/​migrations/​20260612103000_​full_​stack_​notification_​delivery.sql</w:t>
        </w:r>
      </w:hyperlink>
    </w:p>
    <w:p>
      <w:pPr>
        <w:keepLines/>
        <w:spacing w:after="100"/>
      </w:pPr>
      <w:r>
        <w:rPr>
          <w:b/>
          <w:sz w:val="18"/>
          <w:sz w:val="18"/>
        </w:rPr>
        <w:t xml:space="preserve">S34  </w:t>
      </w:r>
      <w:hyperlink r:id="rId52">
        <w:r>
          <w:rPr>
            <w:color w:val="155A85"/>
            <w:u w:val="single"/>
            <w:sz w:val="18"/>
          </w:rPr>
          <w:t>lib/​app/​router/​app_​router.dart</w:t>
        </w:r>
      </w:hyperlink>
    </w:p>
    <w:p>
      <w:pPr>
        <w:keepLines/>
        <w:spacing w:after="100"/>
      </w:pPr>
      <w:r>
        <w:rPr>
          <w:b/>
          <w:sz w:val="18"/>
          <w:sz w:val="18"/>
        </w:rPr>
        <w:t xml:space="preserve">S35  </w:t>
      </w:r>
      <w:hyperlink r:id="rId53">
        <w:r>
          <w:rPr>
            <w:color w:val="155A85"/>
            <w:u w:val="single"/>
            <w:sz w:val="18"/>
          </w:rPr>
          <w:t>lib/​core/​auth/​admin_​session_​guard.dart</w:t>
        </w:r>
      </w:hyperlink>
    </w:p>
    <w:p>
      <w:pPr>
        <w:keepLines/>
        <w:spacing w:after="100"/>
      </w:pPr>
      <w:r>
        <w:rPr>
          <w:b/>
          <w:sz w:val="18"/>
          <w:sz w:val="18"/>
        </w:rPr>
        <w:t xml:space="preserve">S36  </w:t>
      </w:r>
      <w:hyperlink r:id="rId54">
        <w:r>
          <w:rPr>
            <w:color w:val="155A85"/>
            <w:u w:val="single"/>
            <w:sz w:val="18"/>
          </w:rPr>
          <w:t>lib/​app/​bootstrap.dart</w:t>
        </w:r>
      </w:hyperlink>
    </w:p>
    <w:p>
      <w:pPr>
        <w:keepLines/>
        <w:spacing w:after="100"/>
      </w:pPr>
      <w:r>
        <w:rPr>
          <w:b/>
          <w:sz w:val="18"/>
          <w:sz w:val="18"/>
        </w:rPr>
        <w:t xml:space="preserve">S37  </w:t>
      </w:r>
      <w:hyperlink r:id="rId55">
        <w:r>
          <w:rPr>
            <w:color w:val="155A85"/>
            <w:u w:val="single"/>
            <w:sz w:val="18"/>
          </w:rPr>
          <w:t>android/​app/​src/​main/​kotlin/​rw/​mobi/​app/​MainActivity.kt</w:t>
        </w:r>
      </w:hyperlink>
    </w:p>
    <w:p>
      <w:pPr>
        <w:keepLines/>
        <w:spacing w:after="100"/>
      </w:pPr>
      <w:r>
        <w:rPr>
          <w:b/>
          <w:sz w:val="18"/>
          <w:sz w:val="18"/>
        </w:rPr>
        <w:t xml:space="preserve">S38  </w:t>
      </w:r>
      <w:hyperlink r:id="rId56">
        <w:r>
          <w:rPr>
            <w:color w:val="155A85"/>
            <w:u w:val="single"/>
            <w:sz w:val="18"/>
          </w:rPr>
          <w:t>android/​app/​src/​main/​kotlin/​rw/​mobi/​app/​BioPayHostApduService.kt</w:t>
        </w:r>
      </w:hyperlink>
    </w:p>
    <w:p>
      <w:pPr>
        <w:keepLines/>
        <w:spacing w:after="100"/>
      </w:pPr>
      <w:r>
        <w:rPr>
          <w:b/>
          <w:sz w:val="18"/>
          <w:sz w:val="18"/>
        </w:rPr>
        <w:t xml:space="preserve">S39  </w:t>
      </w:r>
      <w:hyperlink r:id="rId57">
        <w:r>
          <w:rPr>
            <w:color w:val="155A85"/>
            <w:u w:val="single"/>
            <w:sz w:val="18"/>
          </w:rPr>
          <w:t>lib/​features/​biopay/​presentation/​biopay_​nfc_​screen.dart</w:t>
        </w:r>
      </w:hyperlink>
    </w:p>
    <w:p>
      <w:pPr>
        <w:keepLines/>
        <w:spacing w:after="100"/>
      </w:pPr>
      <w:r>
        <w:rPr>
          <w:b/>
          <w:sz w:val="18"/>
          <w:sz w:val="18"/>
        </w:rPr>
        <w:t xml:space="preserve">S40  </w:t>
      </w:r>
      <w:hyperlink r:id="rId58">
        <w:r>
          <w:rPr>
            <w:color w:val="155A85"/>
            <w:u w:val="single"/>
            <w:sz w:val="18"/>
          </w:rPr>
          <w:t>android/​app/​build.gradle.kts</w:t>
        </w:r>
      </w:hyperlink>
    </w:p>
    <w:p>
      <w:pPr>
        <w:keepLines/>
        <w:spacing w:after="100"/>
      </w:pPr>
      <w:r>
        <w:rPr>
          <w:b/>
          <w:sz w:val="18"/>
          <w:sz w:val="18"/>
        </w:rPr>
        <w:t xml:space="preserve">S41  </w:t>
      </w:r>
      <w:hyperlink r:id="rId61">
        <w:r>
          <w:rPr>
            <w:color w:val="155A85"/>
            <w:u w:val="single"/>
            <w:sz w:val="18"/>
          </w:rPr>
          <w:t>scripts/​ci/​verify_​ios_​release.sh</w:t>
        </w:r>
      </w:hyperlink>
    </w:p>
    <w:p>
      <w:pPr>
        <w:keepLines/>
        <w:spacing w:after="100"/>
      </w:pPr>
      <w:r>
        <w:rPr>
          <w:b/>
          <w:sz w:val="18"/>
          <w:sz w:val="18"/>
        </w:rPr>
        <w:t xml:space="preserve">S42  </w:t>
      </w:r>
      <w:hyperlink r:id="rId64">
        <w:r>
          <w:rPr>
            <w:color w:val="155A85"/>
            <w:u w:val="single"/>
            <w:sz w:val="18"/>
          </w:rPr>
          <w:t>apps/​momobio_​sms_​bridge/​scripts/​device_​uat.sh</w:t>
        </w:r>
      </w:hyperlink>
    </w:p>
    <w:p>
      <w:pPr>
        <w:keepLines/>
        <w:spacing w:after="100"/>
      </w:pPr>
      <w:r>
        <w:rPr>
          <w:b/>
          <w:sz w:val="18"/>
          <w:sz w:val="18"/>
        </w:rPr>
        <w:t xml:space="preserve">S43  </w:t>
      </w:r>
      <w:hyperlink r:id="rId65">
        <w:r>
          <w:rPr>
            <w:color w:val="155A85"/>
            <w:u w:val="single"/>
            <w:sz w:val="18"/>
          </w:rPr>
          <w:t>apps/​momobio_​sms_​bridge/​app/​src/​main/​java/​com/​momobio/​app/​SmsReceiver.kt</w:t>
        </w:r>
      </w:hyperlink>
    </w:p>
    <w:p>
      <w:pPr>
        <w:keepLines/>
        <w:spacing w:after="100"/>
      </w:pPr>
      <w:r>
        <w:rPr>
          <w:b/>
          <w:sz w:val="18"/>
          <w:sz w:val="18"/>
        </w:rPr>
        <w:t xml:space="preserve">S44  </w:t>
      </w:r>
      <w:hyperlink r:id="rId66">
        <w:r>
          <w:rPr>
            <w:color w:val="155A85"/>
            <w:u w:val="single"/>
            <w:sz w:val="18"/>
          </w:rPr>
          <w:t>apps/​momobio_​sms_​bridge/​app/​src/​main/​java/​com/​momobio/​app/​SmsQueue.kt</w:t>
        </w:r>
      </w:hyperlink>
    </w:p>
    <w:p>
      <w:pPr>
        <w:keepLines/>
        <w:spacing w:after="100"/>
      </w:pPr>
      <w:r>
        <w:rPr>
          <w:b/>
          <w:sz w:val="18"/>
          <w:sz w:val="18"/>
        </w:rPr>
        <w:t xml:space="preserve">S45  </w:t>
      </w:r>
      <w:hyperlink r:id="rId67">
        <w:r>
          <w:rPr>
            <w:color w:val="155A85"/>
            <w:u w:val="single"/>
            <w:sz w:val="18"/>
          </w:rPr>
          <w:t>apps/​momobio_​sms_​bridge/​app/​src/​main/​java/​com/​momobio/​app/​UploadClient.kt</w:t>
        </w:r>
      </w:hyperlink>
    </w:p>
    <w:p>
      <w:pPr>
        <w:keepLines/>
        <w:spacing w:after="100"/>
      </w:pPr>
      <w:r>
        <w:rPr>
          <w:b/>
          <w:sz w:val="18"/>
          <w:sz w:val="18"/>
        </w:rPr>
        <w:t xml:space="preserve">S46  </w:t>
      </w:r>
      <w:hyperlink r:id="rId70">
        <w:r>
          <w:rPr>
            <w:color w:val="155A85"/>
            <w:u w:val="single"/>
            <w:sz w:val="18"/>
          </w:rPr>
          <w:t>lib/​l10n/​app_​en.arb</w:t>
        </w:r>
      </w:hyperlink>
    </w:p>
    <w:p>
      <w:pPr>
        <w:keepLines/>
        <w:spacing w:after="100"/>
      </w:pPr>
      <w:r>
        <w:rPr>
          <w:b/>
          <w:sz w:val="18"/>
          <w:sz w:val="18"/>
        </w:rPr>
        <w:t xml:space="preserve">S47  </w:t>
      </w:r>
      <w:hyperlink r:id="rId71">
        <w:r>
          <w:rPr>
            <w:color w:val="155A85"/>
            <w:u w:val="single"/>
            <w:sz w:val="18"/>
          </w:rPr>
          <w:t>design.md</w:t>
        </w:r>
      </w:hyperlink>
    </w:p>
    <w:p>
      <w:pPr>
        <w:keepLines/>
        <w:spacing w:after="100"/>
      </w:pPr>
      <w:r>
        <w:rPr>
          <w:b/>
          <w:sz w:val="18"/>
          <w:sz w:val="18"/>
        </w:rPr>
        <w:t xml:space="preserve">S48  </w:t>
      </w:r>
      <w:hyperlink r:id="rId77">
        <w:r>
          <w:rPr>
            <w:color w:val="155A85"/>
            <w:u w:val="single"/>
            <w:sz w:val="18"/>
          </w:rPr>
          <w:t>cloudflare/​face-service/​wrangler.jsonc</w:t>
        </w:r>
      </w:hyperlink>
    </w:p>
    <w:p>
      <w:pPr>
        <w:keepLines/>
        <w:spacing w:after="100"/>
      </w:pPr>
      <w:r>
        <w:rPr>
          <w:b/>
          <w:sz w:val="18"/>
          <w:sz w:val="18"/>
        </w:rPr>
        <w:t xml:space="preserve">S49  </w:t>
      </w:r>
      <w:hyperlink r:id="rId80">
        <w:r>
          <w:rPr>
            <w:color w:val="155A85"/>
            <w:u w:val="single"/>
            <w:sz w:val="18"/>
          </w:rPr>
          <w:t>landing/​terms-and-conditions.html</w:t>
        </w:r>
      </w:hyperlink>
    </w:p>
    <w:p>
      <w:pPr>
        <w:keepLines/>
        <w:spacing w:after="100"/>
      </w:pPr>
      <w:r>
        <w:rPr>
          <w:b/>
          <w:sz w:val="18"/>
          <w:sz w:val="18"/>
        </w:rPr>
        <w:t xml:space="preserve">S50  </w:t>
      </w:r>
      <w:hyperlink r:id="rId81">
        <w:r>
          <w:rPr>
            <w:color w:val="155A85"/>
            <w:u w:val="single"/>
            <w:sz w:val="18"/>
          </w:rPr>
          <w:t>landing/​privacy-policy.html</w:t>
        </w:r>
      </w:hyperlink>
    </w:p>
    <w:p>
      <w:pPr>
        <w:keepLines/>
        <w:spacing w:after="100"/>
      </w:pPr>
      <w:r>
        <w:rPr>
          <w:b/>
          <w:sz w:val="18"/>
          <w:sz w:val="18"/>
        </w:rPr>
        <w:t xml:space="preserve">S51  </w:t>
      </w:r>
      <w:hyperlink r:id="rId82">
        <w:r>
          <w:rPr>
            <w:color w:val="155A85"/>
            <w:u w:val="single"/>
            <w:sz w:val="18"/>
          </w:rPr>
          <w:t>docs/​compliance/​data-inventory.md</w:t>
        </w:r>
      </w:hyperlink>
    </w:p>
    <w:p>
      <w:pPr>
        <w:keepLines/>
        <w:spacing w:after="100"/>
      </w:pPr>
      <w:r>
        <w:rPr>
          <w:b/>
          <w:sz w:val="18"/>
          <w:sz w:val="18"/>
        </w:rPr>
        <w:t xml:space="preserve">S52  </w:t>
      </w:r>
      <w:hyperlink r:id="rId83">
        <w:r>
          <w:rPr>
            <w:color w:val="155A85"/>
            <w:u w:val="single"/>
            <w:sz w:val="18"/>
          </w:rPr>
          <w:t>ios/​Runner/​Info.plist</w:t>
        </w:r>
      </w:hyperlink>
    </w:p>
    <w:p>
      <w:pPr>
        <w:keepLines/>
        <w:spacing w:after="100"/>
      </w:pPr>
      <w:r>
        <w:rPr>
          <w:b/>
          <w:sz w:val="18"/>
          <w:sz w:val="18"/>
        </w:rPr>
        <w:t xml:space="preserve">S53  </w:t>
      </w:r>
      <w:hyperlink r:id="rId84">
        <w:r>
          <w:rPr>
            <w:color w:val="155A85"/>
            <w:u w:val="single"/>
            <w:sz w:val="18"/>
          </w:rPr>
          <w:t>landing/​account-deletion.html</w:t>
        </w:r>
      </w:hyperlink>
    </w:p>
    <w:p>
      <w:pPr>
        <w:keepLines/>
        <w:spacing w:after="100"/>
      </w:pPr>
      <w:r>
        <w:rPr>
          <w:b/>
          <w:sz w:val="18"/>
          <w:sz w:val="18"/>
        </w:rPr>
        <w:t xml:space="preserve">S54  </w:t>
      </w:r>
      <w:hyperlink r:id="rId95">
        <w:r>
          <w:rPr>
            <w:color w:val="155A85"/>
            <w:u w:val="single"/>
            <w:sz w:val="18"/>
          </w:rPr>
          <w:t>scripts/​ci/​check_​github_​actions_​pinned.sh</w:t>
        </w:r>
      </w:hyperlink>
    </w:p>
    <w:p>
      <w:pPr>
        <w:keepLines/>
        <w:spacing w:after="100"/>
      </w:pPr>
      <w:r>
        <w:rPr>
          <w:b/>
          <w:sz w:val="18"/>
          <w:sz w:val="18"/>
        </w:rPr>
        <w:t xml:space="preserve">S55  </w:t>
      </w:r>
      <w:hyperlink r:id="rId96">
        <w:r>
          <w:rPr>
            <w:color w:val="155A85"/>
            <w:u w:val="single"/>
            <w:sz w:val="18"/>
          </w:rPr>
          <w:t>.github/​workflows/​cloudflare-pages.yml</w:t>
        </w:r>
      </w:hyperlink>
    </w:p>
    <w:p>
      <w:pPr>
        <w:keepLines/>
        <w:spacing w:after="100"/>
      </w:pPr>
      <w:r>
        <w:rPr>
          <w:b/>
          <w:sz w:val="18"/>
          <w:sz w:val="18"/>
        </w:rPr>
        <w:t xml:space="preserve">S56  </w:t>
      </w:r>
      <w:hyperlink r:id="rId98">
        <w:r>
          <w:rPr>
            <w:color w:val="155A85"/>
            <w:u w:val="single"/>
            <w:sz w:val="18"/>
          </w:rPr>
          <w:t>.github/​workflows/​ci.yml</w:t>
        </w:r>
      </w:hyperlink>
    </w:p>
    <w:p>
      <w:pPr>
        <w:keepLines/>
        <w:spacing w:after="100"/>
      </w:pPr>
      <w:r>
        <w:rPr>
          <w:b/>
          <w:sz w:val="18"/>
          <w:sz w:val="18"/>
        </w:rPr>
        <w:t xml:space="preserve">S57  </w:t>
      </w:r>
      <w:hyperlink r:id="rId99">
        <w:r>
          <w:rPr>
            <w:color w:val="155A85"/>
            <w:u w:val="single"/>
            <w:sz w:val="18"/>
          </w:rPr>
          <w:t>.github/​workflows/​release.yml</w:t>
        </w:r>
      </w:hyperlink>
    </w:p>
    <w:p>
      <w:pPr>
        <w:keepLines/>
        <w:spacing w:after="100"/>
      </w:pPr>
      <w:r>
        <w:rPr>
          <w:b/>
          <w:sz w:val="18"/>
          <w:sz w:val="18"/>
        </w:rPr>
        <w:t xml:space="preserve">S58  </w:t>
      </w:r>
      <w:hyperlink r:id="rId100">
        <w:r>
          <w:rPr>
            <w:color w:val="155A85"/>
            <w:u w:val="single"/>
            <w:sz w:val="18"/>
          </w:rPr>
          <w:t>scripts/​qa/​verify_​mobio_​feature_​readiness.sh</w:t>
        </w:r>
      </w:hyperlink>
    </w:p>
    <w:p>
      <w:pPr>
        <w:keepLines/>
        <w:spacing w:after="100"/>
      </w:pPr>
      <w:r>
        <w:rPr>
          <w:b/>
          <w:sz w:val="18"/>
          <w:sz w:val="18"/>
        </w:rPr>
        <w:t xml:space="preserve">S59  </w:t>
      </w:r>
      <w:hyperlink r:id="rId102">
        <w:r>
          <w:rPr>
            <w:color w:val="155A85"/>
            <w:u w:val="single"/>
            <w:sz w:val="18"/>
          </w:rPr>
          <w:t>supabase/​functions/​send-push/​index.ts</w:t>
        </w:r>
      </w:hyperlink>
    </w:p>
    <w:p>
      <w:pPr>
        <w:keepLines/>
        <w:spacing w:after="100"/>
      </w:pPr>
      <w:r>
        <w:rPr>
          <w:b/>
          <w:sz w:val="18"/>
          <w:sz w:val="18"/>
        </w:rPr>
        <w:t xml:space="preserve">S60  </w:t>
      </w:r>
      <w:hyperlink r:id="rId103">
        <w:r>
          <w:rPr>
            <w:color w:val="155A85"/>
            <w:u w:val="single"/>
            <w:sz w:val="18"/>
          </w:rPr>
          <w:t>supabase/​migrations/​20260914203228_​repair_​notification_​trigger_​http_​dispatch.sql</w:t>
        </w:r>
      </w:hyperlink>
    </w:p>
    <w:sectPr w:rsidR="00FC693F" w:rsidRPr="0006063C" w:rsidSect="00034616">
      <w:headerReference w:type="default" r:id="rId9"/>
      <w:footerReference w:type="default" r:id="rId10"/>
      <w:pgSz w:w="12240" w:h="15840"/>
      <w:pgMar w:top="1037" w:right="1195" w:bottom="979" w:left="119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MOBIO  |  PRODUCTION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7" w:lineRule="auto"/>
    </w:pPr>
    <w:rPr>
      <w:rFonts w:ascii="Aptos" w:hAnsi="Aptos"/>
      <w:color w:val="000000"/>
      <w:sz w:val="22"/>
      <w:lan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4"/>
      <w:szCs w:val="28"/>
      <w:lang/>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000000"/>
      <w:sz w:val="26"/>
      <w:szCs w:val="26"/>
      <w:lang/>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00000"/>
      <w:sz w:val="23"/>
      <w:lang/>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w:hAnsi="Aptos"/>
      <w:b/>
      <w:color w:val="000000"/>
      <w:spacing w:val="5"/>
      <w:kern w:val="28"/>
      <w:sz w:val="54"/>
      <w:szCs w:val="52"/>
      <w:lang/>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tos" w:hAnsi="Aptos"/>
      <w:i/>
      <w:iCs/>
      <w:color w:val="000000"/>
      <w:spacing w:val="15"/>
      <w:sz w:val="24"/>
      <w:szCs w:val="24"/>
      <w:lang/>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U9Gh2ytbDQ_SXTqCYF18iN1z5jIV2IDR/view?usp=drivesdk" TargetMode="External"/><Relationship Id="rId12" Type="http://schemas.openxmlformats.org/officeDocument/2006/relationships/hyperlink" Target="https://drive.google.com/file/d/1Ql7MVmCXqbgiB8DwU11kDXAjNmRtYF-k/view?usp=drivesdk" TargetMode="External"/><Relationship Id="rId13" Type="http://schemas.openxmlformats.org/officeDocument/2006/relationships/hyperlink" Target="https://drive.google.com/file/d/1XxJhNi8GfIhVLhTKIOHHbaEnyZvkxtrK/view?usp=drivesdk" TargetMode="External"/><Relationship Id="rId14" Type="http://schemas.openxmlformats.org/officeDocument/2006/relationships/hyperlink" Target="https://drive.google.com/file/d/190BYE2qz7Hc58j2hl-xYbAf9ELpsk-2j/view?usp=drivesdk" TargetMode="External"/><Relationship Id="rId15" Type="http://schemas.openxmlformats.org/officeDocument/2006/relationships/hyperlink" Target="https://drive.google.com/file/d/1ZZirRSJC9L7RrPqrkYyf-5jfkDgWNObn/view?usp=drivesdk" TargetMode="External"/><Relationship Id="rId16" Type="http://schemas.openxmlformats.org/officeDocument/2006/relationships/hyperlink" Target="https://drive.google.com/file/d/136APTPnN8zAuWaz234YnklZee-Y6_WGb/view?usp=drivesdk" TargetMode="External"/><Relationship Id="rId17" Type="http://schemas.openxmlformats.org/officeDocument/2006/relationships/hyperlink" Target="https://drive.google.com/file/d/1vZVjzSVzBGDPvEDyH5wTO996VJbSCDGt/view?usp=drivesdk" TargetMode="External"/><Relationship Id="rId18" Type="http://schemas.openxmlformats.org/officeDocument/2006/relationships/hyperlink" Target="https://drive.google.com/drive/folders/120JIOTyeNX6nHaHPDqS3UgbaTWyJAE57" TargetMode="External"/><Relationship Id="rId19" Type="http://schemas.openxmlformats.org/officeDocument/2006/relationships/hyperlink" Target="https://support.google.com/googleplay/android-developer/answer/9842756?hl=en" TargetMode="External"/><Relationship Id="rId20" Type="http://schemas.openxmlformats.org/officeDocument/2006/relationships/hyperlink" Target="https://drive.google.com/file/d/1h4svjoUNZVOu5_kZOWH3XMtGKfnOqP2l/view?usp=drivesdk" TargetMode="External"/><Relationship Id="rId21" Type="http://schemas.openxmlformats.org/officeDocument/2006/relationships/hyperlink" Target="https://drive.google.com/file/d/1iPUAzOiUANdBMpfbyHZgffrhTR3njUz1/view?usp=drivesdk" TargetMode="External"/><Relationship Id="rId22" Type="http://schemas.openxmlformats.org/officeDocument/2006/relationships/hyperlink" Target="https://drive.google.com/file/d/1rLnSrgP58oGUWfhbZqV18wBkV-xUvuGO/view?usp=drivesdk" TargetMode="External"/><Relationship Id="rId23" Type="http://schemas.openxmlformats.org/officeDocument/2006/relationships/hyperlink" Target="https://drive.google.com/file/d/1VzfemejMhTryu0KVQFVpt8lxcSH57O4N/view?usp=drivesdk" TargetMode="External"/><Relationship Id="rId24" Type="http://schemas.openxmlformats.org/officeDocument/2006/relationships/hyperlink" Target="https://drive.google.com/file/d/1rgP7K6iACtSIV9YJI6_7tmzawe63L1r6/view?usp=drivesdk" TargetMode="External"/><Relationship Id="rId25" Type="http://schemas.openxmlformats.org/officeDocument/2006/relationships/hyperlink" Target="https://supabase.com/docs/guides/database/postgres/row-level-security" TargetMode="External"/><Relationship Id="rId26" Type="http://schemas.openxmlformats.org/officeDocument/2006/relationships/hyperlink" Target="https://api-security.owasp.org/editions/2023/en/0xa3-broken-object-property-level-authorization/" TargetMode="External"/><Relationship Id="rId27" Type="http://schemas.openxmlformats.org/officeDocument/2006/relationships/hyperlink" Target="https://drive.google.com/file/d/1PcLY4jkG2pCwPilr22NSbzjK9LsjgnEV/view?usp=drivesdk" TargetMode="External"/><Relationship Id="rId28" Type="http://schemas.openxmlformats.org/officeDocument/2006/relationships/hyperlink" Target="https://drive.google.com/file/d/1jy2qeudD4ypMt6bl6SltIQwb3KGpece7/view?usp=drivesdk" TargetMode="External"/><Relationship Id="rId29" Type="http://schemas.openxmlformats.org/officeDocument/2006/relationships/hyperlink" Target="https://drive.google.com/file/d/1VLrjCisiaiRqSAoExNMKwOtQXGdWo2TW/view?usp=drivesdk" TargetMode="External"/><Relationship Id="rId30" Type="http://schemas.openxmlformats.org/officeDocument/2006/relationships/hyperlink" Target="https://drive.google.com/file/d/1ABtcrIk1N1ve9MSKEpHlyDgu4FLI8yKi/view?usp=drivesdk" TargetMode="External"/><Relationship Id="rId31" Type="http://schemas.openxmlformats.org/officeDocument/2006/relationships/hyperlink" Target="https://drive.google.com/file/d/13yI6aGP0ZoPmYKSFL-PiftK-FD0VkBO-/view?usp=drivesdk" TargetMode="External"/><Relationship Id="rId32" Type="http://schemas.openxmlformats.org/officeDocument/2006/relationships/hyperlink" Target="https://drive.google.com/file/d/1syAbt8UMMZOy6wge17d8L-5mWMd9PJoB/view?usp=drivesdk" TargetMode="External"/><Relationship Id="rId33" Type="http://schemas.openxmlformats.org/officeDocument/2006/relationships/hyperlink" Target="https://drive.google.com/file/d/1hRnWoaxzK82JOeJgjc8LZUOlMOX-ga2N/view?usp=drivesdk" TargetMode="External"/><Relationship Id="rId34" Type="http://schemas.openxmlformats.org/officeDocument/2006/relationships/hyperlink" Target="https://drive.google.com/file/d/133jijD3OWgkiq8kvYppJsiGdn427lgiK/view?usp=drivesdk" TargetMode="External"/><Relationship Id="rId35" Type="http://schemas.openxmlformats.org/officeDocument/2006/relationships/hyperlink" Target="https://drive.google.com/file/d/18urTvEQkxOoO54RdPEqF3hG6P_FLgWYX/view?usp=drivesdk" TargetMode="External"/><Relationship Id="rId36" Type="http://schemas.openxmlformats.org/officeDocument/2006/relationships/hyperlink" Target="https://drive.google.com/file/d/1FyZe9Prez95TVZQwyrYGKgBf7Fw0XAm3/view?usp=drivesdk" TargetMode="External"/><Relationship Id="rId37" Type="http://schemas.openxmlformats.org/officeDocument/2006/relationships/hyperlink" Target="https://www.postgresql.org/docs/17/plpgsql-control-structures.html#PLPGSQL-ERROR-TRAPPING" TargetMode="External"/><Relationship Id="rId38" Type="http://schemas.openxmlformats.org/officeDocument/2006/relationships/hyperlink" Target="https://www.postgresql.org/docs/17/transaction-iso.html" TargetMode="External"/><Relationship Id="rId39" Type="http://schemas.openxmlformats.org/officeDocument/2006/relationships/hyperlink" Target="https://www.postgresql.org/docs/17/explicit-locking.html" TargetMode="External"/><Relationship Id="rId40" Type="http://schemas.openxmlformats.org/officeDocument/2006/relationships/hyperlink" Target="https://drive.google.com/file/d/13WznvHZhWTofuAfvMnxlKTPdDtwfs6AX/view?usp=drivesdk" TargetMode="External"/><Relationship Id="rId41" Type="http://schemas.openxmlformats.org/officeDocument/2006/relationships/hyperlink" Target="https://drive.google.com/file/d/1Q_gKdjfTVAO5JjxLkfYPMHPt1hfo1vtr/view?usp=drivesdk" TargetMode="External"/><Relationship Id="rId42" Type="http://schemas.openxmlformats.org/officeDocument/2006/relationships/hyperlink" Target="https://drive.google.com/file/d/1snmFTu4PpKv7cY09FBswSVfAuSWoy_-f/view?usp=drivesdk" TargetMode="External"/><Relationship Id="rId43" Type="http://schemas.openxmlformats.org/officeDocument/2006/relationships/hyperlink" Target="https://drive.google.com/file/d/1D17M-jpEvOSKaBtoBJFHNSl_V1u-p1zf/view?usp=drivesdk" TargetMode="External"/><Relationship Id="rId44" Type="http://schemas.openxmlformats.org/officeDocument/2006/relationships/hyperlink" Target="https://drive.google.com/file/d/1GNs7SS0ZnkVMp96ZipCG6lOqW77dNTcK/view?usp=drivesdk" TargetMode="External"/><Relationship Id="rId45" Type="http://schemas.openxmlformats.org/officeDocument/2006/relationships/hyperlink" Target="https://drive.google.com/file/d/12qJwdf1UXnXqeY3d1I9ttnFYZhMZ77pT/view?usp=drivesdk" TargetMode="External"/><Relationship Id="rId46" Type="http://schemas.openxmlformats.org/officeDocument/2006/relationships/hyperlink" Target="https://developer.android.com/google/play/integrity/classic" TargetMode="External"/><Relationship Id="rId47" Type="http://schemas.openxmlformats.org/officeDocument/2006/relationships/hyperlink" Target="https://drive.google.com/file/d/1yXHyXe8vVhu5ITKzP5IYgndcRKLU0V5O/view?usp=drivesdk" TargetMode="External"/><Relationship Id="rId48" Type="http://schemas.openxmlformats.org/officeDocument/2006/relationships/hyperlink" Target="https://drive.google.com/file/d/1q4klsIHCcBSAx3BdaRdwzqNC3X2zD7jq/view?usp=drivesdk" TargetMode="External"/><Relationship Id="rId49" Type="http://schemas.openxmlformats.org/officeDocument/2006/relationships/hyperlink" Target="https://drive.google.com/file/d/1pMxjMX11Yc0j6Gmpp5TvuMC7eVce0itE/view?usp=drivesdk" TargetMode="External"/><Relationship Id="rId50" Type="http://schemas.openxmlformats.org/officeDocument/2006/relationships/hyperlink" Target="https://drive.google.com/file/d/1g_9q58Z-2302LqjJteF3pqrzqIRnUCUA/view?usp=drivesdk" TargetMode="External"/><Relationship Id="rId51" Type="http://schemas.openxmlformats.org/officeDocument/2006/relationships/hyperlink" Target="https://drive.google.com/file/d/1ju-G-afoegFUiUZ3HcdZdZobkUFjz9VI/view?usp=drivesdk" TargetMode="External"/><Relationship Id="rId52" Type="http://schemas.openxmlformats.org/officeDocument/2006/relationships/hyperlink" Target="https://drive.google.com/file/d/10iUOdZWSzYH51vT01fjN0BBQsTULtV9D/view?usp=drivesdk" TargetMode="External"/><Relationship Id="rId53" Type="http://schemas.openxmlformats.org/officeDocument/2006/relationships/hyperlink" Target="https://drive.google.com/file/d/1X7sWfPgFxAKSm-EZLwKq7SmuvRQHnOlH/view?usp=drivesdk" TargetMode="External"/><Relationship Id="rId54" Type="http://schemas.openxmlformats.org/officeDocument/2006/relationships/hyperlink" Target="https://drive.google.com/file/d/16rAbretfd1HwG3q_qLdo6WHrvbIB061u/view?usp=drivesdk" TargetMode="External"/><Relationship Id="rId55" Type="http://schemas.openxmlformats.org/officeDocument/2006/relationships/hyperlink" Target="https://drive.google.com/file/d/1TUwjgcXXY61tzC6hlwiYILaiWW1AOIZZ/view?usp=drivesdk" TargetMode="External"/><Relationship Id="rId56" Type="http://schemas.openxmlformats.org/officeDocument/2006/relationships/hyperlink" Target="https://drive.google.com/file/d/1E9pNYeMyNT7Wn5T7DP805IDmicfiFVEc/view?usp=drivesdk" TargetMode="External"/><Relationship Id="rId57" Type="http://schemas.openxmlformats.org/officeDocument/2006/relationships/hyperlink" Target="https://drive.google.com/file/d/13xDP1FXYO1bq-kP2l81oWO6ytezyfSTZ/view?usp=drivesdk" TargetMode="External"/><Relationship Id="rId58" Type="http://schemas.openxmlformats.org/officeDocument/2006/relationships/hyperlink" Target="https://drive.google.com/file/d/1v5ftCzLKueY28L_0UpgcByPB0Hc4qHF5/view?usp=drivesdk" TargetMode="External"/><Relationship Id="rId59" Type="http://schemas.openxmlformats.org/officeDocument/2006/relationships/hyperlink" Target="https://support.google.com/googleplay/android-developer/answer/11926878?hl=en" TargetMode="External"/><Relationship Id="rId60" Type="http://schemas.openxmlformats.org/officeDocument/2006/relationships/hyperlink" Target="https://developer.android.com/about/versions/16/behavior-changes-16" TargetMode="External"/><Relationship Id="rId61" Type="http://schemas.openxmlformats.org/officeDocument/2006/relationships/hyperlink" Target="https://drive.google.com/file/d/1A2RP5xT5ZyUTrF_MafKUGssYZ_4pWp8k/view?usp=drivesdk" TargetMode="External"/><Relationship Id="rId62" Type="http://schemas.openxmlformats.org/officeDocument/2006/relationships/hyperlink" Target="https://developer.apple.com/news/upcoming-requirements/" TargetMode="External"/><Relationship Id="rId63" Type="http://schemas.openxmlformats.org/officeDocument/2006/relationships/hyperlink" Target="https://developer.android.com/guide/practices/page-sizes" TargetMode="External"/><Relationship Id="rId64" Type="http://schemas.openxmlformats.org/officeDocument/2006/relationships/hyperlink" Target="https://drive.google.com/file/d/1MLWnXsRSeoudgNb9hkGCqMeXVXFZumKJ/view?usp=drivesdk" TargetMode="External"/><Relationship Id="rId65" Type="http://schemas.openxmlformats.org/officeDocument/2006/relationships/hyperlink" Target="https://drive.google.com/file/d/14Xk8YpNg33EJncxUz4ZFh08gXr_v_0gT/view?usp=drivesdk" TargetMode="External"/><Relationship Id="rId66" Type="http://schemas.openxmlformats.org/officeDocument/2006/relationships/hyperlink" Target="https://drive.google.com/file/d/1-yEWiItXERM_jmBtgePmT13WZUNUb0g-/view?usp=drivesdk" TargetMode="External"/><Relationship Id="rId67" Type="http://schemas.openxmlformats.org/officeDocument/2006/relationships/hyperlink" Target="https://drive.google.com/file/d/1t8BMYWNouflvOFvwUCJp7uw0aY-VhSie/view?usp=drivesdk" TargetMode="External"/><Relationship Id="rId68" Type="http://schemas.openxmlformats.org/officeDocument/2006/relationships/hyperlink" Target="https://developer.android.com/develop/background-work/background-tasks/persistent/getting-started/define-work" TargetMode="External"/><Relationship Id="rId69" Type="http://schemas.openxmlformats.org/officeDocument/2006/relationships/hyperlink" Target="https://support.google.com/googleplay/android-developer/answer/10208820" TargetMode="External"/><Relationship Id="rId70" Type="http://schemas.openxmlformats.org/officeDocument/2006/relationships/hyperlink" Target="https://drive.google.com/file/d/1mjt5bSDzInV-jUfGUJohw56KAzStbtix/view?usp=drivesdk" TargetMode="External"/><Relationship Id="rId71" Type="http://schemas.openxmlformats.org/officeDocument/2006/relationships/hyperlink" Target="https://drive.google.com/file/d/1MDlUp2tylgWDZ1AfN4ssXDOKSvLkdN5-/view?usp=drivesdk" TargetMode="External"/><Relationship Id="rId72" Type="http://schemas.openxmlformats.org/officeDocument/2006/relationships/hyperlink" Target="https://docs.flutter.dev/ui/accessibility" TargetMode="External"/><Relationship Id="rId73" Type="http://schemas.openxmlformats.org/officeDocument/2006/relationships/hyperlink" Target="https://docs.flutter.dev/app-architecture/recommendations" TargetMode="External"/><Relationship Id="rId74" Type="http://schemas.openxmlformats.org/officeDocument/2006/relationships/hyperlink" Target="https://docs.flutter.dev/perf/best-practices" TargetMode="External"/><Relationship Id="rId75" Type="http://schemas.openxmlformats.org/officeDocument/2006/relationships/hyperlink" Target="https://docs.opencv.org/4.x/d0/dd4/tutorial_dnn_face.html" TargetMode="External"/><Relationship Id="rId76" Type="http://schemas.openxmlformats.org/officeDocument/2006/relationships/hyperlink" Target="https://developers.cloudflare.com/vectorize/reference/client-api/" TargetMode="External"/><Relationship Id="rId77" Type="http://schemas.openxmlformats.org/officeDocument/2006/relationships/hyperlink" Target="https://drive.google.com/file/d/10XfUXtvPdRtBHiWA9yhRro_v6glk8XvJ/view?usp=drivesdk" TargetMode="External"/><Relationship Id="rId78" Type="http://schemas.openxmlformats.org/officeDocument/2006/relationships/hyperlink" Target="https://docs.python.org/3.12/library/http.server.html" TargetMode="External"/><Relationship Id="rId79" Type="http://schemas.openxmlformats.org/officeDocument/2006/relationships/hyperlink" Target="https://developers.cloudflare.com/containers/configuration/scaling-and-routing/" TargetMode="External"/><Relationship Id="rId80" Type="http://schemas.openxmlformats.org/officeDocument/2006/relationships/hyperlink" Target="https://drive.google.com/file/d/1zQH0mmbadmfJtnEBxNkyZUnkm3Uv2LQJ/view?usp=drivesdk" TargetMode="External"/><Relationship Id="rId81" Type="http://schemas.openxmlformats.org/officeDocument/2006/relationships/hyperlink" Target="https://drive.google.com/file/d/1QOqPjNkyg8GlrM5Nmh1pLQlqLHpKHeTY/view?usp=drivesdk" TargetMode="External"/><Relationship Id="rId82" Type="http://schemas.openxmlformats.org/officeDocument/2006/relationships/hyperlink" Target="https://drive.google.com/file/d/1cjZLmcOWDsYYYP_-f0mYAFww9QnZ4OHp/view?usp=drivesdk" TargetMode="External"/><Relationship Id="rId83" Type="http://schemas.openxmlformats.org/officeDocument/2006/relationships/hyperlink" Target="https://drive.google.com/file/d/171_14QerVA_QQJxoY7pX9do6v_YMrT5c/view?usp=drivesdk" TargetMode="External"/><Relationship Id="rId84" Type="http://schemas.openxmlformats.org/officeDocument/2006/relationships/hyperlink" Target="https://drive.google.com/file/d/1cwyLRfUildTAHReym4ReNQOWDOGYNq7K/view?usp=drivesdk" TargetMode="External"/><Relationship Id="rId85" Type="http://schemas.openxmlformats.org/officeDocument/2006/relationships/hyperlink" Target="https://developer.apple.com/support/offering-account-deletion-in-your-app/" TargetMode="External"/><Relationship Id="rId86" Type="http://schemas.openxmlformats.org/officeDocument/2006/relationships/hyperlink" Target="https://support.google.com/googleplay/android-developer/answer/13327111?hl=en" TargetMode="External"/><Relationship Id="rId87" Type="http://schemas.openxmlformats.org/officeDocument/2006/relationships/hyperlink" Target="https://cyber.gov.rw/fileadmin/user_upload/NCSA/Documents/Laws/OG_Special_of_15.10.2021_Amakuru_bwite.pdf" TargetMode="External"/><Relationship Id="rId88" Type="http://schemas.openxmlformats.org/officeDocument/2006/relationships/hyperlink" Target="https://www.risa.gov.rw/data-protection-and-privacy-law" TargetMode="External"/><Relationship Id="rId89" Type="http://schemas.openxmlformats.org/officeDocument/2006/relationships/hyperlink" Target="https://cyber.gov.rw/index.php?eID=dumpFile&amp;f=505&amp;t=f&amp;token=1eb7198ee3d2b957e6a1d79096a0bc60b8118728" TargetMode="External"/><Relationship Id="rId90" Type="http://schemas.openxmlformats.org/officeDocument/2006/relationships/hyperlink" Target="https://developers.cloudflare.com/data-localization/compatibility/" TargetMode="External"/><Relationship Id="rId91" Type="http://schemas.openxmlformats.org/officeDocument/2006/relationships/hyperlink" Target="https://developers.cloudflare.com/containers/concepts/placement/" TargetMode="External"/><Relationship Id="rId92" Type="http://schemas.openxmlformats.org/officeDocument/2006/relationships/hyperlink" Target="https://supabase.com/docs/guides/platform/regions" TargetMode="External"/><Relationship Id="rId93" Type="http://schemas.openxmlformats.org/officeDocument/2006/relationships/hyperlink" Target="https://whatsappbusiness.com/policy/" TargetMode="External"/><Relationship Id="rId94" Type="http://schemas.openxmlformats.org/officeDocument/2006/relationships/hyperlink" Target="https://whatsappbusiness.com/products/conversation-categories/authentication/" TargetMode="External"/><Relationship Id="rId95" Type="http://schemas.openxmlformats.org/officeDocument/2006/relationships/hyperlink" Target="https://drive.google.com/file/d/1At2ltdJVK8kpZQsV92HybbTqStAYqLvs/view?usp=drivesdk" TargetMode="External"/><Relationship Id="rId96" Type="http://schemas.openxmlformats.org/officeDocument/2006/relationships/hyperlink" Target="https://drive.google.com/file/d/1-OxjhMZxQ5KAMfLShQpBK7KFY4hhAwk_/view?usp=drivesdk" TargetMode="External"/><Relationship Id="rId97" Type="http://schemas.openxmlformats.org/officeDocument/2006/relationships/hyperlink" Target="https://docs.github.com/en/actions/how-tos/reuse-automations/reuse-workflows" TargetMode="External"/><Relationship Id="rId98" Type="http://schemas.openxmlformats.org/officeDocument/2006/relationships/hyperlink" Target="https://drive.google.com/file/d/1M2OuVXPXNwY34djuk7wjKwcYCIb6BUUv/view?usp=drivesdk" TargetMode="External"/><Relationship Id="rId99" Type="http://schemas.openxmlformats.org/officeDocument/2006/relationships/hyperlink" Target="https://drive.google.com/file/d/1v7VylhndFofxQrWZLz7UCBnC1PaztQzQ/view?usp=drivesdk" TargetMode="External"/><Relationship Id="rId100" Type="http://schemas.openxmlformats.org/officeDocument/2006/relationships/hyperlink" Target="https://drive.google.com/file/d/1MjilpuX-zUbut_W8msIPYSkYByKKEDyS/view?usp=drivesdk" TargetMode="External"/><Relationship Id="rId101" Type="http://schemas.openxmlformats.org/officeDocument/2006/relationships/hyperlink" Target="https://docs.github.com/en/actions/how-tos/deploy/configure-and-manage-deployments/manage-environments" TargetMode="External"/><Relationship Id="rId102" Type="http://schemas.openxmlformats.org/officeDocument/2006/relationships/hyperlink" Target="https://drive.google.com/file/d/16QDr4XE1T00Pm357hzMubBmi_sn1Op11/view?usp=drivesdk" TargetMode="External"/><Relationship Id="rId103" Type="http://schemas.openxmlformats.org/officeDocument/2006/relationships/hyperlink" Target="https://drive.google.com/file/d/1_8s_2FN71Qop1DxBFlwWEyQKzj6-S_EG/view?usp=drivesdk" TargetMode="External"/><Relationship Id="rId104" Type="http://schemas.openxmlformats.org/officeDocument/2006/relationships/hyperlink" Target="https://firebase.google.com/docs/cloud-messaging/scale-fcm" TargetMode="External"/><Relationship Id="rId105" Type="http://schemas.openxmlformats.org/officeDocument/2006/relationships/hyperlink" Target="https://developers.cloudflare.com/workers/observability/metrics-and-analytics/" TargetMode="External"/><Relationship Id="rId106" Type="http://schemas.openxmlformats.org/officeDocument/2006/relationships/hyperlink" Target="https://supabase.com/docs/guides/platform/back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Mobio Production Readiness Report</dc:title>
  <dc:subject>Critical source assessment and implementation plan dated 27 September 2026</dc:subject>
  <dc:creator>Repository assessment</dc:creator>
  <cp:keywords>Mobio, production readiness, security, release, Flutter, Supabase</cp:keywords>
  <dc:description>generated by python-docx</dc:description>
  <cp:lastModifiedBy/>
  <cp:revision>1</cp:revision>
  <dcterms:created xsi:type="dcterms:W3CDTF">2013-12-23T23:15:00Z</dcterms:created>
  <dcterms:modified xsi:type="dcterms:W3CDTF">2013-12-23T23:15:00Z</dcterms:modified>
  <cp:category/>
</cp:coreProperties>
</file>