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B861E1">
      <w:pPr>
        <w:pStyle w:val="31"/>
        <w:widowControl/>
        <w:rPr>
          <w:rFonts w:ascii="Times New Roman" w:hAnsi="Times New Roman" w:eastAsia="黑体" w:cs="Times New Roman"/>
          <w:b w:val="0"/>
          <w:bCs w:val="0"/>
          <w:sz w:val="36"/>
          <w:szCs w:val="24"/>
        </w:rPr>
      </w:pPr>
      <w:r>
        <w:rPr>
          <w:rFonts w:ascii="Times New Roman" w:hAnsi="Times New Roman" w:eastAsia="黑体" w:cs="Times New Roman"/>
          <w:b w:val="0"/>
          <w:bCs w:val="0"/>
          <w:sz w:val="36"/>
          <w:szCs w:val="24"/>
        </w:rPr>
        <w:t>灯光设计文件</w:t>
      </w:r>
    </w:p>
    <w:p w14:paraId="62782552">
      <w:pPr>
        <w:pStyle w:val="19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B28B53"/>
          <w:sz w:val="24"/>
          <w:szCs w:val="24"/>
        </w:rPr>
        <w:t>暖白无主灯风格｜客厅、餐桌、主卧、书房重点调光</w:t>
      </w:r>
    </w:p>
    <w:p w14:paraId="6575546B">
      <w:pPr>
        <w:spacing w:after="200"/>
        <w:jc w:val="center"/>
      </w:pPr>
      <w:r>
        <w:drawing>
          <wp:inline distT="0" distB="0" distL="114300" distR="114300">
            <wp:extent cx="5943600" cy="3989070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9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EE53C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6EBD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C773510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63238"/>
                <w:sz w:val="21"/>
              </w:rPr>
              <w:t>不做全屋调光。客厅、餐桌、主卧、书房设置可调光回路；厨房、次卧及交通空间以固定色温为主。卫生间只增加夜间低位灯和人体存在感应。调色温用于客厅、主卧与书房主照明，其他氛围灯优先固定暖白。</w:t>
            </w:r>
          </w:p>
        </w:tc>
      </w:tr>
    </w:tbl>
    <w:p w14:paraId="0CE5A33A">
      <w:pPr>
        <w:spacing w:after="0"/>
      </w:pPr>
    </w:p>
    <w:p w14:paraId="11616A6E">
      <w:pPr>
        <w:pStyle w:val="3"/>
        <w:rPr>
          <w:rFonts w:ascii="Times New Roman" w:hAnsi="Times New Roman" w:eastAsia="黑体" w:cs="Times New Roman"/>
          <w:b w:val="0"/>
          <w:bCs w:val="0"/>
          <w:sz w:val="32"/>
          <w:szCs w:val="44"/>
        </w:rPr>
      </w:pPr>
      <w:r>
        <w:rPr>
          <w:rFonts w:ascii="Times New Roman" w:hAnsi="Times New Roman" w:eastAsia="黑体" w:cs="Times New Roman"/>
          <w:b w:val="0"/>
          <w:bCs w:val="0"/>
          <w:sz w:val="32"/>
          <w:szCs w:val="44"/>
        </w:rPr>
        <w:t>风格目标</w:t>
      </w:r>
    </w:p>
    <w:p w14:paraId="1114BC1E">
      <w:pPr>
        <w:pStyle w:val="19"/>
        <w:widowControl/>
        <w:numPr>
          <w:ilvl w:val="0"/>
          <w:numId w:val="3"/>
        </w:numPr>
        <w:ind w:left="547" w:hanging="274"/>
        <w:rPr>
          <w:rFonts w:eastAsia="宋体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263238"/>
          <w:sz w:val="24"/>
          <w:szCs w:val="24"/>
        </w:rPr>
        <w:t>暖白、克制、低眩光；见光不见灯，以灯带、洗墙光和重点光塑造层次。</w:t>
      </w:r>
    </w:p>
    <w:p w14:paraId="13C64FAD">
      <w:pPr>
        <w:pStyle w:val="19"/>
        <w:widowControl/>
        <w:numPr>
          <w:ilvl w:val="0"/>
          <w:numId w:val="3"/>
        </w:numPr>
        <w:ind w:left="547" w:hanging="274"/>
        <w:rPr>
          <w:rFonts w:eastAsia="宋体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263238"/>
          <w:sz w:val="24"/>
          <w:szCs w:val="24"/>
        </w:rPr>
        <w:t>日常不追求冷白“样板间亮度”，但保留清洁模式的充足亮度。</w:t>
      </w:r>
    </w:p>
    <w:p w14:paraId="62F3DF85">
      <w:pPr>
        <w:pStyle w:val="19"/>
        <w:widowControl/>
        <w:numPr>
          <w:ilvl w:val="0"/>
          <w:numId w:val="3"/>
        </w:numPr>
        <w:ind w:left="547" w:hanging="274"/>
        <w:rPr>
          <w:rFonts w:eastAsia="宋体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263238"/>
          <w:sz w:val="24"/>
          <w:szCs w:val="24"/>
        </w:rPr>
        <w:t>全屋基础照明不做RGB彩光；书房游戏氛围可单独增加RGBW间接灯带，但阅读时关闭彩光。</w:t>
      </w:r>
    </w:p>
    <w:p w14:paraId="62EC6948">
      <w:pPr>
        <w:pStyle w:val="19"/>
        <w:widowControl/>
        <w:numPr>
          <w:ilvl w:val="0"/>
          <w:numId w:val="3"/>
        </w:numPr>
        <w:ind w:left="547" w:hanging="274"/>
        <w:rPr>
          <w:rFonts w:eastAsia="宋体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263238"/>
          <w:sz w:val="24"/>
          <w:szCs w:val="24"/>
        </w:rPr>
        <w:t>墙面按键优先，断网仍能开关和调用基础场景；手机与语音只作补充。</w:t>
      </w:r>
    </w:p>
    <w:p w14:paraId="24B98097">
      <w:r>
        <w:br w:type="page"/>
      </w:r>
    </w:p>
    <w:p w14:paraId="02ED9A13">
      <w:pPr>
        <w:pStyle w:val="3"/>
        <w:numPr>
          <w:ilvl w:val="0"/>
          <w:numId w:val="7"/>
        </w:numPr>
        <w:ind w:left="0" w:leftChars="0" w:firstLine="0" w:firstLineChars="0"/>
        <w:rPr>
          <w:rFonts w:eastAsia="黑体"/>
          <w:b w:val="0"/>
          <w:bCs w:val="0"/>
          <w:sz w:val="32"/>
          <w:szCs w:val="44"/>
          <w:bdr w:val="none" w:sz="0" w:space="0"/>
        </w:rPr>
      </w:pPr>
      <w:r>
        <w:rPr>
          <w:rFonts w:ascii="Times New Roman" w:hAnsi="Times New Roman" w:eastAsia="黑体" w:cs="Times New Roman"/>
          <w:b w:val="0"/>
          <w:bCs w:val="0"/>
          <w:sz w:val="32"/>
          <w:szCs w:val="44"/>
        </w:rPr>
        <w:t>户型灯光分区与调光范围</w:t>
      </w:r>
    </w:p>
    <w:p w14:paraId="4B7794B3">
      <w:pPr>
        <w:pStyle w:val="19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687681"/>
          <w:sz w:val="24"/>
          <w:szCs w:val="24"/>
        </w:rPr>
        <w:t>分区依据：当前家具布置图。彩色覆盖仅表达控制策略，不替代最终灯位、照度计算和施工图。</w:t>
      </w:r>
    </w:p>
    <w:p w14:paraId="4F0DE500">
      <w:pPr>
        <w:spacing w:after="140"/>
        <w:jc w:val="center"/>
      </w:pPr>
      <w:r>
        <w:drawing>
          <wp:inline distT="0" distB="0" distL="114300" distR="114300">
            <wp:extent cx="5212080" cy="6301740"/>
            <wp:effectExtent l="0" t="0" r="762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6302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49A2E8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shd w:val="clear" w:color="auto" w:fill="F6EBD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908E89">
            <w:pPr>
              <w:spacing w:after="0"/>
            </w:pPr>
            <w:r>
              <w:rPr>
                <w:rFonts w:ascii="微软雅黑" w:hAnsi="微软雅黑" w:eastAsia="微软雅黑"/>
                <w:b/>
                <w:color w:val="B28B53"/>
                <w:sz w:val="18"/>
              </w:rPr>
              <w:t>A 客厅｜</w:t>
            </w:r>
            <w:r>
              <w:rPr>
                <w:rFonts w:ascii="微软雅黑" w:hAnsi="微软雅黑" w:eastAsia="微软雅黑"/>
                <w:b w:val="0"/>
                <w:color w:val="263238"/>
                <w:sz w:val="18"/>
              </w:rPr>
              <w:t>重点调光＋局部调色温</w:t>
            </w:r>
          </w:p>
        </w:tc>
        <w:tc>
          <w:tcPr>
            <w:tcW w:w="4680" w:type="dxa"/>
            <w:shd w:val="clear" w:color="auto" w:fill="F6EBD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D9F90E">
            <w:pPr>
              <w:spacing w:after="0"/>
            </w:pPr>
            <w:r>
              <w:rPr>
                <w:rFonts w:ascii="微软雅黑" w:hAnsi="微软雅黑" w:eastAsia="微软雅黑"/>
                <w:b/>
                <w:color w:val="B28B53"/>
                <w:sz w:val="18"/>
              </w:rPr>
              <w:t>B 餐桌｜</w:t>
            </w:r>
            <w:r>
              <w:rPr>
                <w:rFonts w:ascii="微软雅黑" w:hAnsi="微软雅黑" w:eastAsia="微软雅黑"/>
                <w:b w:val="0"/>
                <w:color w:val="263238"/>
                <w:sz w:val="18"/>
              </w:rPr>
              <w:t>重点调光，固定暖白为主</w:t>
            </w:r>
          </w:p>
        </w:tc>
      </w:tr>
      <w:tr w14:paraId="49A846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shd w:val="clear" w:color="auto" w:fill="F6EBD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DCE6E2">
            <w:pPr>
              <w:spacing w:after="0"/>
            </w:pPr>
            <w:r>
              <w:rPr>
                <w:rFonts w:ascii="微软雅黑" w:hAnsi="微软雅黑" w:eastAsia="微软雅黑"/>
                <w:b/>
                <w:color w:val="B28B53"/>
                <w:sz w:val="18"/>
              </w:rPr>
              <w:t>C 主卧｜</w:t>
            </w:r>
            <w:r>
              <w:rPr>
                <w:rFonts w:ascii="微软雅黑" w:hAnsi="微软雅黑" w:eastAsia="微软雅黑"/>
                <w:b w:val="0"/>
                <w:color w:val="263238"/>
                <w:sz w:val="18"/>
              </w:rPr>
              <w:t>重点调光＋主照明调色温</w:t>
            </w:r>
          </w:p>
        </w:tc>
        <w:tc>
          <w:tcPr>
            <w:tcW w:w="4680" w:type="dxa"/>
            <w:shd w:val="clear" w:color="auto" w:fill="F3F5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79CB5D">
            <w:pPr>
              <w:spacing w:after="0"/>
            </w:pPr>
            <w:r>
              <w:rPr>
                <w:rFonts w:ascii="微软雅黑" w:hAnsi="微软雅黑" w:eastAsia="微软雅黑"/>
                <w:b/>
                <w:color w:val="5A7D9A"/>
                <w:sz w:val="18"/>
              </w:rPr>
              <w:t>D 次卧｜</w:t>
            </w:r>
            <w:r>
              <w:rPr>
                <w:rFonts w:ascii="微软雅黑" w:hAnsi="微软雅黑" w:eastAsia="微软雅黑"/>
                <w:b w:val="0"/>
                <w:color w:val="263238"/>
                <w:sz w:val="18"/>
              </w:rPr>
              <w:t>固定3000K，不纳入系统调光</w:t>
            </w:r>
          </w:p>
        </w:tc>
      </w:tr>
      <w:tr w14:paraId="3BFD92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shd w:val="clear" w:color="auto" w:fill="F6EBD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81EE9D">
            <w:pPr>
              <w:spacing w:after="0"/>
            </w:pPr>
            <w:r>
              <w:rPr>
                <w:rFonts w:ascii="微软雅黑" w:hAnsi="微软雅黑" w:eastAsia="微软雅黑"/>
                <w:b/>
                <w:color w:val="B28B53"/>
                <w:sz w:val="18"/>
              </w:rPr>
              <w:t>E 书房/游戏房｜</w:t>
            </w:r>
            <w:r>
              <w:rPr>
                <w:rFonts w:ascii="微软雅黑" w:hAnsi="微软雅黑" w:eastAsia="微软雅黑"/>
                <w:b w:val="0"/>
                <w:color w:val="263238"/>
                <w:sz w:val="18"/>
              </w:rPr>
              <w:t>重点调光＋主照明调色温</w:t>
            </w:r>
          </w:p>
        </w:tc>
        <w:tc>
          <w:tcPr>
            <w:tcW w:w="4680" w:type="dxa"/>
            <w:shd w:val="clear" w:color="auto" w:fill="F3F5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0E42A2">
            <w:pPr>
              <w:spacing w:after="0"/>
            </w:pPr>
            <w:r>
              <w:rPr>
                <w:rFonts w:ascii="微软雅黑" w:hAnsi="微软雅黑" w:eastAsia="微软雅黑"/>
                <w:b/>
                <w:color w:val="5A7D9A"/>
                <w:sz w:val="18"/>
              </w:rPr>
              <w:t>F 厨房｜</w:t>
            </w:r>
            <w:r>
              <w:rPr>
                <w:rFonts w:ascii="微软雅黑" w:hAnsi="微软雅黑" w:eastAsia="微软雅黑"/>
                <w:b w:val="0"/>
                <w:color w:val="263238"/>
                <w:sz w:val="18"/>
              </w:rPr>
              <w:t>固定4000K</w:t>
            </w:r>
          </w:p>
        </w:tc>
      </w:tr>
      <w:tr w14:paraId="5B5C1F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shd w:val="clear" w:color="auto" w:fill="F3F5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D32649">
            <w:pPr>
              <w:spacing w:after="0"/>
            </w:pPr>
            <w:r>
              <w:rPr>
                <w:rFonts w:ascii="微软雅黑" w:hAnsi="微软雅黑" w:eastAsia="微软雅黑"/>
                <w:b/>
                <w:color w:val="5A7D9A"/>
                <w:sz w:val="18"/>
              </w:rPr>
              <w:t>G 卫生间｜</w:t>
            </w:r>
            <w:r>
              <w:rPr>
                <w:rFonts w:ascii="微软雅黑" w:hAnsi="微软雅黑" w:eastAsia="微软雅黑"/>
                <w:b w:val="0"/>
                <w:color w:val="263238"/>
                <w:sz w:val="18"/>
              </w:rPr>
              <w:t>固定基础光＋夜间地灯存在感应</w:t>
            </w:r>
          </w:p>
        </w:tc>
        <w:tc>
          <w:tcPr>
            <w:tcW w:w="4680" w:type="dxa"/>
            <w:shd w:val="clear" w:color="auto" w:fill="F3F5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8CE26B">
            <w:pPr>
              <w:spacing w:after="0"/>
            </w:pPr>
            <w:r>
              <w:rPr>
                <w:rFonts w:ascii="微软雅黑" w:hAnsi="微软雅黑" w:eastAsia="微软雅黑"/>
                <w:b/>
                <w:color w:val="5A7D9A"/>
                <w:sz w:val="18"/>
              </w:rPr>
              <w:t>H 玄关/过道/阳台｜</w:t>
            </w:r>
            <w:r>
              <w:rPr>
                <w:rFonts w:ascii="微软雅黑" w:hAnsi="微软雅黑" w:eastAsia="微软雅黑"/>
                <w:b w:val="0"/>
                <w:color w:val="263238"/>
                <w:sz w:val="18"/>
              </w:rPr>
              <w:t>固定3000K，可做人感</w:t>
            </w:r>
          </w:p>
        </w:tc>
      </w:tr>
    </w:tbl>
    <w:p w14:paraId="6A3F16D9">
      <w:r>
        <w:br w:type="page"/>
      </w:r>
    </w:p>
    <w:p w14:paraId="0DED8110">
      <w:pPr>
        <w:pStyle w:val="3"/>
        <w:numPr>
          <w:ilvl w:val="0"/>
          <w:numId w:val="7"/>
        </w:numPr>
        <w:ind w:left="0" w:leftChars="0" w:firstLine="0" w:firstLineChars="0"/>
        <w:rPr>
          <w:rFonts w:eastAsia="黑体"/>
          <w:b w:val="0"/>
          <w:bCs w:val="0"/>
          <w:sz w:val="32"/>
          <w:szCs w:val="44"/>
          <w:bdr w:val="none" w:sz="0" w:space="0"/>
        </w:rPr>
      </w:pPr>
      <w:r>
        <w:rPr>
          <w:rFonts w:ascii="Times New Roman" w:hAnsi="Times New Roman" w:eastAsia="黑体" w:cs="Times New Roman"/>
          <w:b w:val="0"/>
          <w:bCs w:val="0"/>
          <w:sz w:val="32"/>
          <w:szCs w:val="44"/>
        </w:rPr>
        <w:t>空间级灯光策略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AB1C6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6EBD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62BF84F">
            <w:pPr>
              <w:spacing w:after="40"/>
            </w:pPr>
            <w:r>
              <w:rPr>
                <w:rFonts w:ascii="微软雅黑" w:hAnsi="微软雅黑" w:eastAsia="微软雅黑"/>
                <w:b/>
                <w:color w:val="B28B53"/>
                <w:sz w:val="21"/>
              </w:rPr>
              <w:t xml:space="preserve">推荐范围  </w:t>
            </w:r>
            <w:r>
              <w:rPr>
                <w:rFonts w:ascii="微软雅黑" w:hAnsi="微软雅黑" w:eastAsia="微软雅黑"/>
                <w:b w:val="0"/>
                <w:color w:val="263238"/>
                <w:sz w:val="21"/>
              </w:rPr>
              <w:t>2200–2700K用于夜间低位灯，2700K负责放松，3000K是全屋暖白基准，3500K适合阅读/梳妆，4000K用于厨房、清洁和高专注任务。日常基础照明不建议超过4000K。</w:t>
            </w:r>
          </w:p>
        </w:tc>
      </w:tr>
    </w:tbl>
    <w:p w14:paraId="25B86BFE">
      <w:pPr>
        <w:spacing w:after="0"/>
      </w:pPr>
    </w:p>
    <w:tbl>
      <w:tblPr>
        <w:tblStyle w:val="33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3"/>
        <w:gridCol w:w="1073"/>
        <w:gridCol w:w="1637"/>
        <w:gridCol w:w="1125"/>
        <w:gridCol w:w="4668"/>
      </w:tblGrid>
      <w:tr w14:paraId="2940C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0" w:type="pct"/>
            <w:shd w:val="clear" w:color="auto" w:fill="25374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99DF54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区域</w:t>
            </w:r>
          </w:p>
        </w:tc>
        <w:tc>
          <w:tcPr>
            <w:tcW w:w="560" w:type="pct"/>
            <w:shd w:val="clear" w:color="auto" w:fill="25374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0879B1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是否调光</w:t>
            </w:r>
          </w:p>
        </w:tc>
        <w:tc>
          <w:tcPr>
            <w:tcW w:w="854" w:type="pct"/>
            <w:shd w:val="clear" w:color="auto" w:fill="25374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383064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色温</w:t>
            </w:r>
          </w:p>
        </w:tc>
        <w:tc>
          <w:tcPr>
            <w:tcW w:w="587" w:type="pct"/>
            <w:shd w:val="clear" w:color="auto" w:fill="25374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EB68E7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建议分路</w:t>
            </w:r>
          </w:p>
        </w:tc>
        <w:tc>
          <w:tcPr>
            <w:tcW w:w="2436" w:type="pct"/>
            <w:shd w:val="clear" w:color="auto" w:fill="25374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4D555E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设计说明</w:t>
            </w:r>
          </w:p>
        </w:tc>
      </w:tr>
      <w:tr w14:paraId="39AD3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0" w:type="pct"/>
            <w:vAlign w:val="center"/>
          </w:tcPr>
          <w:p w14:paraId="08B64D24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A 客厅</w:t>
            </w:r>
          </w:p>
        </w:tc>
        <w:tc>
          <w:tcPr>
            <w:tcW w:w="560" w:type="pct"/>
            <w:vAlign w:val="center"/>
          </w:tcPr>
          <w:p w14:paraId="63B09E68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是</w:t>
            </w:r>
          </w:p>
        </w:tc>
        <w:tc>
          <w:tcPr>
            <w:tcW w:w="854" w:type="pct"/>
            <w:vAlign w:val="center"/>
          </w:tcPr>
          <w:p w14:paraId="25E76E9B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主照明2700–4000K；洗墙/灯带固定3000K</w:t>
            </w:r>
          </w:p>
        </w:tc>
        <w:tc>
          <w:tcPr>
            <w:tcW w:w="587" w:type="pct"/>
            <w:vAlign w:val="center"/>
          </w:tcPr>
          <w:p w14:paraId="07918132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3路</w:t>
            </w:r>
          </w:p>
        </w:tc>
        <w:tc>
          <w:tcPr>
            <w:tcW w:w="2436" w:type="pct"/>
            <w:vAlign w:val="center"/>
          </w:tcPr>
          <w:p w14:paraId="784A824F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主照明、洗墙/重点光、灯带各自独立；电视正上方不布强光。</w:t>
            </w:r>
          </w:p>
        </w:tc>
      </w:tr>
      <w:tr w14:paraId="69C0E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0" w:type="pct"/>
            <w:shd w:val="clear" w:color="auto" w:fill="F7F8F8"/>
            <w:vAlign w:val="center"/>
          </w:tcPr>
          <w:p w14:paraId="250ABFC6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B 餐桌</w:t>
            </w:r>
          </w:p>
        </w:tc>
        <w:tc>
          <w:tcPr>
            <w:tcW w:w="560" w:type="pct"/>
            <w:shd w:val="clear" w:color="auto" w:fill="F7F8F8"/>
            <w:vAlign w:val="center"/>
          </w:tcPr>
          <w:p w14:paraId="45B89231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是</w:t>
            </w:r>
          </w:p>
        </w:tc>
        <w:tc>
          <w:tcPr>
            <w:tcW w:w="854" w:type="pct"/>
            <w:shd w:val="clear" w:color="auto" w:fill="F7F8F8"/>
            <w:vAlign w:val="center"/>
          </w:tcPr>
          <w:p w14:paraId="531FBE1F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2700–3000K，优先固定3000K</w:t>
            </w:r>
          </w:p>
        </w:tc>
        <w:tc>
          <w:tcPr>
            <w:tcW w:w="587" w:type="pct"/>
            <w:shd w:val="clear" w:color="auto" w:fill="F7F8F8"/>
            <w:vAlign w:val="center"/>
          </w:tcPr>
          <w:p w14:paraId="31E6095A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2路</w:t>
            </w:r>
          </w:p>
        </w:tc>
        <w:tc>
          <w:tcPr>
            <w:tcW w:w="2436" w:type="pct"/>
            <w:shd w:val="clear" w:color="auto" w:fill="F7F8F8"/>
            <w:vAlign w:val="center"/>
          </w:tcPr>
          <w:p w14:paraId="38A57ACF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餐桌吊灯/重点光独立；周边基础光另一路。桌面亮、周边略暗。</w:t>
            </w:r>
          </w:p>
        </w:tc>
      </w:tr>
      <w:tr w14:paraId="17D90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0" w:type="pct"/>
            <w:vAlign w:val="center"/>
          </w:tcPr>
          <w:p w14:paraId="0A0CA08C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C 主卧</w:t>
            </w:r>
          </w:p>
        </w:tc>
        <w:tc>
          <w:tcPr>
            <w:tcW w:w="560" w:type="pct"/>
            <w:vAlign w:val="center"/>
          </w:tcPr>
          <w:p w14:paraId="60E29DEB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是</w:t>
            </w:r>
          </w:p>
        </w:tc>
        <w:tc>
          <w:tcPr>
            <w:tcW w:w="854" w:type="pct"/>
            <w:vAlign w:val="center"/>
          </w:tcPr>
          <w:p w14:paraId="0026E4D1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主照明2700–3500K；床头/灯带固定2700–3000K</w:t>
            </w:r>
          </w:p>
        </w:tc>
        <w:tc>
          <w:tcPr>
            <w:tcW w:w="587" w:type="pct"/>
            <w:vAlign w:val="center"/>
          </w:tcPr>
          <w:p w14:paraId="0BE80736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3路</w:t>
            </w:r>
          </w:p>
        </w:tc>
        <w:tc>
          <w:tcPr>
            <w:tcW w:w="2436" w:type="pct"/>
            <w:vAlign w:val="center"/>
          </w:tcPr>
          <w:p w14:paraId="4562DEF2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主照明、床头阅读、灯带/夜灯分路；避免筒灯正对枕位。</w:t>
            </w:r>
          </w:p>
        </w:tc>
      </w:tr>
      <w:tr w14:paraId="30875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0" w:type="pct"/>
            <w:shd w:val="clear" w:color="auto" w:fill="F7F8F8"/>
            <w:vAlign w:val="center"/>
          </w:tcPr>
          <w:p w14:paraId="41D898B9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D 次卧</w:t>
            </w:r>
          </w:p>
        </w:tc>
        <w:tc>
          <w:tcPr>
            <w:tcW w:w="560" w:type="pct"/>
            <w:shd w:val="clear" w:color="auto" w:fill="F7F8F8"/>
            <w:vAlign w:val="center"/>
          </w:tcPr>
          <w:p w14:paraId="27213EB8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否（可选局部）</w:t>
            </w:r>
          </w:p>
        </w:tc>
        <w:tc>
          <w:tcPr>
            <w:tcW w:w="854" w:type="pct"/>
            <w:shd w:val="clear" w:color="auto" w:fill="F7F8F8"/>
            <w:vAlign w:val="center"/>
          </w:tcPr>
          <w:p w14:paraId="696D2BCD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固定3000K</w:t>
            </w:r>
          </w:p>
        </w:tc>
        <w:tc>
          <w:tcPr>
            <w:tcW w:w="587" w:type="pct"/>
            <w:shd w:val="clear" w:color="auto" w:fill="F7F8F8"/>
            <w:vAlign w:val="center"/>
          </w:tcPr>
          <w:p w14:paraId="591535FC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2路</w:t>
            </w:r>
          </w:p>
        </w:tc>
        <w:tc>
          <w:tcPr>
            <w:tcW w:w="2436" w:type="pct"/>
            <w:shd w:val="clear" w:color="auto" w:fill="F7F8F8"/>
            <w:vAlign w:val="center"/>
          </w:tcPr>
          <w:p w14:paraId="093F6731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基础光＋床头/窗帘盒灯带；若预算有限均普通开关。</w:t>
            </w:r>
          </w:p>
        </w:tc>
      </w:tr>
      <w:tr w14:paraId="00E8B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0" w:type="pct"/>
            <w:vAlign w:val="center"/>
          </w:tcPr>
          <w:p w14:paraId="031E4264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E 书房/游戏房</w:t>
            </w:r>
          </w:p>
        </w:tc>
        <w:tc>
          <w:tcPr>
            <w:tcW w:w="560" w:type="pct"/>
            <w:vAlign w:val="center"/>
          </w:tcPr>
          <w:p w14:paraId="4DD2BF37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是</w:t>
            </w:r>
          </w:p>
        </w:tc>
        <w:tc>
          <w:tcPr>
            <w:tcW w:w="854" w:type="pct"/>
            <w:vAlign w:val="center"/>
          </w:tcPr>
          <w:p w14:paraId="7D74456E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主照明2700–4000K；桌面3500–4000K；氛围光可RGBW</w:t>
            </w:r>
          </w:p>
        </w:tc>
        <w:tc>
          <w:tcPr>
            <w:tcW w:w="587" w:type="pct"/>
            <w:vAlign w:val="center"/>
          </w:tcPr>
          <w:p w14:paraId="141FEB24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3–4路</w:t>
            </w:r>
          </w:p>
        </w:tc>
        <w:tc>
          <w:tcPr>
            <w:tcW w:w="2436" w:type="pct"/>
            <w:vAlign w:val="center"/>
          </w:tcPr>
          <w:p w14:paraId="2C36AB72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主照明、桌面任务光、柜后/墙面氛围光分开；彩光只做间接氛围，不承担阅读照明。</w:t>
            </w:r>
          </w:p>
        </w:tc>
      </w:tr>
      <w:tr w14:paraId="67322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0" w:type="pct"/>
            <w:shd w:val="clear" w:color="auto" w:fill="F7F8F8"/>
            <w:vAlign w:val="center"/>
          </w:tcPr>
          <w:p w14:paraId="3C42D036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F 厨房</w:t>
            </w:r>
          </w:p>
        </w:tc>
        <w:tc>
          <w:tcPr>
            <w:tcW w:w="560" w:type="pct"/>
            <w:shd w:val="clear" w:color="auto" w:fill="F7F8F8"/>
            <w:vAlign w:val="center"/>
          </w:tcPr>
          <w:p w14:paraId="260C2530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否</w:t>
            </w:r>
          </w:p>
        </w:tc>
        <w:tc>
          <w:tcPr>
            <w:tcW w:w="854" w:type="pct"/>
            <w:shd w:val="clear" w:color="auto" w:fill="F7F8F8"/>
            <w:vAlign w:val="center"/>
          </w:tcPr>
          <w:p w14:paraId="125390B5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固定4000K</w:t>
            </w:r>
          </w:p>
        </w:tc>
        <w:tc>
          <w:tcPr>
            <w:tcW w:w="587" w:type="pct"/>
            <w:shd w:val="clear" w:color="auto" w:fill="F7F8F8"/>
            <w:vAlign w:val="center"/>
          </w:tcPr>
          <w:p w14:paraId="46EA6DBF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2–3路</w:t>
            </w:r>
          </w:p>
        </w:tc>
        <w:tc>
          <w:tcPr>
            <w:tcW w:w="2436" w:type="pct"/>
            <w:shd w:val="clear" w:color="auto" w:fill="F7F8F8"/>
            <w:vAlign w:val="center"/>
          </w:tcPr>
          <w:p w14:paraId="148F0B20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顶面基础光、操作台灯带、洗涤区分开；操作台避免人体挡光。</w:t>
            </w:r>
          </w:p>
        </w:tc>
      </w:tr>
      <w:tr w14:paraId="4EF8E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0" w:type="pct"/>
            <w:vAlign w:val="center"/>
          </w:tcPr>
          <w:p w14:paraId="1655D215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G 卫生间</w:t>
            </w:r>
          </w:p>
        </w:tc>
        <w:tc>
          <w:tcPr>
            <w:tcW w:w="560" w:type="pct"/>
            <w:vAlign w:val="center"/>
          </w:tcPr>
          <w:p w14:paraId="1C98654F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局部</w:t>
            </w:r>
          </w:p>
        </w:tc>
        <w:tc>
          <w:tcPr>
            <w:tcW w:w="854" w:type="pct"/>
            <w:vAlign w:val="center"/>
          </w:tcPr>
          <w:p w14:paraId="28B5DCAB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基础3500K；镜前4000K；夜灯2200–2700K</w:t>
            </w:r>
          </w:p>
        </w:tc>
        <w:tc>
          <w:tcPr>
            <w:tcW w:w="587" w:type="pct"/>
            <w:vAlign w:val="center"/>
          </w:tcPr>
          <w:p w14:paraId="2A2FFA44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3路/间</w:t>
            </w:r>
          </w:p>
        </w:tc>
        <w:tc>
          <w:tcPr>
            <w:tcW w:w="2436" w:type="pct"/>
            <w:vAlign w:val="center"/>
          </w:tcPr>
          <w:p w14:paraId="4EFA9767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基础光、镜前光、低位夜灯分开；夜灯用人体存在感应，静坐时持续保持。</w:t>
            </w:r>
          </w:p>
        </w:tc>
      </w:tr>
      <w:tr w14:paraId="42CB6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0" w:type="pct"/>
            <w:shd w:val="clear" w:color="auto" w:fill="F7F8F8"/>
            <w:vAlign w:val="center"/>
          </w:tcPr>
          <w:p w14:paraId="1A85888D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H 玄关/过道/阳台</w:t>
            </w:r>
          </w:p>
        </w:tc>
        <w:tc>
          <w:tcPr>
            <w:tcW w:w="560" w:type="pct"/>
            <w:shd w:val="clear" w:color="auto" w:fill="F7F8F8"/>
            <w:vAlign w:val="center"/>
          </w:tcPr>
          <w:p w14:paraId="09BBF394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否</w:t>
            </w:r>
          </w:p>
        </w:tc>
        <w:tc>
          <w:tcPr>
            <w:tcW w:w="854" w:type="pct"/>
            <w:shd w:val="clear" w:color="auto" w:fill="F7F8F8"/>
            <w:vAlign w:val="center"/>
          </w:tcPr>
          <w:p w14:paraId="0CDAB016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固定3000K</w:t>
            </w:r>
          </w:p>
        </w:tc>
        <w:tc>
          <w:tcPr>
            <w:tcW w:w="587" w:type="pct"/>
            <w:shd w:val="clear" w:color="auto" w:fill="F7F8F8"/>
            <w:vAlign w:val="center"/>
          </w:tcPr>
          <w:p w14:paraId="12EF9051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按区域</w:t>
            </w:r>
          </w:p>
        </w:tc>
        <w:tc>
          <w:tcPr>
            <w:tcW w:w="2436" w:type="pct"/>
            <w:shd w:val="clear" w:color="auto" w:fill="F7F8F8"/>
            <w:vAlign w:val="center"/>
          </w:tcPr>
          <w:p w14:paraId="38A53D07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63238"/>
                <w:sz w:val="17"/>
              </w:rPr>
              <w:t>可做人感夜间低亮，但必须保留手动控制。</w:t>
            </w:r>
          </w:p>
        </w:tc>
      </w:tr>
    </w:tbl>
    <w:p w14:paraId="027EC9CF">
      <w:pPr>
        <w:pStyle w:val="3"/>
        <w:numPr>
          <w:ilvl w:val="0"/>
          <w:numId w:val="7"/>
        </w:numPr>
        <w:ind w:left="0" w:leftChars="0" w:firstLine="0" w:firstLineChars="0"/>
        <w:rPr>
          <w:rFonts w:eastAsia="黑体"/>
          <w:b w:val="0"/>
          <w:bCs w:val="0"/>
          <w:sz w:val="32"/>
          <w:szCs w:val="44"/>
          <w:bdr w:val="none" w:sz="0" w:space="0"/>
        </w:rPr>
      </w:pPr>
      <w:r>
        <w:rPr>
          <w:rFonts w:ascii="Times New Roman" w:hAnsi="Times New Roman" w:eastAsia="黑体" w:cs="Times New Roman"/>
          <w:b w:val="0"/>
          <w:bCs w:val="0"/>
          <w:sz w:val="32"/>
          <w:szCs w:val="44"/>
        </w:rPr>
        <w:t>建议保留的调光回路</w:t>
      </w:r>
    </w:p>
    <w:p w14:paraId="6A71D57C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253746"/>
          <w:sz w:val="24"/>
          <w:szCs w:val="24"/>
        </w:rPr>
        <w:t>建议总量：</w:t>
      </w:r>
      <w:r>
        <w:rPr>
          <w:rFonts w:ascii="Times New Roman" w:hAnsi="Times New Roman" w:eastAsia="宋体" w:cs="Times New Roman"/>
          <w:b w:val="0"/>
          <w:color w:val="263238"/>
          <w:sz w:val="24"/>
          <w:szCs w:val="24"/>
        </w:rPr>
        <w:t>10–12个调光/氛围回路即可，不需要每一盏灯独立联网。</w:t>
      </w:r>
    </w:p>
    <w:p w14:paraId="7E4531AE">
      <w:pPr>
        <w:pStyle w:val="19"/>
        <w:widowControl/>
        <w:numPr>
          <w:ilvl w:val="0"/>
          <w:numId w:val="3"/>
        </w:numPr>
        <w:ind w:left="547" w:hanging="274"/>
        <w:rPr>
          <w:rFonts w:eastAsia="宋体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263238"/>
          <w:sz w:val="24"/>
          <w:szCs w:val="24"/>
        </w:rPr>
        <w:t>客厅3路：主照明、洗墙/重点射灯、灯带。</w:t>
      </w:r>
    </w:p>
    <w:p w14:paraId="35C6A926">
      <w:pPr>
        <w:pStyle w:val="19"/>
        <w:widowControl/>
        <w:numPr>
          <w:ilvl w:val="0"/>
          <w:numId w:val="3"/>
        </w:numPr>
        <w:ind w:left="547" w:hanging="274"/>
        <w:rPr>
          <w:rFonts w:eastAsia="宋体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263238"/>
          <w:sz w:val="24"/>
          <w:szCs w:val="24"/>
        </w:rPr>
        <w:t>餐桌2路：餐桌吊灯/重点光、周边环境光。</w:t>
      </w:r>
    </w:p>
    <w:p w14:paraId="2ED1AD4E">
      <w:pPr>
        <w:pStyle w:val="19"/>
        <w:widowControl/>
        <w:numPr>
          <w:ilvl w:val="0"/>
          <w:numId w:val="3"/>
        </w:numPr>
        <w:ind w:left="547" w:hanging="274"/>
        <w:rPr>
          <w:rFonts w:eastAsia="宋体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263238"/>
          <w:sz w:val="24"/>
          <w:szCs w:val="24"/>
        </w:rPr>
        <w:t>主卧2–3路：主照明、床头阅读、窗帘盒/床下夜灯。</w:t>
      </w:r>
    </w:p>
    <w:p w14:paraId="35C01CD6">
      <w:pPr>
        <w:pStyle w:val="19"/>
        <w:widowControl/>
        <w:numPr>
          <w:ilvl w:val="0"/>
          <w:numId w:val="3"/>
        </w:numPr>
        <w:ind w:left="547" w:hanging="274"/>
        <w:rPr>
          <w:rFonts w:eastAsia="宋体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263238"/>
          <w:sz w:val="24"/>
          <w:szCs w:val="24"/>
        </w:rPr>
        <w:t>书房3–4路：主照明、桌面任务光、柜后/墙面氛围光；可选一条RGBW间接灯带。</w:t>
      </w:r>
    </w:p>
    <w:p w14:paraId="4B59AA77">
      <w:pPr>
        <w:pStyle w:val="19"/>
        <w:widowControl/>
        <w:numPr>
          <w:ilvl w:val="0"/>
          <w:numId w:val="3"/>
        </w:numPr>
        <w:ind w:left="547" w:hanging="274"/>
        <w:rPr>
          <w:rFonts w:eastAsia="宋体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263238"/>
          <w:sz w:val="24"/>
          <w:szCs w:val="24"/>
        </w:rPr>
        <w:t>卫生间每间单独1路低位夜灯，由人体存在传感器控制；其余回路使用普通开关或普通智能开关。</w:t>
      </w:r>
    </w:p>
    <w:p w14:paraId="57EE3219">
      <w:r>
        <w:br w:type="page"/>
      </w:r>
    </w:p>
    <w:p w14:paraId="028704E9">
      <w:pPr>
        <w:pStyle w:val="3"/>
        <w:numPr>
          <w:ilvl w:val="0"/>
          <w:numId w:val="7"/>
        </w:numPr>
        <w:ind w:left="0" w:leftChars="0" w:firstLine="0" w:firstLineChars="0"/>
        <w:rPr>
          <w:rFonts w:eastAsia="黑体"/>
          <w:b w:val="0"/>
          <w:bCs w:val="0"/>
          <w:sz w:val="32"/>
          <w:szCs w:val="44"/>
          <w:bdr w:val="none" w:sz="0" w:space="0"/>
        </w:rPr>
      </w:pPr>
      <w:r>
        <w:rPr>
          <w:rFonts w:ascii="Times New Roman" w:hAnsi="Times New Roman" w:eastAsia="黑体" w:cs="Times New Roman"/>
          <w:b w:val="0"/>
          <w:bCs w:val="0"/>
          <w:sz w:val="32"/>
          <w:szCs w:val="44"/>
        </w:rPr>
        <w:t>场景参数建议</w:t>
      </w:r>
    </w:p>
    <w:tbl>
      <w:tblPr>
        <w:tblStyle w:val="33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5"/>
        <w:gridCol w:w="3583"/>
        <w:gridCol w:w="2301"/>
        <w:gridCol w:w="2567"/>
      </w:tblGrid>
      <w:tr w14:paraId="3C33E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87" w:type="pct"/>
            <w:shd w:val="clear" w:color="auto" w:fill="25374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D6A799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场景</w:t>
            </w:r>
          </w:p>
        </w:tc>
        <w:tc>
          <w:tcPr>
            <w:tcW w:w="1870" w:type="pct"/>
            <w:shd w:val="clear" w:color="auto" w:fill="25374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B82DD9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亮度组合</w:t>
            </w:r>
          </w:p>
        </w:tc>
        <w:tc>
          <w:tcPr>
            <w:tcW w:w="1201" w:type="pct"/>
            <w:shd w:val="clear" w:color="auto" w:fill="25374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D41B89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色温</w:t>
            </w:r>
          </w:p>
        </w:tc>
        <w:tc>
          <w:tcPr>
            <w:tcW w:w="1340" w:type="pct"/>
            <w:shd w:val="clear" w:color="auto" w:fill="25374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74604F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 w14:paraId="4BADE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7" w:type="pct"/>
            <w:vAlign w:val="center"/>
          </w:tcPr>
          <w:p w14:paraId="466EF2D4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238"/>
                <w:sz w:val="18"/>
              </w:rPr>
              <w:t>日常</w:t>
            </w:r>
          </w:p>
        </w:tc>
        <w:tc>
          <w:tcPr>
            <w:tcW w:w="1870" w:type="pct"/>
            <w:vAlign w:val="center"/>
          </w:tcPr>
          <w:p w14:paraId="638E25ED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238"/>
                <w:sz w:val="18"/>
              </w:rPr>
              <w:t>客厅主灯60–70%；洗墙40–60%；灯带20–30%</w:t>
            </w:r>
          </w:p>
        </w:tc>
        <w:tc>
          <w:tcPr>
            <w:tcW w:w="1201" w:type="pct"/>
            <w:vAlign w:val="center"/>
          </w:tcPr>
          <w:p w14:paraId="55ACAE50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238"/>
                <w:sz w:val="18"/>
              </w:rPr>
              <w:t>3000K</w:t>
            </w:r>
          </w:p>
        </w:tc>
        <w:tc>
          <w:tcPr>
            <w:tcW w:w="1340" w:type="pct"/>
            <w:vAlign w:val="center"/>
          </w:tcPr>
          <w:p w14:paraId="79889607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63238"/>
                <w:sz w:val="18"/>
              </w:rPr>
              <w:t>舒适但不昏暗</w:t>
            </w:r>
          </w:p>
        </w:tc>
      </w:tr>
      <w:tr w14:paraId="6D91C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7" w:type="pct"/>
            <w:shd w:val="clear" w:color="auto" w:fill="F7F8F8"/>
            <w:vAlign w:val="center"/>
          </w:tcPr>
          <w:p w14:paraId="1DE2A190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238"/>
                <w:sz w:val="18"/>
              </w:rPr>
              <w:t>会客</w:t>
            </w:r>
          </w:p>
        </w:tc>
        <w:tc>
          <w:tcPr>
            <w:tcW w:w="1870" w:type="pct"/>
            <w:shd w:val="clear" w:color="auto" w:fill="F7F8F8"/>
            <w:vAlign w:val="center"/>
          </w:tcPr>
          <w:p w14:paraId="396CD6E3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238"/>
                <w:sz w:val="18"/>
              </w:rPr>
              <w:t>客厅主灯75%；重点光70%；灯带30%</w:t>
            </w:r>
          </w:p>
        </w:tc>
        <w:tc>
          <w:tcPr>
            <w:tcW w:w="1201" w:type="pct"/>
            <w:shd w:val="clear" w:color="auto" w:fill="F7F8F8"/>
            <w:vAlign w:val="center"/>
          </w:tcPr>
          <w:p w14:paraId="38D9939C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238"/>
                <w:sz w:val="18"/>
              </w:rPr>
              <w:t>3000–3500K</w:t>
            </w:r>
          </w:p>
        </w:tc>
        <w:tc>
          <w:tcPr>
            <w:tcW w:w="1340" w:type="pct"/>
            <w:shd w:val="clear" w:color="auto" w:fill="F7F8F8"/>
            <w:vAlign w:val="center"/>
          </w:tcPr>
          <w:p w14:paraId="01664D87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63238"/>
                <w:sz w:val="18"/>
              </w:rPr>
              <w:t>人脸清晰、空间有层次</w:t>
            </w:r>
          </w:p>
        </w:tc>
      </w:tr>
      <w:tr w14:paraId="5B561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7" w:type="pct"/>
            <w:vAlign w:val="center"/>
          </w:tcPr>
          <w:p w14:paraId="722CEF83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238"/>
                <w:sz w:val="18"/>
              </w:rPr>
              <w:t>观影</w:t>
            </w:r>
          </w:p>
        </w:tc>
        <w:tc>
          <w:tcPr>
            <w:tcW w:w="1870" w:type="pct"/>
            <w:vAlign w:val="center"/>
          </w:tcPr>
          <w:p w14:paraId="2A2EBD84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238"/>
                <w:sz w:val="18"/>
              </w:rPr>
              <w:t>主灯0–10%；电视背景/灯带10–15%</w:t>
            </w:r>
          </w:p>
        </w:tc>
        <w:tc>
          <w:tcPr>
            <w:tcW w:w="1201" w:type="pct"/>
            <w:vAlign w:val="center"/>
          </w:tcPr>
          <w:p w14:paraId="5D9B0418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238"/>
                <w:sz w:val="18"/>
              </w:rPr>
              <w:t>2700–3000K</w:t>
            </w:r>
          </w:p>
        </w:tc>
        <w:tc>
          <w:tcPr>
            <w:tcW w:w="1340" w:type="pct"/>
            <w:vAlign w:val="center"/>
          </w:tcPr>
          <w:p w14:paraId="1A237662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63238"/>
                <w:sz w:val="18"/>
              </w:rPr>
              <w:t>屏幕周边留微弱背景光</w:t>
            </w:r>
          </w:p>
        </w:tc>
      </w:tr>
      <w:tr w14:paraId="7751C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7" w:type="pct"/>
            <w:shd w:val="clear" w:color="auto" w:fill="F7F8F8"/>
            <w:vAlign w:val="center"/>
          </w:tcPr>
          <w:p w14:paraId="3BE56C53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238"/>
                <w:sz w:val="18"/>
              </w:rPr>
              <w:t>用餐</w:t>
            </w:r>
          </w:p>
        </w:tc>
        <w:tc>
          <w:tcPr>
            <w:tcW w:w="1870" w:type="pct"/>
            <w:shd w:val="clear" w:color="auto" w:fill="F7F8F8"/>
            <w:vAlign w:val="center"/>
          </w:tcPr>
          <w:p w14:paraId="4569FA4C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238"/>
                <w:sz w:val="18"/>
              </w:rPr>
              <w:t>餐桌灯65–80%；周边20–35%</w:t>
            </w:r>
          </w:p>
        </w:tc>
        <w:tc>
          <w:tcPr>
            <w:tcW w:w="1201" w:type="pct"/>
            <w:shd w:val="clear" w:color="auto" w:fill="F7F8F8"/>
            <w:vAlign w:val="center"/>
          </w:tcPr>
          <w:p w14:paraId="5703AB24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238"/>
                <w:sz w:val="18"/>
              </w:rPr>
              <w:t>2700–3000K</w:t>
            </w:r>
          </w:p>
        </w:tc>
        <w:tc>
          <w:tcPr>
            <w:tcW w:w="1340" w:type="pct"/>
            <w:shd w:val="clear" w:color="auto" w:fill="F7F8F8"/>
            <w:vAlign w:val="center"/>
          </w:tcPr>
          <w:p w14:paraId="35D3E3B9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63238"/>
                <w:sz w:val="18"/>
              </w:rPr>
              <w:t>重点落在桌面，不刺眼</w:t>
            </w:r>
          </w:p>
        </w:tc>
      </w:tr>
      <w:tr w14:paraId="17C4B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7" w:type="pct"/>
            <w:vAlign w:val="center"/>
          </w:tcPr>
          <w:p w14:paraId="4D9A7675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238"/>
                <w:sz w:val="18"/>
              </w:rPr>
              <w:t>睡前</w:t>
            </w:r>
          </w:p>
        </w:tc>
        <w:tc>
          <w:tcPr>
            <w:tcW w:w="1870" w:type="pct"/>
            <w:vAlign w:val="center"/>
          </w:tcPr>
          <w:p w14:paraId="46878B6A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238"/>
                <w:sz w:val="18"/>
              </w:rPr>
              <w:t>主卧主灯0–15%；床头/灯带10–20%</w:t>
            </w:r>
          </w:p>
        </w:tc>
        <w:tc>
          <w:tcPr>
            <w:tcW w:w="1201" w:type="pct"/>
            <w:vAlign w:val="center"/>
          </w:tcPr>
          <w:p w14:paraId="1ECCE9F5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238"/>
                <w:sz w:val="18"/>
              </w:rPr>
              <w:t>2700K</w:t>
            </w:r>
          </w:p>
        </w:tc>
        <w:tc>
          <w:tcPr>
            <w:tcW w:w="1340" w:type="pct"/>
            <w:vAlign w:val="center"/>
          </w:tcPr>
          <w:p w14:paraId="6D9C73EE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63238"/>
                <w:sz w:val="18"/>
              </w:rPr>
              <w:t>避免顶光直射；渐暗3–5秒</w:t>
            </w:r>
          </w:p>
        </w:tc>
      </w:tr>
      <w:tr w14:paraId="41332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7" w:type="pct"/>
            <w:shd w:val="clear" w:color="auto" w:fill="F7F8F8"/>
            <w:vAlign w:val="center"/>
          </w:tcPr>
          <w:p w14:paraId="6D1CF748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238"/>
                <w:sz w:val="18"/>
              </w:rPr>
              <w:t>阅读</w:t>
            </w:r>
          </w:p>
        </w:tc>
        <w:tc>
          <w:tcPr>
            <w:tcW w:w="1870" w:type="pct"/>
            <w:shd w:val="clear" w:color="auto" w:fill="F7F8F8"/>
            <w:vAlign w:val="center"/>
          </w:tcPr>
          <w:p w14:paraId="1404BB4F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238"/>
                <w:sz w:val="18"/>
              </w:rPr>
              <w:t>主卧/书房任务光70–100%</w:t>
            </w:r>
          </w:p>
        </w:tc>
        <w:tc>
          <w:tcPr>
            <w:tcW w:w="1201" w:type="pct"/>
            <w:shd w:val="clear" w:color="auto" w:fill="F7F8F8"/>
            <w:vAlign w:val="center"/>
          </w:tcPr>
          <w:p w14:paraId="1449859D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238"/>
                <w:sz w:val="18"/>
              </w:rPr>
              <w:t>主卧3000–3500K；书房3500–4000K</w:t>
            </w:r>
          </w:p>
        </w:tc>
        <w:tc>
          <w:tcPr>
            <w:tcW w:w="1340" w:type="pct"/>
            <w:shd w:val="clear" w:color="auto" w:fill="F7F8F8"/>
            <w:vAlign w:val="center"/>
          </w:tcPr>
          <w:p w14:paraId="68B41F4D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63238"/>
                <w:sz w:val="18"/>
              </w:rPr>
              <w:t>阅读灯单独控制</w:t>
            </w:r>
          </w:p>
        </w:tc>
      </w:tr>
      <w:tr w14:paraId="66C90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7" w:type="pct"/>
            <w:vAlign w:val="center"/>
          </w:tcPr>
          <w:p w14:paraId="2C14D564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238"/>
                <w:sz w:val="18"/>
              </w:rPr>
              <w:t>游戏</w:t>
            </w:r>
          </w:p>
        </w:tc>
        <w:tc>
          <w:tcPr>
            <w:tcW w:w="1870" w:type="pct"/>
            <w:vAlign w:val="center"/>
          </w:tcPr>
          <w:p w14:paraId="250974C5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238"/>
                <w:sz w:val="18"/>
              </w:rPr>
              <w:t>书房主灯5–20%；桌后/柜后氛围光20–40%</w:t>
            </w:r>
          </w:p>
        </w:tc>
        <w:tc>
          <w:tcPr>
            <w:tcW w:w="1201" w:type="pct"/>
            <w:vAlign w:val="center"/>
          </w:tcPr>
          <w:p w14:paraId="52FD04F5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238"/>
                <w:sz w:val="18"/>
              </w:rPr>
              <w:t>基础光2700–3000K；可选低饱和RGBW</w:t>
            </w:r>
          </w:p>
        </w:tc>
        <w:tc>
          <w:tcPr>
            <w:tcW w:w="1340" w:type="pct"/>
            <w:vAlign w:val="center"/>
          </w:tcPr>
          <w:p w14:paraId="34E1786C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63238"/>
                <w:sz w:val="18"/>
              </w:rPr>
              <w:t>屏幕背后留偏置光，避免全黑和高饱和彩光</w:t>
            </w:r>
          </w:p>
        </w:tc>
      </w:tr>
      <w:tr w14:paraId="086B6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7" w:type="pct"/>
            <w:shd w:val="clear" w:color="auto" w:fill="F7F8F8"/>
            <w:vAlign w:val="center"/>
          </w:tcPr>
          <w:p w14:paraId="5BE4BC8E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238"/>
                <w:sz w:val="18"/>
              </w:rPr>
              <w:t>起夜</w:t>
            </w:r>
          </w:p>
        </w:tc>
        <w:tc>
          <w:tcPr>
            <w:tcW w:w="1870" w:type="pct"/>
            <w:shd w:val="clear" w:color="auto" w:fill="F7F8F8"/>
            <w:vAlign w:val="center"/>
          </w:tcPr>
          <w:p w14:paraId="3648D45D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238"/>
                <w:sz w:val="18"/>
              </w:rPr>
              <w:t>床下/过道夜灯1–5%</w:t>
            </w:r>
          </w:p>
        </w:tc>
        <w:tc>
          <w:tcPr>
            <w:tcW w:w="1201" w:type="pct"/>
            <w:shd w:val="clear" w:color="auto" w:fill="F7F8F8"/>
            <w:vAlign w:val="center"/>
          </w:tcPr>
          <w:p w14:paraId="1E9F21FF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238"/>
                <w:sz w:val="18"/>
              </w:rPr>
              <w:t>2200–2700K</w:t>
            </w:r>
          </w:p>
        </w:tc>
        <w:tc>
          <w:tcPr>
            <w:tcW w:w="1340" w:type="pct"/>
            <w:shd w:val="clear" w:color="auto" w:fill="F7F8F8"/>
            <w:vAlign w:val="center"/>
          </w:tcPr>
          <w:p w14:paraId="2373872C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63238"/>
                <w:sz w:val="18"/>
              </w:rPr>
              <w:t>人体感应；不点亮顶灯</w:t>
            </w:r>
          </w:p>
        </w:tc>
      </w:tr>
      <w:tr w14:paraId="1F10F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7" w:type="pct"/>
            <w:vAlign w:val="center"/>
          </w:tcPr>
          <w:p w14:paraId="2C9032C1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238"/>
                <w:sz w:val="18"/>
              </w:rPr>
              <w:t>如厕夜灯</w:t>
            </w:r>
          </w:p>
        </w:tc>
        <w:tc>
          <w:tcPr>
            <w:tcW w:w="1870" w:type="pct"/>
            <w:vAlign w:val="center"/>
          </w:tcPr>
          <w:p w14:paraId="171A3AEF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238"/>
                <w:sz w:val="18"/>
              </w:rPr>
              <w:t>卫生间低位灯3–8%</w:t>
            </w:r>
          </w:p>
        </w:tc>
        <w:tc>
          <w:tcPr>
            <w:tcW w:w="1201" w:type="pct"/>
            <w:vAlign w:val="center"/>
          </w:tcPr>
          <w:p w14:paraId="5C62490A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238"/>
                <w:sz w:val="18"/>
              </w:rPr>
              <w:t>2200–2700K</w:t>
            </w:r>
          </w:p>
        </w:tc>
        <w:tc>
          <w:tcPr>
            <w:tcW w:w="1340" w:type="pct"/>
            <w:vAlign w:val="center"/>
          </w:tcPr>
          <w:p w14:paraId="2EB3E3A5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63238"/>
                <w:sz w:val="18"/>
              </w:rPr>
              <w:t>检测到进入即亮；持续有人不熄灭；离开后60–120秒熄灭</w:t>
            </w:r>
          </w:p>
        </w:tc>
      </w:tr>
      <w:tr w14:paraId="035EC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7" w:type="pct"/>
            <w:shd w:val="clear" w:color="auto" w:fill="F7F8F8"/>
            <w:vAlign w:val="center"/>
          </w:tcPr>
          <w:p w14:paraId="3F28A2B7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238"/>
                <w:sz w:val="18"/>
              </w:rPr>
              <w:t>清洁</w:t>
            </w:r>
          </w:p>
        </w:tc>
        <w:tc>
          <w:tcPr>
            <w:tcW w:w="1870" w:type="pct"/>
            <w:shd w:val="clear" w:color="auto" w:fill="F7F8F8"/>
            <w:vAlign w:val="center"/>
          </w:tcPr>
          <w:p w14:paraId="59F63C5F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238"/>
                <w:sz w:val="18"/>
              </w:rPr>
              <w:t>相关空间100%</w:t>
            </w:r>
          </w:p>
        </w:tc>
        <w:tc>
          <w:tcPr>
            <w:tcW w:w="1201" w:type="pct"/>
            <w:shd w:val="clear" w:color="auto" w:fill="F7F8F8"/>
            <w:vAlign w:val="center"/>
          </w:tcPr>
          <w:p w14:paraId="7E812787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238"/>
                <w:sz w:val="18"/>
              </w:rPr>
              <w:t>3500–4000K</w:t>
            </w:r>
          </w:p>
        </w:tc>
        <w:tc>
          <w:tcPr>
            <w:tcW w:w="1340" w:type="pct"/>
            <w:shd w:val="clear" w:color="auto" w:fill="F7F8F8"/>
            <w:vAlign w:val="center"/>
          </w:tcPr>
          <w:p w14:paraId="5F85586B">
            <w:pPr>
              <w:spacing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63238"/>
                <w:sz w:val="18"/>
              </w:rPr>
              <w:t>临时高亮，不作为日常默认</w:t>
            </w:r>
          </w:p>
        </w:tc>
      </w:tr>
    </w:tbl>
    <w:p w14:paraId="3ECB4F75">
      <w:pPr>
        <w:pStyle w:val="3"/>
        <w:numPr>
          <w:ilvl w:val="0"/>
          <w:numId w:val="7"/>
        </w:numPr>
        <w:ind w:left="0" w:leftChars="0" w:firstLine="0" w:firstLineChars="0"/>
        <w:rPr>
          <w:rFonts w:eastAsia="黑体"/>
          <w:b w:val="0"/>
          <w:bCs w:val="0"/>
          <w:sz w:val="32"/>
          <w:szCs w:val="44"/>
          <w:bdr w:val="none" w:sz="0" w:space="0"/>
        </w:rPr>
      </w:pPr>
      <w:r>
        <w:rPr>
          <w:rFonts w:ascii="Times New Roman" w:hAnsi="Times New Roman" w:eastAsia="黑体" w:cs="Times New Roman"/>
          <w:b w:val="0"/>
          <w:bCs w:val="0"/>
          <w:sz w:val="32"/>
          <w:szCs w:val="44"/>
        </w:rPr>
        <w:t>灯具与光品质底线</w:t>
      </w:r>
    </w:p>
    <w:p w14:paraId="5E98F1B3">
      <w:pPr>
        <w:pStyle w:val="19"/>
        <w:widowControl/>
        <w:numPr>
          <w:ilvl w:val="0"/>
          <w:numId w:val="3"/>
        </w:numPr>
        <w:ind w:left="547" w:hanging="274"/>
        <w:rPr>
          <w:rFonts w:eastAsia="宋体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263238"/>
          <w:sz w:val="24"/>
          <w:szCs w:val="24"/>
        </w:rPr>
        <w:t>显色指数：全屋Ra≥90；餐桌、装饰画、梳妆区域建议Ra≥95，R9&gt;50。</w:t>
      </w:r>
    </w:p>
    <w:p w14:paraId="7EA7A7A7">
      <w:pPr>
        <w:pStyle w:val="19"/>
        <w:widowControl/>
        <w:numPr>
          <w:ilvl w:val="0"/>
          <w:numId w:val="3"/>
        </w:numPr>
        <w:ind w:left="547" w:hanging="274"/>
        <w:rPr>
          <w:rFonts w:eastAsia="宋体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263238"/>
          <w:sz w:val="24"/>
          <w:szCs w:val="24"/>
        </w:rPr>
        <w:t>防眩：优先深杯、防眩角合理的灯具；坐姿和卧姿下不能直接看到刺眼光源。</w:t>
      </w:r>
    </w:p>
    <w:p w14:paraId="66DAB05A">
      <w:pPr>
        <w:pStyle w:val="19"/>
        <w:widowControl/>
        <w:numPr>
          <w:ilvl w:val="0"/>
          <w:numId w:val="3"/>
        </w:numPr>
        <w:ind w:left="547" w:hanging="274"/>
        <w:rPr>
          <w:rFonts w:eastAsia="宋体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263238"/>
          <w:sz w:val="24"/>
          <w:szCs w:val="24"/>
        </w:rPr>
        <w:t>调光：低亮不闪烁、不跳变、不啸叫；建议稳定调到10%以下，氛围回路最好到1–5%。</w:t>
      </w:r>
    </w:p>
    <w:p w14:paraId="5AD97B3C">
      <w:pPr>
        <w:pStyle w:val="19"/>
        <w:widowControl/>
        <w:numPr>
          <w:ilvl w:val="0"/>
          <w:numId w:val="3"/>
        </w:numPr>
        <w:ind w:left="547" w:hanging="274"/>
        <w:rPr>
          <w:rFonts w:eastAsia="宋体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263238"/>
          <w:sz w:val="24"/>
          <w:szCs w:val="24"/>
        </w:rPr>
        <w:t>同一可视空间灯具色容差≤3 SDCM；相邻灯具不得出现明显偏绿、偏粉。</w:t>
      </w:r>
    </w:p>
    <w:p w14:paraId="774E5358">
      <w:pPr>
        <w:pStyle w:val="19"/>
        <w:widowControl/>
        <w:numPr>
          <w:ilvl w:val="0"/>
          <w:numId w:val="3"/>
        </w:numPr>
        <w:ind w:left="547" w:hanging="274"/>
        <w:rPr>
          <w:rFonts w:eastAsia="宋体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263238"/>
          <w:sz w:val="24"/>
          <w:szCs w:val="24"/>
        </w:rPr>
        <w:t>灯带：采用铝槽散热并保留检修口；驱动留20%左右功率余量，禁止封死在吊顶内。</w:t>
      </w:r>
    </w:p>
    <w:p w14:paraId="4DCB8BAC">
      <w:r>
        <w:br w:type="page"/>
      </w:r>
    </w:p>
    <w:p w14:paraId="062C7426">
      <w:pPr>
        <w:pStyle w:val="3"/>
        <w:numPr>
          <w:ilvl w:val="0"/>
          <w:numId w:val="7"/>
        </w:numPr>
        <w:ind w:left="0" w:leftChars="0" w:firstLine="0" w:firstLineChars="0"/>
        <w:rPr>
          <w:rFonts w:eastAsia="黑体"/>
          <w:b w:val="0"/>
          <w:bCs w:val="0"/>
          <w:sz w:val="32"/>
          <w:szCs w:val="44"/>
          <w:bdr w:val="none" w:sz="0" w:space="0"/>
        </w:rPr>
      </w:pPr>
      <w:r>
        <w:rPr>
          <w:rFonts w:ascii="Times New Roman" w:hAnsi="Times New Roman" w:eastAsia="黑体" w:cs="Times New Roman"/>
          <w:b w:val="0"/>
          <w:bCs w:val="0"/>
          <w:sz w:val="32"/>
          <w:szCs w:val="44"/>
        </w:rPr>
        <w:t>发给灯光设计师/智能控制商的执行要求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5626B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6EBD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E55F6ED">
            <w:pPr>
              <w:spacing w:after="40"/>
            </w:pPr>
            <w:r>
              <w:rPr>
                <w:rFonts w:ascii="微软雅黑" w:hAnsi="微软雅黑" w:eastAsia="微软雅黑"/>
                <w:b/>
                <w:color w:val="B28B53"/>
                <w:sz w:val="21"/>
              </w:rPr>
              <w:t xml:space="preserve">可直接复制给对方  </w:t>
            </w:r>
            <w:r>
              <w:rPr>
                <w:rFonts w:ascii="微软雅黑" w:hAnsi="微软雅黑" w:eastAsia="微软雅黑"/>
                <w:b w:val="0"/>
                <w:color w:val="263238"/>
                <w:sz w:val="21"/>
              </w:rPr>
              <w:t>请按本文件的A–H分区出灯位图、回路图和报价。重点调光限A客厅、B餐桌、C主卧、E书房；G卫生间单独设置低位夜灯和人体存在感应。其余空间固定色温。报价必须分别列明灯体、驱动、电源、控制模块、面板、传感器、网关及调试费。</w:t>
            </w:r>
          </w:p>
        </w:tc>
      </w:tr>
    </w:tbl>
    <w:p w14:paraId="650290C9">
      <w:pPr>
        <w:spacing w:after="0"/>
      </w:pPr>
    </w:p>
    <w:p w14:paraId="5E2FEC4C">
      <w:pPr>
        <w:pStyle w:val="4"/>
        <w:rPr>
          <w:rFonts w:ascii="Times New Roman" w:hAnsi="Times New Roman" w:eastAsia="黑体" w:cs="Times New Roman"/>
          <w:b w:val="0"/>
          <w:bCs w:val="0"/>
          <w:sz w:val="30"/>
          <w:szCs w:val="32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图纸与报价必须交付</w:t>
      </w:r>
    </w:p>
    <w:p w14:paraId="37DCAD98">
      <w:pPr>
        <w:pStyle w:val="19"/>
        <w:widowControl/>
        <w:numPr>
          <w:ilvl w:val="0"/>
          <w:numId w:val="3"/>
        </w:numPr>
        <w:ind w:left="547" w:hanging="274"/>
        <w:rPr>
          <w:rFonts w:eastAsia="宋体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263238"/>
          <w:sz w:val="24"/>
          <w:szCs w:val="24"/>
        </w:rPr>
        <w:t>灯位图：标注灯型、功率、光束角、开孔尺寸、离墙距离和照射对象。</w:t>
      </w:r>
    </w:p>
    <w:p w14:paraId="48FCBEAB">
      <w:pPr>
        <w:pStyle w:val="19"/>
        <w:widowControl/>
        <w:numPr>
          <w:ilvl w:val="0"/>
          <w:numId w:val="3"/>
        </w:numPr>
        <w:ind w:left="547" w:hanging="274"/>
        <w:rPr>
          <w:rFonts w:eastAsia="宋体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263238"/>
          <w:sz w:val="24"/>
          <w:szCs w:val="24"/>
        </w:rPr>
        <w:t>回路表：每路名称、灯具数量、总功率、调光方式、驱动型号、控制模块型号。</w:t>
      </w:r>
    </w:p>
    <w:p w14:paraId="1926A8BF">
      <w:pPr>
        <w:pStyle w:val="19"/>
        <w:widowControl/>
        <w:numPr>
          <w:ilvl w:val="0"/>
          <w:numId w:val="3"/>
        </w:numPr>
        <w:ind w:left="547" w:hanging="274"/>
        <w:rPr>
          <w:rFonts w:eastAsia="宋体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263238"/>
          <w:sz w:val="24"/>
          <w:szCs w:val="24"/>
        </w:rPr>
        <w:t>场景表：至少包含日常、会客、观影、用餐、睡前、阅读、起夜、清洁。</w:t>
      </w:r>
    </w:p>
    <w:p w14:paraId="1BFCB8B6">
      <w:pPr>
        <w:pStyle w:val="19"/>
        <w:widowControl/>
        <w:numPr>
          <w:ilvl w:val="0"/>
          <w:numId w:val="3"/>
        </w:numPr>
        <w:ind w:left="547" w:hanging="274"/>
        <w:rPr>
          <w:rFonts w:eastAsia="宋体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263238"/>
          <w:sz w:val="24"/>
          <w:szCs w:val="24"/>
        </w:rPr>
        <w:t>照度计算或现场验证：餐桌面、厨房台面、书桌、卫生间镜前等任务面单独校核。</w:t>
      </w:r>
    </w:p>
    <w:p w14:paraId="13F05621">
      <w:pPr>
        <w:pStyle w:val="19"/>
        <w:widowControl/>
        <w:numPr>
          <w:ilvl w:val="0"/>
          <w:numId w:val="3"/>
        </w:numPr>
        <w:ind w:left="547" w:hanging="274"/>
        <w:rPr>
          <w:rFonts w:eastAsia="宋体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263238"/>
          <w:sz w:val="24"/>
          <w:szCs w:val="24"/>
        </w:rPr>
        <w:t>协议说明：同一调光回路的灯具、驱动和控制器必须兼容；不得只写“支持智能”。</w:t>
      </w:r>
    </w:p>
    <w:p w14:paraId="5282D297">
      <w:pPr>
        <w:pStyle w:val="4"/>
        <w:rPr>
          <w:rFonts w:ascii="Times New Roman" w:hAnsi="Times New Roman" w:eastAsia="黑体" w:cs="Times New Roman"/>
          <w:b w:val="0"/>
          <w:bCs w:val="0"/>
          <w:sz w:val="30"/>
          <w:szCs w:val="32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卫生间夜灯感应专项要求</w:t>
      </w:r>
    </w:p>
    <w:p w14:paraId="23C2C87E">
      <w:pPr>
        <w:pStyle w:val="19"/>
        <w:widowControl/>
        <w:numPr>
          <w:ilvl w:val="0"/>
          <w:numId w:val="3"/>
        </w:numPr>
        <w:ind w:left="547" w:hanging="274"/>
        <w:rPr>
          <w:rFonts w:eastAsia="宋体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263238"/>
          <w:sz w:val="24"/>
          <w:szCs w:val="24"/>
        </w:rPr>
        <w:t>传感器类型：优先毫米波人体存在传感器，或明确支持静止存在检测的融合传感器；不要只用普通PIR人体红外。</w:t>
      </w:r>
    </w:p>
    <w:p w14:paraId="163B37B0">
      <w:pPr>
        <w:pStyle w:val="19"/>
        <w:widowControl/>
        <w:numPr>
          <w:ilvl w:val="0"/>
          <w:numId w:val="3"/>
        </w:numPr>
        <w:ind w:left="547" w:hanging="274"/>
        <w:rPr>
          <w:rFonts w:eastAsia="宋体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263238"/>
          <w:sz w:val="24"/>
          <w:szCs w:val="24"/>
        </w:rPr>
        <w:t>逻辑：夜间且环境照度低时，检测到进入开启低位灯；只要持续检测到有人，灯不得熄灭；无人后延时60–120秒关闭。</w:t>
      </w:r>
    </w:p>
    <w:p w14:paraId="3DF14A6E">
      <w:pPr>
        <w:pStyle w:val="19"/>
        <w:widowControl/>
        <w:numPr>
          <w:ilvl w:val="0"/>
          <w:numId w:val="3"/>
        </w:numPr>
        <w:ind w:left="547" w:hanging="274"/>
        <w:rPr>
          <w:rFonts w:eastAsia="宋体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263238"/>
          <w:sz w:val="24"/>
          <w:szCs w:val="24"/>
        </w:rPr>
        <w:t>位置：低位灯距地约150–300mm，避开直视眼睛；传感器覆盖坐便器区域，同时避免穿墙误触发。</w:t>
      </w:r>
    </w:p>
    <w:p w14:paraId="7EB6D04A">
      <w:pPr>
        <w:pStyle w:val="19"/>
        <w:widowControl/>
        <w:numPr>
          <w:ilvl w:val="0"/>
          <w:numId w:val="3"/>
        </w:numPr>
        <w:ind w:left="547" w:hanging="274"/>
        <w:rPr>
          <w:rFonts w:eastAsia="宋体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263238"/>
          <w:sz w:val="24"/>
          <w:szCs w:val="24"/>
        </w:rPr>
        <w:t>保留墙面手动键，可临时常亮或关闭自动模式；传感器断线时基础照明仍可正常使用。</w:t>
      </w:r>
    </w:p>
    <w:p w14:paraId="0E29F212">
      <w:pPr>
        <w:pStyle w:val="19"/>
        <w:widowControl/>
        <w:numPr>
          <w:ilvl w:val="0"/>
          <w:numId w:val="3"/>
        </w:numPr>
        <w:ind w:left="547" w:hanging="274"/>
        <w:rPr>
          <w:rFonts w:eastAsia="宋体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263238"/>
          <w:sz w:val="24"/>
          <w:szCs w:val="24"/>
        </w:rPr>
        <w:t>现场必须进行“静坐5分钟”验收测试，确认坐着如厕期间不熄灯。</w:t>
      </w:r>
    </w:p>
    <w:p w14:paraId="39E81B34">
      <w:pPr>
        <w:pStyle w:val="4"/>
        <w:rPr>
          <w:rFonts w:ascii="Times New Roman" w:hAnsi="Times New Roman" w:eastAsia="黑体" w:cs="Times New Roman"/>
          <w:b w:val="0"/>
          <w:bCs w:val="0"/>
          <w:sz w:val="30"/>
          <w:szCs w:val="32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控制协议建议</w:t>
      </w:r>
    </w:p>
    <w:p w14:paraId="0611D352">
      <w:pPr>
        <w:pStyle w:val="19"/>
        <w:widowControl/>
        <w:numPr>
          <w:ilvl w:val="0"/>
          <w:numId w:val="3"/>
        </w:numPr>
        <w:ind w:left="547" w:hanging="274"/>
        <w:rPr>
          <w:rFonts w:eastAsia="宋体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263238"/>
          <w:sz w:val="24"/>
          <w:szCs w:val="24"/>
        </w:rPr>
        <w:t>装修前、愿意布控制线：优先采用DALI-2；需要调色温的回路采用DT8。</w:t>
      </w:r>
    </w:p>
    <w:p w14:paraId="55F9D6AB">
      <w:pPr>
        <w:pStyle w:val="19"/>
        <w:widowControl/>
        <w:numPr>
          <w:ilvl w:val="0"/>
          <w:numId w:val="3"/>
        </w:numPr>
        <w:ind w:left="547" w:hanging="274"/>
        <w:rPr>
          <w:rFonts w:eastAsia="宋体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263238"/>
          <w:sz w:val="24"/>
          <w:szCs w:val="24"/>
        </w:rPr>
        <w:t>预算型方案：采用经过样灯验证的前沿/后沿相位调光或0–10V调光；灯具驱动必须明确匹配。</w:t>
      </w:r>
    </w:p>
    <w:p w14:paraId="4EB8C3DF">
      <w:pPr>
        <w:pStyle w:val="19"/>
        <w:widowControl/>
        <w:numPr>
          <w:ilvl w:val="0"/>
          <w:numId w:val="3"/>
        </w:numPr>
        <w:ind w:left="547" w:hanging="274"/>
        <w:rPr>
          <w:rFonts w:eastAsia="宋体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263238"/>
          <w:sz w:val="24"/>
          <w:szCs w:val="24"/>
        </w:rPr>
        <w:t>无线方案可用，但墙面按键必须具备本地控制能力；网络或云端故障时仍能开关基础照明。</w:t>
      </w:r>
    </w:p>
    <w:p w14:paraId="412AA152">
      <w:pPr>
        <w:pStyle w:val="19"/>
        <w:widowControl/>
        <w:numPr>
          <w:ilvl w:val="0"/>
          <w:numId w:val="3"/>
        </w:numPr>
        <w:ind w:left="547" w:hanging="274"/>
        <w:rPr>
          <w:rFonts w:eastAsia="宋体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263238"/>
          <w:sz w:val="24"/>
          <w:szCs w:val="24"/>
        </w:rPr>
        <w:t>不要混用多套App控制日常灯光；场景由一个主系统统一调用。</w:t>
      </w:r>
    </w:p>
    <w:p w14:paraId="1AE45DC0">
      <w:pPr>
        <w:pStyle w:val="4"/>
        <w:rPr>
          <w:rFonts w:ascii="Times New Roman" w:hAnsi="Times New Roman" w:eastAsia="黑体" w:cs="Times New Roman"/>
          <w:b w:val="0"/>
          <w:bCs w:val="0"/>
          <w:sz w:val="30"/>
          <w:szCs w:val="32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签单前样灯测试</w:t>
      </w:r>
    </w:p>
    <w:tbl>
      <w:tblPr>
        <w:tblStyle w:val="33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0"/>
        <w:gridCol w:w="8658"/>
      </w:tblGrid>
      <w:tr w14:paraId="37D02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80" w:type="pct"/>
            <w:shd w:val="clear" w:color="auto" w:fill="25374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BCA0D6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确认</w:t>
            </w:r>
          </w:p>
        </w:tc>
        <w:tc>
          <w:tcPr>
            <w:tcW w:w="4519" w:type="pct"/>
            <w:shd w:val="clear" w:color="auto" w:fill="25374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55A02D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验收项目</w:t>
            </w:r>
          </w:p>
        </w:tc>
      </w:tr>
      <w:tr w14:paraId="34F3C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pct"/>
            <w:vAlign w:val="center"/>
          </w:tcPr>
          <w:p w14:paraId="0211CA9A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238"/>
                <w:sz w:val="18"/>
              </w:rPr>
              <w:t>□</w:t>
            </w:r>
          </w:p>
        </w:tc>
        <w:tc>
          <w:tcPr>
            <w:tcW w:w="4519" w:type="pct"/>
            <w:vAlign w:val="center"/>
          </w:tcPr>
          <w:p w14:paraId="5AC2B3E9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238"/>
                <w:sz w:val="18"/>
              </w:rPr>
              <w:t>从100%缓慢调到最低亮度，全程无闪烁、跳变、啸叫</w:t>
            </w:r>
          </w:p>
        </w:tc>
      </w:tr>
      <w:tr w14:paraId="1BCA4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pct"/>
            <w:shd w:val="clear" w:color="auto" w:fill="F7F8F8"/>
            <w:vAlign w:val="center"/>
          </w:tcPr>
          <w:p w14:paraId="6B8724EF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238"/>
                <w:sz w:val="18"/>
              </w:rPr>
              <w:t>□</w:t>
            </w:r>
          </w:p>
        </w:tc>
        <w:tc>
          <w:tcPr>
            <w:tcW w:w="4519" w:type="pct"/>
            <w:shd w:val="clear" w:color="auto" w:fill="F7F8F8"/>
            <w:vAlign w:val="center"/>
          </w:tcPr>
          <w:p w14:paraId="04DCF93F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238"/>
                <w:sz w:val="18"/>
              </w:rPr>
              <w:t>最低亮度连续点亮15分钟不熄灭，关灯后再次开启状态符合约定</w:t>
            </w:r>
          </w:p>
        </w:tc>
      </w:tr>
      <w:tr w14:paraId="70D6E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pct"/>
            <w:vAlign w:val="center"/>
          </w:tcPr>
          <w:p w14:paraId="4B73654B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238"/>
                <w:sz w:val="18"/>
              </w:rPr>
              <w:t>□</w:t>
            </w:r>
          </w:p>
        </w:tc>
        <w:tc>
          <w:tcPr>
            <w:tcW w:w="4519" w:type="pct"/>
            <w:vAlign w:val="center"/>
          </w:tcPr>
          <w:p w14:paraId="321D7288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238"/>
                <w:sz w:val="18"/>
              </w:rPr>
              <w:t>摄像头慢动作拍摄无明显频闪条纹；必要时用专业仪器复核</w:t>
            </w:r>
          </w:p>
        </w:tc>
      </w:tr>
      <w:tr w14:paraId="28FFA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pct"/>
            <w:shd w:val="clear" w:color="auto" w:fill="F7F8F8"/>
            <w:vAlign w:val="center"/>
          </w:tcPr>
          <w:p w14:paraId="134D3043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238"/>
                <w:sz w:val="18"/>
              </w:rPr>
              <w:t>□</w:t>
            </w:r>
          </w:p>
        </w:tc>
        <w:tc>
          <w:tcPr>
            <w:tcW w:w="4519" w:type="pct"/>
            <w:shd w:val="clear" w:color="auto" w:fill="F7F8F8"/>
            <w:vAlign w:val="center"/>
          </w:tcPr>
          <w:p w14:paraId="5FD639B8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238"/>
                <w:sz w:val="18"/>
              </w:rPr>
              <w:t>3000K样灯在现场墙面、木饰面、石材旁观看，不偏绿、不显脏</w:t>
            </w:r>
          </w:p>
        </w:tc>
      </w:tr>
      <w:tr w14:paraId="775286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pct"/>
            <w:vAlign w:val="center"/>
          </w:tcPr>
          <w:p w14:paraId="10C09D93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238"/>
                <w:sz w:val="18"/>
              </w:rPr>
              <w:t>□</w:t>
            </w:r>
          </w:p>
        </w:tc>
        <w:tc>
          <w:tcPr>
            <w:tcW w:w="4519" w:type="pct"/>
            <w:vAlign w:val="center"/>
          </w:tcPr>
          <w:p w14:paraId="236D320B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238"/>
                <w:sz w:val="18"/>
              </w:rPr>
              <w:t>断网测试：墙面按键仍能开关并调用至少“日常/全关”基础场景</w:t>
            </w:r>
          </w:p>
        </w:tc>
      </w:tr>
      <w:tr w14:paraId="71B55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pct"/>
            <w:shd w:val="clear" w:color="auto" w:fill="F7F8F8"/>
            <w:vAlign w:val="center"/>
          </w:tcPr>
          <w:p w14:paraId="52557F89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238"/>
                <w:sz w:val="18"/>
              </w:rPr>
              <w:t>□</w:t>
            </w:r>
          </w:p>
        </w:tc>
        <w:tc>
          <w:tcPr>
            <w:tcW w:w="4519" w:type="pct"/>
            <w:shd w:val="clear" w:color="auto" w:fill="F7F8F8"/>
            <w:vAlign w:val="center"/>
          </w:tcPr>
          <w:p w14:paraId="146FE833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238"/>
                <w:sz w:val="18"/>
              </w:rPr>
              <w:t>卫生间静坐5分钟测试：夜灯持续点亮，离开后按设定延时关闭且不穿墙误触发</w:t>
            </w:r>
          </w:p>
        </w:tc>
      </w:tr>
      <w:tr w14:paraId="48870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pct"/>
            <w:vAlign w:val="center"/>
          </w:tcPr>
          <w:p w14:paraId="2E7A9768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238"/>
                <w:sz w:val="18"/>
              </w:rPr>
              <w:t>□</w:t>
            </w:r>
          </w:p>
        </w:tc>
        <w:tc>
          <w:tcPr>
            <w:tcW w:w="4519" w:type="pct"/>
            <w:vAlign w:val="center"/>
          </w:tcPr>
          <w:p w14:paraId="01F7E065"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238"/>
                <w:sz w:val="18"/>
              </w:rPr>
              <w:t>驱动、电源、控制器均可检修，交付型号清单、接线图和管理员权限</w:t>
            </w:r>
          </w:p>
        </w:tc>
      </w:tr>
    </w:tbl>
    <w:p w14:paraId="0F7A4E05">
      <w:pPr>
        <w:pStyle w:val="3"/>
        <w:numPr>
          <w:ilvl w:val="0"/>
          <w:numId w:val="7"/>
        </w:numPr>
        <w:ind w:left="0" w:leftChars="0" w:firstLine="0" w:firstLineChars="0"/>
        <w:rPr>
          <w:rFonts w:eastAsia="黑体"/>
          <w:b w:val="0"/>
          <w:bCs w:val="0"/>
          <w:sz w:val="32"/>
          <w:szCs w:val="44"/>
          <w:bdr w:val="none" w:sz="0" w:space="0"/>
        </w:rPr>
      </w:pPr>
      <w:r>
        <w:rPr>
          <w:rFonts w:ascii="Times New Roman" w:hAnsi="Times New Roman" w:eastAsia="黑体" w:cs="Times New Roman"/>
          <w:b w:val="0"/>
          <w:bCs w:val="0"/>
          <w:sz w:val="32"/>
          <w:szCs w:val="44"/>
        </w:rPr>
        <w:t>本方案边界</w:t>
      </w:r>
    </w:p>
    <w:p w14:paraId="0A6AAF55">
      <w:pPr>
        <w:pStyle w:val="19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687681"/>
          <w:sz w:val="24"/>
          <w:szCs w:val="24"/>
        </w:rPr>
        <w:t>本文件用于设计沟通和报价控制。最终灯具数量、功率、光束角、安装间距、照度与电气安全，应由灯光设计师结合吊顶深化、材质反射率和现场样灯确认。户型标注以用户提供的当前家具布置为基础，如家具或吊顶变化，应同步调整。</w:t>
      </w:r>
    </w:p>
    <w:sectPr>
      <w:footerReference r:id="rId5" w:type="default"/>
      <w:pgSz w:w="12240" w:h="15840"/>
      <w:pgMar w:top="1008" w:right="1440" w:bottom="936" w:left="1440" w:header="504" w:footer="50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5D7784">
    <w:pPr>
      <w:pStyle w:val="24"/>
      <w:jc w:val="right"/>
    </w:pPr>
    <w:r>
      <w:rPr>
        <w:rFonts w:ascii="微软雅黑" w:hAnsi="微软雅黑" w:eastAsia="微软雅黑"/>
        <w:b w:val="0"/>
        <w:color w:val="687681"/>
        <w:sz w:val="16"/>
      </w:rPr>
      <w:t xml:space="preserve">客厅、餐厅、主卧、书房重点调光  ·  2026-08-12  · 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3" w:lineRule="auto"/>
      </w:pPr>
      <w:r>
        <w:separator/>
      </w:r>
    </w:p>
  </w:footnote>
  <w:footnote w:type="continuationSeparator" w:id="1">
    <w:p>
      <w:pPr>
        <w:spacing w:before="0" w:after="0" w:line="283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859B91"/>
    <w:multiLevelType w:val="singleLevel"/>
    <w:tmpl w:val="91859B91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554153F"/>
    <w:rsid w:val="6BA31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83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next w:val="1"/>
    <w:link w:val="138"/>
    <w:qFormat/>
    <w:uiPriority w:val="9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4">
    <w:name w:val="heading 2"/>
    <w:next w:val="1"/>
    <w:unhideWhenUsed/>
    <w:qFormat/>
    <w:uiPriority w:val="9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5">
    <w:name w:val="heading 3"/>
    <w:next w:val="1"/>
    <w:unhideWhenUsed/>
    <w:qFormat/>
    <w:uiPriority w:val="9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6">
    <w:name w:val="heading 4"/>
    <w:next w:val="1"/>
    <w:link w:val="151"/>
    <w:semiHidden/>
    <w:unhideWhenUsed/>
    <w:qFormat/>
    <w:uiPriority w:val="9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5"/>
    <w:next w:val="1"/>
    <w:link w:val="152"/>
    <w:semiHidden/>
    <w:unhideWhenUsed/>
    <w:qFormat/>
    <w:uiPriority w:val="9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8">
    <w:name w:val="heading 6"/>
    <w:next w:val="1"/>
    <w:link w:val="153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9">
    <w:name w:val="heading 7"/>
    <w:next w:val="1"/>
    <w:link w:val="154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10">
    <w:name w:val="heading 8"/>
    <w:next w:val="1"/>
    <w:link w:val="155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1">
    <w:name w:val="heading 9"/>
    <w:next w:val="1"/>
    <w:link w:val="156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39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spacing w:after="80" w:line="283" w:lineRule="auto"/>
      <w:ind w:left="547" w:hanging="274"/>
      <w:contextualSpacing/>
    </w:pPr>
    <w:rPr>
      <w:rFonts w:ascii="微软雅黑" w:hAnsi="微软雅黑" w:eastAsia="微软雅黑"/>
      <w:sz w:val="20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874CB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after="80" w:line="283" w:lineRule="auto"/>
      <w:ind w:left="547" w:hanging="274"/>
      <w:contextualSpacing/>
    </w:pPr>
    <w:rPr>
      <w:rFonts w:ascii="微软雅黑" w:hAnsi="微软雅黑" w:eastAsia="微软雅黑"/>
      <w:sz w:val="20"/>
    </w:r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unhideWhenUsed/>
    <w:uiPriority w:val="99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next w:val="1"/>
    <w:qFormat/>
    <w:uiPriority w:val="11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next w:val="1"/>
    <w:qFormat/>
    <w:uiPriority w:val="1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2E54A1" w:themeColor="accent1" w:themeShade="BF"/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C65F10" w:themeColor="accent2" w:themeShade="BF"/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B68C02" w:themeColor="accent3" w:themeShade="BF"/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588E32" w:themeColor="accent4" w:themeShade="BF"/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249087" w:themeColor="accent5" w:themeShade="BF"/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C81D31" w:themeColor="accent6" w:themeShade="BF"/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1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  <w:shd w:val="clear" w:color="auto" w:fill="D1DCF2" w:themeFill="accent1" w:themeFillTint="3F"/>
      </w:tcPr>
    </w:tblStylePr>
    <w:tblStylePr w:type="band2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1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  <w:shd w:val="clear" w:color="auto" w:fill="FAE0CB" w:themeFill="accent2" w:themeFillTint="3F"/>
      </w:tcPr>
    </w:tblStylePr>
    <w:tblStylePr w:type="band2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1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  <w:shd w:val="clear" w:color="auto" w:fill="FEEFBD" w:themeFill="accent3" w:themeFillTint="3F"/>
      </w:tcPr>
    </w:tblStylePr>
    <w:tblStylePr w:type="band2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1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  <w:shd w:val="clear" w:color="auto" w:fill="DCEED0" w:themeFill="accent4" w:themeFillTint="3F"/>
      </w:tcPr>
    </w:tblStylePr>
    <w:tblStylePr w:type="band2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1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  <w:shd w:val="clear" w:color="auto" w:fill="C9F1EE" w:themeFill="accent5" w:themeFillTint="3F"/>
      </w:tcPr>
    </w:tblStylePr>
    <w:tblStylePr w:type="band2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1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  <w:shd w:val="clear" w:color="auto" w:fill="F8D2D7" w:themeFill="accent6" w:themeFillTint="3F"/>
      </w:tcPr>
    </w:tblStylePr>
    <w:tblStylePr w:type="band2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596D8" w:themeColor="accent1" w:themeTint="BF" w:sz="8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96D8" w:themeColor="accent1" w:themeTint="BF" w:sz="6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C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2A163" w:themeColor="accent2" w:themeTint="BF" w:sz="8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A163" w:themeColor="accent2" w:themeTint="BF" w:sz="6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0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DCF39" w:themeColor="accent3" w:themeTint="BF" w:sz="8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DCF39" w:themeColor="accent3" w:themeTint="BF" w:sz="6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FBD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7CD71" w:themeColor="accent4" w:themeTint="BF" w:sz="8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7CD71" w:themeColor="accent4" w:themeTint="BF" w:sz="6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ED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5DD6CC" w:themeColor="accent5" w:themeTint="BF" w:sz="8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DD6CC" w:themeColor="accent5" w:themeTint="BF" w:sz="6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F1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EB7886" w:themeColor="accent6" w:themeTint="BF" w:sz="8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B7886" w:themeColor="accent6" w:themeTint="BF" w:sz="6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2D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874CB" w:themeColor="accen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shd w:val="clear" w:color="auto" w:fill="D1DCF2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E822F" w:themeColor="accent2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shd w:val="clear" w:color="auto" w:fill="FAE0CB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2BA02" w:themeColor="accent3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shd w:val="clear" w:color="auto" w:fill="FEEFBD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5BD42" w:themeColor="accent4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shd w:val="clear" w:color="auto" w:fill="DCEED0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30C0B4" w:themeColor="accent5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shd w:val="clear" w:color="auto" w:fill="C9F1EE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54C5E" w:themeColor="accent6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shd w:val="clear" w:color="auto" w:fill="F8D2D7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874CB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874CB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874CB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874CB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C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E822F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E822F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E822F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0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2BA02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2BA02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2BA02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FBD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5BD4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5BD4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5BD4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ED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30C0B4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30C0B4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30C0B4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F1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54C5E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54C5E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54C5E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2D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  <w:insideV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596D8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  <w:insideV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2A163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  <w:insideV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DCF39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  <w:insideV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7CD71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  <w:insideV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5DD6CC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  <w:insideV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B7886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1F9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3F4" w:themeFill="accent1" w:themeFillTint="33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3B9E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5D5" w:themeFill="accent2" w:themeFillTint="33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6C09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8E5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CA" w:themeFill="accent3" w:themeFillTint="33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DDF7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1F8EC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1D9" w:themeFill="accent4" w:themeFillTint="33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ADEA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9F9F8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F4F1" w:themeFill="accent5" w:themeFillTint="33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93E4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CEDEF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DE" w:themeFill="accent6" w:themeFillTint="33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2A5A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3B9E5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3B9E5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6C097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6C097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DDF7B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DDF7B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ADEA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ADEA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93E4DD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93E4DD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2A5AE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2A5AE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874C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E376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D54A0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822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33F0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55E10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BA0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85C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58B01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5BD4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A5E2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78D31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30C0B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75F59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38F86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4C5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4132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71C31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4874CB" w:themeColor="accent1" w:sz="4" w:space="0"/>
        <w:bottom w:val="single" w:color="4874CB" w:themeColor="accent1" w:sz="4" w:space="0"/>
        <w:right w:val="single" w:color="4874CB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44380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44380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380" w:themeFill="accent1" w:themeFillShade="99"/>
      </w:tcPr>
    </w:tblStylePr>
    <w:tblStylePr w:type="band1Vert">
      <w:tblPr/>
      <w:tcPr>
        <w:shd w:val="clear" w:color="auto" w:fill="B5C7EA" w:themeFill="accent1" w:themeFillTint="66"/>
      </w:tcPr>
    </w:tblStylePr>
    <w:tblStylePr w:type="band1Horz">
      <w:tblPr/>
      <w:tcPr>
        <w:shd w:val="clear" w:color="auto" w:fill="A3B9E5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EE822F" w:themeColor="accent2" w:sz="4" w:space="0"/>
        <w:bottom w:val="single" w:color="EE822F" w:themeColor="accent2" w:sz="4" w:space="0"/>
        <w:right w:val="single" w:color="EE822F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E4B0C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E4B0C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4B0C" w:themeFill="accent2" w:themeFillShade="99"/>
      </w:tcPr>
    </w:tblStylePr>
    <w:tblStylePr w:type="band1Vert">
      <w:tblPr/>
      <w:tcPr>
        <w:shd w:val="clear" w:color="auto" w:fill="F8CCAB" w:themeFill="accent2" w:themeFillTint="66"/>
      </w:tcPr>
    </w:tblStylePr>
    <w:tblStylePr w:type="band1Horz">
      <w:tblPr/>
      <w:tcPr>
        <w:shd w:val="clear" w:color="auto" w:fill="F6C097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24" w:space="0"/>
        <w:left w:val="single" w:color="F2BA02" w:themeColor="accent3" w:sz="4" w:space="0"/>
        <w:bottom w:val="single" w:color="F2BA02" w:themeColor="accent3" w:sz="4" w:space="0"/>
        <w:right w:val="single" w:color="F2BA02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16F01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16F01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6F01" w:themeFill="accent3" w:themeFillShade="99"/>
      </w:tcPr>
    </w:tblStylePr>
    <w:tblStylePr w:type="band1Vert">
      <w:tblPr/>
      <w:tcPr>
        <w:shd w:val="clear" w:color="auto" w:fill="FEE595" w:themeFill="accent3" w:themeFillTint="66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24" w:space="0"/>
        <w:left w:val="single" w:color="75BD42" w:themeColor="accent4" w:sz="4" w:space="0"/>
        <w:bottom w:val="single" w:color="75BD42" w:themeColor="accent4" w:sz="4" w:space="0"/>
        <w:right w:val="single" w:color="75BD4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67127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67127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7127" w:themeFill="accent4" w:themeFillShade="99"/>
      </w:tcPr>
    </w:tblStylePr>
    <w:tblStylePr w:type="band1Vert">
      <w:tblPr/>
      <w:tcPr>
        <w:shd w:val="clear" w:color="auto" w:fill="C7E4B3" w:themeFill="accent4" w:themeFillTint="66"/>
      </w:tcPr>
    </w:tblStylePr>
    <w:tblStylePr w:type="band1Horz">
      <w:tblPr/>
      <w:tcPr>
        <w:shd w:val="clear" w:color="auto" w:fill="BADEA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24" w:space="0"/>
        <w:left w:val="single" w:color="30C0B4" w:themeColor="accent5" w:sz="4" w:space="0"/>
        <w:bottom w:val="single" w:color="30C0B4" w:themeColor="accent5" w:sz="4" w:space="0"/>
        <w:right w:val="single" w:color="30C0B4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1C736B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1C736B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736B" w:themeFill="accent5" w:themeFillShade="99"/>
      </w:tcPr>
    </w:tblStylePr>
    <w:tblStylePr w:type="band1Vert">
      <w:tblPr/>
      <w:tcPr>
        <w:shd w:val="clear" w:color="auto" w:fill="A8E9E3" w:themeFill="accent5" w:themeFillTint="66"/>
      </w:tcPr>
    </w:tblStylePr>
    <w:tblStylePr w:type="band1Horz">
      <w:tblPr/>
      <w:tcPr>
        <w:shd w:val="clear" w:color="auto" w:fill="93E4DD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24" w:space="0"/>
        <w:left w:val="single" w:color="E54C5E" w:themeColor="accent6" w:sz="4" w:space="0"/>
        <w:bottom w:val="single" w:color="E54C5E" w:themeColor="accent6" w:sz="4" w:space="0"/>
        <w:right w:val="single" w:color="E54C5E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F172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F172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1727" w:themeFill="accent6" w:themeFillShade="99"/>
      </w:tcPr>
    </w:tblStylePr>
    <w:tblStylePr w:type="band1Vert">
      <w:tblPr/>
      <w:tcPr>
        <w:shd w:val="clear" w:color="auto" w:fill="F4B7BE" w:themeFill="accent6" w:themeFillTint="66"/>
      </w:tcPr>
    </w:tblStylePr>
    <w:tblStylePr w:type="band1Horz">
      <w:tblPr/>
      <w:tcPr>
        <w:shd w:val="clear" w:color="auto" w:fill="F2A5AE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shd w:val="clear" w:color="auto" w:fill="DAE3F4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shd w:val="clear" w:color="auto" w:fill="FBE5D5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5D9734" w:themeFill="accent4" w:themeFillShade="CC"/>
      </w:tcPr>
    </w:tblStylePr>
    <w:tblStylePr w:type="lastRow">
      <w:rPr>
        <w:b/>
        <w:bCs/>
        <w:color w:val="5E9735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shd w:val="clear" w:color="auto" w:fill="FEF2CA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C19401" w:themeFill="accent3" w:themeFillShade="CC"/>
      </w:tcPr>
    </w:tblStylePr>
    <w:tblStylePr w:type="lastRow">
      <w:rPr>
        <w:b/>
        <w:bCs/>
        <w:color w:val="C29502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shd w:val="clear" w:color="auto" w:fill="E3F1D9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51E34" w:themeFill="accent6" w:themeFillShade="CC"/>
      </w:tcPr>
    </w:tblStylePr>
    <w:tblStylePr w:type="lastRow">
      <w:rPr>
        <w:b/>
        <w:bCs/>
        <w:color w:val="D51F34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shd w:val="clear" w:color="auto" w:fill="D3F4F1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26998F" w:themeFill="accent5" w:themeFillShade="CC"/>
      </w:tcPr>
    </w:tblStylePr>
    <w:tblStylePr w:type="lastRow">
      <w:rPr>
        <w:b/>
        <w:bCs/>
        <w:color w:val="269A90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shd w:val="clear" w:color="auto" w:fill="F9DBDE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3F4" w:themeFill="accent1" w:themeFillTint="33"/>
    </w:tcPr>
    <w:tblStylePr w:type="firstRow">
      <w:rPr>
        <w:b/>
        <w:bCs/>
      </w:rPr>
      <w:tblPr/>
      <w:tcPr>
        <w:shd w:val="clear" w:color="auto" w:fill="B5C7EA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5C7EA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5D5" w:themeFill="accent2" w:themeFillTint="33"/>
    </w:tcPr>
    <w:tblStylePr w:type="firstRow">
      <w:rPr>
        <w:b/>
        <w:bCs/>
      </w:rPr>
      <w:tblPr/>
      <w:tcPr>
        <w:shd w:val="clear" w:color="auto" w:fill="F8CCAB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CCAB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2CA" w:themeFill="accent3" w:themeFillTint="33"/>
    </w:tcPr>
    <w:tblStylePr w:type="firstRow">
      <w:rPr>
        <w:b/>
        <w:bCs/>
      </w:rPr>
      <w:tblPr/>
      <w:tcPr>
        <w:shd w:val="clear" w:color="auto" w:fill="FEE595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E595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F1D9" w:themeFill="accent4" w:themeFillTint="33"/>
    </w:tcPr>
    <w:tblStylePr w:type="firstRow">
      <w:rPr>
        <w:b/>
        <w:bCs/>
      </w:rPr>
      <w:tblPr/>
      <w:tcPr>
        <w:shd w:val="clear" w:color="auto" w:fill="C7E4B3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7E4B3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F4F1" w:themeFill="accent5" w:themeFillTint="33"/>
    </w:tcPr>
    <w:tblStylePr w:type="firstRow">
      <w:rPr>
        <w:b/>
        <w:bCs/>
      </w:rPr>
      <w:tblPr/>
      <w:tcPr>
        <w:shd w:val="clear" w:color="auto" w:fill="A8E9E3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A8E9E3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DBDE" w:themeFill="accent6" w:themeFillTint="33"/>
    </w:tcPr>
    <w:tblStylePr w:type="firstRow">
      <w:rPr>
        <w:b/>
        <w:bCs/>
      </w:rPr>
      <w:tblPr/>
      <w:tcPr>
        <w:shd w:val="clear" w:color="auto" w:fill="F4B7BE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4B7BE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character" w:styleId="133">
    <w:name w:val="Strong"/>
    <w:basedOn w:val="139"/>
    <w:qFormat/>
    <w:uiPriority w:val="22"/>
    <w:rPr>
      <w:b/>
      <w:bCs/>
    </w:rPr>
  </w:style>
  <w:style w:type="character" w:styleId="134">
    <w:name w:val="Emphasis"/>
    <w:basedOn w:val="139"/>
    <w:qFormat/>
    <w:uiPriority w:val="20"/>
    <w:rPr>
      <w:i/>
      <w:iCs/>
    </w:rPr>
  </w:style>
  <w:style w:type="character" w:customStyle="1" w:styleId="135">
    <w:name w:val="Header Char"/>
    <w:basedOn w:val="139"/>
    <w:link w:val="25"/>
    <w:uiPriority w:val="99"/>
  </w:style>
  <w:style w:type="character" w:customStyle="1" w:styleId="136">
    <w:name w:val="Footer Char"/>
    <w:basedOn w:val="139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9"/>
    <w:link w:val="3"/>
    <w:uiPriority w:val="9"/>
    <w:rPr>
      <w:rFonts w:ascii="Times New Roman" w:hAnsi="Times New Roman" w:eastAsia="黑体" w:cs="Times New Roman"/>
      <w:color w:val="000000"/>
      <w:kern w:val="44"/>
      <w:sz w:val="32"/>
      <w:szCs w:val="44"/>
    </w:rPr>
  </w:style>
  <w:style w:type="character" w:customStyle="1" w:styleId="140">
    <w:name w:val="Heading 2 Char"/>
    <w:basedOn w:val="139"/>
    <w:uiPriority w:val="9"/>
    <w:rPr>
      <w:rFonts w:asciiTheme="majorHAnsi" w:hAnsiTheme="majorHAnsi" w:eastAsiaTheme="majorEastAsia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9"/>
    <w:qFormat/>
    <w:uiPriority w:val="9"/>
    <w:rPr>
      <w:rFonts w:asciiTheme="majorHAnsi" w:hAnsiTheme="majorHAnsi" w:eastAsiaTheme="majorEastAsia" w:cstheme="majorBidi"/>
      <w:b/>
      <w:b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9"/>
    <w:qFormat/>
    <w:uiPriority w:val="10"/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9"/>
    <w:uiPriority w:val="11"/>
    <w:rPr>
      <w:rFonts w:asciiTheme="majorHAnsi" w:hAnsiTheme="majorHAnsi" w:eastAsiaTheme="majorEastAsia" w:cstheme="majorBidi"/>
      <w:i/>
      <w:iCs/>
      <w:color w:val="4874CB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9"/>
    <w:uiPriority w:val="99"/>
  </w:style>
  <w:style w:type="character" w:customStyle="1" w:styleId="146">
    <w:name w:val="Body Text 2 Char"/>
    <w:basedOn w:val="139"/>
    <w:link w:val="28"/>
    <w:uiPriority w:val="99"/>
  </w:style>
  <w:style w:type="character" w:customStyle="1" w:styleId="147">
    <w:name w:val="Body Text 3 Char"/>
    <w:basedOn w:val="139"/>
    <w:link w:val="17"/>
    <w:uiPriority w:val="99"/>
    <w:rPr>
      <w:sz w:val="16"/>
      <w:szCs w:val="16"/>
    </w:rPr>
  </w:style>
  <w:style w:type="character" w:customStyle="1" w:styleId="148">
    <w:name w:val="Macro Text Char"/>
    <w:basedOn w:val="139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9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9"/>
    <w:link w:val="6"/>
    <w:semiHidden/>
    <w:uiPriority w:val="9"/>
    <w:rPr>
      <w:rFonts w:ascii="Times New Roman" w:hAnsi="Times New Roman" w:eastAsia="黑体" w:cs="Times New Roman"/>
      <w:bCs/>
      <w:kern w:val="2"/>
      <w:sz w:val="28"/>
      <w:szCs w:val="28"/>
    </w:rPr>
  </w:style>
  <w:style w:type="character" w:customStyle="1" w:styleId="152">
    <w:name w:val="Heading 5 Char"/>
    <w:basedOn w:val="139"/>
    <w:link w:val="7"/>
    <w:semiHidden/>
    <w:uiPriority w:val="9"/>
    <w:rPr>
      <w:rFonts w:ascii="Times New Roman" w:hAnsi="Times New Roman" w:eastAsia="黑体" w:cs="Times New Roman"/>
      <w:bCs/>
      <w:kern w:val="2"/>
      <w:sz w:val="28"/>
      <w:szCs w:val="28"/>
    </w:rPr>
  </w:style>
  <w:style w:type="character" w:customStyle="1" w:styleId="153">
    <w:name w:val="Heading 6 Char"/>
    <w:basedOn w:val="139"/>
    <w:link w:val="8"/>
    <w:semiHidden/>
    <w:uiPriority w:val="9"/>
    <w:rPr>
      <w:rFonts w:ascii="Times New Roman" w:hAnsi="Times New Roman" w:eastAsia="黑体" w:cs="Times New Roman"/>
      <w:bCs/>
      <w:kern w:val="2"/>
      <w:sz w:val="28"/>
      <w:szCs w:val="24"/>
    </w:rPr>
  </w:style>
  <w:style w:type="character" w:customStyle="1" w:styleId="154">
    <w:name w:val="Heading 7 Char"/>
    <w:basedOn w:val="139"/>
    <w:link w:val="9"/>
    <w:semiHidden/>
    <w:uiPriority w:val="9"/>
    <w:rPr>
      <w:rFonts w:ascii="Times New Roman" w:hAnsi="Times New Roman" w:eastAsia="黑体" w:cs="Times New Roman"/>
      <w:bCs/>
      <w:kern w:val="2"/>
      <w:sz w:val="24"/>
      <w:szCs w:val="24"/>
    </w:rPr>
  </w:style>
  <w:style w:type="character" w:customStyle="1" w:styleId="155">
    <w:name w:val="Heading 8 Char"/>
    <w:basedOn w:val="139"/>
    <w:link w:val="10"/>
    <w:semiHidden/>
    <w:uiPriority w:val="9"/>
    <w:rPr>
      <w:rFonts w:ascii="Times New Roman" w:hAnsi="Times New Roman" w:eastAsia="黑体" w:cs="Times New Roman"/>
      <w:kern w:val="2"/>
      <w:sz w:val="24"/>
      <w:szCs w:val="24"/>
    </w:rPr>
  </w:style>
  <w:style w:type="character" w:customStyle="1" w:styleId="156">
    <w:name w:val="Heading 9 Char"/>
    <w:basedOn w:val="139"/>
    <w:link w:val="11"/>
    <w:semiHidden/>
    <w:uiPriority w:val="9"/>
    <w:rPr>
      <w:rFonts w:ascii="Times New Roman" w:hAnsi="Times New Roman" w:eastAsia="黑体" w:cs="Times New Roman"/>
      <w:kern w:val="2"/>
      <w:sz w:val="21"/>
      <w:szCs w:val="21"/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874CB" w:themeColor="accent1" w:sz="4" w:space="4"/>
      </w:pBdr>
      <w:spacing w:before="200" w:after="280"/>
      <w:ind w:left="936" w:right="936"/>
    </w:pPr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9"/>
    <w:link w:val="157"/>
    <w:uiPriority w:val="30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9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9"/>
    <w:qFormat/>
    <w:uiPriority w:val="21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9"/>
    <w:qFormat/>
    <w:uiPriority w:val="31"/>
    <w:rPr>
      <w:smallCaps/>
      <w:color w:val="EE822F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9"/>
    <w:qFormat/>
    <w:uiPriority w:val="32"/>
    <w:rPr>
      <w:b/>
      <w:bCs/>
      <w:smallCaps/>
      <w:color w:val="EE822F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9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329</Words>
  <Characters>335</Characters>
  <Lines>0</Lines>
  <Paragraphs>0</Paragraphs>
  <TotalTime>1</TotalTime>
  <ScaleCrop>false</ScaleCrop>
  <LinksUpToDate>false</LinksUpToDate>
  <CharactersWithSpaces>339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DG</cp:lastModifiedBy>
  <dcterms:modified xsi:type="dcterms:W3CDTF">2026-08-12T02:54:18Z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eyJoZGlkIjoiZjFmZWIzNDg2MmIzZjExOTIzMmViNTBmYTMwYTk0ZWYiLCJ1c2VySWQiOiIzNTI5Njc0ODEifQ==</vt:lpwstr>
  </property>
  <property fmtid="{D5CDD505-2E9C-101B-9397-08002B2CF9AE}" pid="3" name="KSOProductBuildVer">
    <vt:lpwstr>2052-12.1.0.28043</vt:lpwstr>
  </property>
  <property fmtid="{D5CDD505-2E9C-101B-9397-08002B2CF9AE}" pid="4" name="ICV">
    <vt:lpwstr>7875738BF1B549678390B0059321F0A2_12</vt:lpwstr>
  </property>
</Properties>
</file>