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2D185447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r w:rsidR="00DC13D3" w:rsidRPr="007168AA">
        <w:t>Б. Н.</w:t>
      </w:r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44785239" w14:textId="72434585" w:rsidR="00D63B2F" w:rsidRDefault="00C74365" w:rsidP="003616AF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</w:p>
    <w:p w14:paraId="19CEFC00" w14:textId="77777777" w:rsidR="003616AF" w:rsidRDefault="003616AF" w:rsidP="003616AF">
      <w:pPr>
        <w:spacing w:after="23" w:line="240" w:lineRule="auto"/>
        <w:ind w:firstLine="0"/>
        <w:jc w:val="center"/>
      </w:pP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18DF90B3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</w:t>
      </w:r>
      <w:r w:rsidR="004D1AE6">
        <w:rPr>
          <w:b/>
          <w:bCs/>
          <w:sz w:val="40"/>
          <w:szCs w:val="40"/>
        </w:rPr>
        <w:t>а</w:t>
      </w:r>
      <w:r w:rsidRPr="007D0CA7">
        <w:rPr>
          <w:b/>
          <w:bCs/>
          <w:sz w:val="40"/>
          <w:szCs w:val="40"/>
        </w:rPr>
        <w:t xml:space="preserve">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34A64911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="00BC6DF2" w:rsidRPr="007D0CA7">
              <w:t>:</w:t>
            </w:r>
          </w:p>
          <w:p w14:paraId="15992BAA" w14:textId="32A27DE5" w:rsidR="00986665" w:rsidRDefault="00B96C43" w:rsidP="008E126A">
            <w:pPr>
              <w:ind w:firstLine="0"/>
              <w:jc w:val="center"/>
            </w:pPr>
            <w:r>
              <w:t>д.ф.-м.н., профессор</w:t>
            </w:r>
          </w:p>
          <w:p w14:paraId="422DE543" w14:textId="0F0FA33D" w:rsidR="00986665" w:rsidRDefault="00B96C43" w:rsidP="008E126A">
            <w:pPr>
              <w:ind w:firstLine="0"/>
              <w:jc w:val="center"/>
            </w:pPr>
            <w:r>
              <w:t>М. В. Волков</w:t>
            </w:r>
          </w:p>
          <w:p w14:paraId="1910B33F" w14:textId="77777777" w:rsidR="00B96C43" w:rsidRDefault="00B96C43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30B93674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4C6ACD51" w14:textId="77777777" w:rsidR="00B96C43" w:rsidRDefault="00B96C43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B96C43">
            <w:pPr>
              <w:ind w:firstLine="0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19660395" w:rsidR="003E1A6A" w:rsidRDefault="003E1A6A" w:rsidP="006A6CB0">
            <w:pPr>
              <w:ind w:firstLine="0"/>
              <w:jc w:val="center"/>
            </w:pPr>
            <w:r>
              <w:t>А.</w:t>
            </w:r>
            <w:r w:rsidR="00DC13D3">
              <w:t xml:space="preserve"> </w:t>
            </w:r>
            <w:r>
              <w:t xml:space="preserve">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9A43228" w:rsidR="00EB5894" w:rsidRDefault="00B96C43" w:rsidP="008E126A">
            <w:pPr>
              <w:ind w:firstLine="0"/>
              <w:jc w:val="center"/>
            </w:pPr>
            <w:r>
              <w:t>Д.</w:t>
            </w:r>
            <w:r w:rsidR="00DC13D3">
              <w:t xml:space="preserve"> </w:t>
            </w:r>
            <w:r>
              <w:t xml:space="preserve">С. </w:t>
            </w:r>
            <w:proofErr w:type="spellStart"/>
            <w:r w:rsidR="00EB5894">
              <w:t>Ананиче</w:t>
            </w:r>
            <w:r w:rsidR="001B126A">
              <w:t>в</w:t>
            </w:r>
            <w:proofErr w:type="spellEnd"/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01DEAFA7" w:rsidR="00D37E9E" w:rsidRDefault="00D37E9E" w:rsidP="00D37E9E">
      <w:pPr>
        <w:pStyle w:val="afb"/>
      </w:pPr>
      <w:r>
        <w:t xml:space="preserve">КУЛАКОВ </w:t>
      </w:r>
      <w:r w:rsidR="00E853D5">
        <w:t>В. С.</w:t>
      </w:r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62147132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6A37A119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0126044F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0D57BE3A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24EA3BF0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27DCEE83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3F9B7A30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2C4B7146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32527AAC" w:rsidR="0000104A" w:rsidRDefault="0014785D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1C821C32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4686A363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730D80D5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71FD0A0C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64C89F70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3EBE30D7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26364578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139917BA" w:rsidR="0000104A" w:rsidRDefault="0014785D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10FFD1B5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0757E57D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22E4DA6F" w:rsidR="0000104A" w:rsidRDefault="0014785D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506E9101" w:rsidR="0000104A" w:rsidRDefault="0014785D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56D51117" w:rsidR="0000104A" w:rsidRDefault="0014785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091E96CD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122531C4" w:rsidR="0000104A" w:rsidRDefault="0014785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35DF1818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E735C6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14785D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14785D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47808C9C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</w:t>
      </w:r>
      <w:r w:rsidR="00544A53">
        <w:t>низкочастотные</w:t>
      </w:r>
      <w:r>
        <w:t xml:space="preserve"> коэффициенты, а в правом нижнем </w:t>
      </w:r>
      <w:r w:rsidR="00544A53">
        <w:t>высокочастотные</w:t>
      </w:r>
      <w:r>
        <w:t xml:space="preserve">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2A878975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</w:t>
      </w:r>
      <w:r w:rsidR="00544A53">
        <w:t>высокочастотную</w:t>
      </w:r>
      <w:r>
        <w:t xml:space="preserve"> информацию, поэтому слегка изменив значения в правом нижнем углу матрицы, картинка </w:t>
      </w:r>
      <w:r>
        <w:lastRenderedPageBreak/>
        <w:t xml:space="preserve">почти не изменится. В свою очередь левый верхний коэффициент сосредотачивает в себе основную часть </w:t>
      </w:r>
      <w:r w:rsidR="00544A53">
        <w:t>низкочастотной</w:t>
      </w:r>
      <w:r>
        <w:t xml:space="preserve">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14785D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6366B545" w:rsidR="00D33A5C" w:rsidRPr="00D33A5C" w:rsidRDefault="14969005" w:rsidP="14969005">
      <w:pPr>
        <w:pStyle w:val="afb"/>
      </w:pPr>
      <w:r>
        <w:t xml:space="preserve">Каждый коэффициент в ДКП матрице делится на соответствующий в матрице квантования, генерируя новую квантованную матрицу. В Квантованной матрице </w:t>
      </w:r>
      <w:r w:rsidR="00544A53">
        <w:t>низкочастотные</w:t>
      </w:r>
      <w:r>
        <w:t xml:space="preserve"> коэффициенты остаются значащими, а </w:t>
      </w:r>
      <w:r w:rsidR="00544A53">
        <w:t>высокочастотные</w:t>
      </w:r>
      <w:r w:rsidR="00EA4332">
        <w:t>,</w:t>
      </w:r>
      <w:r>
        <w:t xml:space="preserve"> как правило</w:t>
      </w:r>
      <w:r w:rsidR="00EA4332">
        <w:t>,</w:t>
      </w:r>
      <w:r>
        <w:t xml:space="preserve"> обращаются в ноль. Пример получения квантованной матрицы:</w:t>
      </w:r>
    </w:p>
    <w:p w14:paraId="57F5EECE" w14:textId="4E04A0AB" w:rsidR="00D33A5C" w:rsidRPr="00AA4E12" w:rsidRDefault="0014785D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517EDF70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</w:t>
      </w:r>
      <w:r w:rsidR="0019704A" w:rsidRPr="0019704A">
        <w:rPr>
          <w:u w:val="single"/>
        </w:rPr>
        <w:t>х</w:t>
      </w:r>
      <w:r>
        <w:t xml:space="preserve">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76A716D4" w:rsidR="002B2637" w:rsidRDefault="14969005">
      <w:pPr>
        <w:pStyle w:val="afb"/>
      </w:pPr>
      <w:r>
        <w:t xml:space="preserve">Таким образом слева в массиве находятся </w:t>
      </w:r>
      <w:r w:rsidR="00544A53">
        <w:t>низкочастотные</w:t>
      </w:r>
      <w:r>
        <w:t xml:space="preserve"> элементы матрицы со значащими коэффициентами, а справа последовательность </w:t>
      </w:r>
      <w:r w:rsidR="00544A53">
        <w:t>высоких</w:t>
      </w:r>
      <w:r>
        <w:t xml:space="preserve"> частот, квантованная в нули. </w:t>
      </w:r>
    </w:p>
    <w:p w14:paraId="5329C1D3" w14:textId="0E09E5BD" w:rsidR="001426F1" w:rsidRPr="00A81308" w:rsidRDefault="0014785D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14785D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14785D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14785D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14785D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2277"/>
        <w:gridCol w:w="4415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60731ED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</w:t>
            </w:r>
            <w:r w:rsidR="00A42F9C">
              <w:rPr>
                <w:lang w:eastAsia="ru-RU"/>
              </w:rPr>
              <w:t xml:space="preserve"> </w:t>
            </w:r>
            <w:r w:rsidRPr="00A81308">
              <w:rPr>
                <w:lang w:eastAsia="ru-RU"/>
              </w:rPr>
              <w:t>...</w:t>
            </w:r>
            <w:r w:rsidR="00A42F9C">
              <w:rPr>
                <w:lang w:eastAsia="ru-RU"/>
              </w:rPr>
              <w:t xml:space="preserve"> 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230E6718" w:rsidR="00665D13" w:rsidRPr="00A81308" w:rsidRDefault="00A44B27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16384</w:t>
            </w:r>
            <w:r w:rsidR="00A42F9C">
              <w:rPr>
                <w:lang w:eastAsia="ru-RU"/>
              </w:rPr>
              <w:t xml:space="preserve"> … </w:t>
            </w:r>
            <w:r w:rsidR="00665D13" w:rsidRPr="00A81308">
              <w:rPr>
                <w:lang w:eastAsia="ru-RU"/>
              </w:rPr>
              <w:t>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6D2E818D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</w:t>
      </w:r>
      <w:r w:rsidR="000E3B48">
        <w:t>теперь расширим</w:t>
      </w:r>
      <w:r w:rsidR="0086770C">
        <w:t xml:space="preserve">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606F0C21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>вместо самих коэффициентов хранится разница между текущим и предыдущим. Эта разница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>файле хранят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7A39A066" w:rsidR="005D7222" w:rsidRPr="00E735C6" w:rsidRDefault="001D099D" w:rsidP="00344558">
      <w:pPr>
        <w:pStyle w:val="afb"/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r w:rsidR="00F91587">
        <w:t>Голомба</w:t>
      </w:r>
      <w:proofErr w:type="spellEnd"/>
      <w:r w:rsidR="00E735C6" w:rsidRPr="00E735C6">
        <w:t>,</w:t>
      </w:r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 w:rsidRPr="00E735C6">
        <w:t xml:space="preserve"> </w:t>
      </w:r>
      <w:r w:rsidR="005D7222">
        <w:t>Хаффмана</w:t>
      </w:r>
      <w:r w:rsidR="005D7222" w:rsidRPr="00E735C6"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DC13D3">
          <w:rPr>
            <w:rStyle w:val="ad"/>
            <w:i/>
            <w:iCs/>
            <w:color w:val="auto"/>
          </w:rPr>
          <w:t>https://github.com/KVSrep/diplom</w:t>
        </w:r>
      </w:hyperlink>
      <w:r w:rsidR="00140785" w:rsidRPr="00DC13D3">
        <w:rPr>
          <w:i/>
          <w:iCs/>
        </w:rPr>
        <w:t>.</w:t>
      </w:r>
      <w:r w:rsidR="00140785" w:rsidRPr="00DC13D3">
        <w:t xml:space="preserve"> </w:t>
      </w:r>
      <w:r w:rsidR="00140785">
        <w:t xml:space="preserve">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63FF44E3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DC13D3">
        <w:t>ресурс]</w:t>
      </w:r>
      <w:r w:rsidR="00DC13D3" w:rsidRPr="008258D0">
        <w:rPr>
          <w:rFonts w:eastAsia="Times New Roman"/>
        </w:rPr>
        <w:t xml:space="preserve"> </w:t>
      </w:r>
      <w:r w:rsidR="00DC13D3">
        <w:t>/</w:t>
      </w:r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1D1215EE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r w:rsidR="00DC13D3">
        <w:t>– Ст.</w:t>
      </w:r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4E23B3CA" w:rsidR="00D95E8F" w:rsidRDefault="009B1680" w:rsidP="00D95E8F">
      <w:pPr>
        <w:pStyle w:val="a"/>
      </w:pPr>
      <w:r w:rsidRPr="009B1680">
        <w:t xml:space="preserve">Белов </w:t>
      </w:r>
      <w:r w:rsidR="00DC13D3" w:rsidRPr="009B1680">
        <w:t>А. С.</w:t>
      </w:r>
      <w:r w:rsidRPr="009B1680">
        <w:t xml:space="preserve">, Апухтин </w:t>
      </w:r>
      <w:r w:rsidR="00DC13D3" w:rsidRPr="009B1680">
        <w:t>Р. В.</w:t>
      </w:r>
      <w:r w:rsidRPr="009B1680">
        <w:t xml:space="preserve">, Романов </w:t>
      </w:r>
      <w:r w:rsidR="00DC13D3" w:rsidRPr="009B1680">
        <w:t>С. Г.</w:t>
      </w:r>
      <w:r w:rsidRPr="009B1680">
        <w:t xml:space="preserve">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1DA1D" w14:textId="77777777" w:rsidR="0014785D" w:rsidRDefault="0014785D">
      <w:pPr>
        <w:spacing w:line="240" w:lineRule="auto"/>
      </w:pPr>
      <w:r>
        <w:separator/>
      </w:r>
    </w:p>
  </w:endnote>
  <w:endnote w:type="continuationSeparator" w:id="0">
    <w:p w14:paraId="585D4FB8" w14:textId="77777777" w:rsidR="0014785D" w:rsidRDefault="0014785D">
      <w:pPr>
        <w:spacing w:line="240" w:lineRule="auto"/>
      </w:pPr>
      <w:r>
        <w:continuationSeparator/>
      </w:r>
    </w:p>
  </w:endnote>
  <w:endnote w:type="continuationNotice" w:id="1">
    <w:p w14:paraId="2DEA5475" w14:textId="77777777" w:rsidR="0014785D" w:rsidRDefault="0014785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0E3B48" w:rsidRDefault="000E3B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0E3B48" w:rsidRDefault="000E3B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1DE70" w14:textId="77777777" w:rsidR="0014785D" w:rsidRDefault="0014785D">
      <w:pPr>
        <w:spacing w:line="240" w:lineRule="auto"/>
      </w:pPr>
      <w:r>
        <w:separator/>
      </w:r>
    </w:p>
  </w:footnote>
  <w:footnote w:type="continuationSeparator" w:id="0">
    <w:p w14:paraId="058EC5E7" w14:textId="77777777" w:rsidR="0014785D" w:rsidRDefault="0014785D">
      <w:pPr>
        <w:spacing w:line="240" w:lineRule="auto"/>
      </w:pPr>
      <w:r>
        <w:continuationSeparator/>
      </w:r>
    </w:p>
  </w:footnote>
  <w:footnote w:type="continuationNotice" w:id="1">
    <w:p w14:paraId="417187A3" w14:textId="77777777" w:rsidR="0014785D" w:rsidRDefault="0014785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27C1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3B48"/>
    <w:rsid w:val="000E4884"/>
    <w:rsid w:val="000F0A42"/>
    <w:rsid w:val="000F1209"/>
    <w:rsid w:val="000F354E"/>
    <w:rsid w:val="000F60AF"/>
    <w:rsid w:val="000F667A"/>
    <w:rsid w:val="000F7693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14E68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4785D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04A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6AF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26CD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06C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1AE6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4A53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07F01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766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2F9C"/>
    <w:rsid w:val="00A43232"/>
    <w:rsid w:val="00A44B27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D6E98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6643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490C"/>
    <w:rsid w:val="00B96C43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1564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3D3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0D9A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2993"/>
    <w:rsid w:val="00E735C6"/>
    <w:rsid w:val="00E772C9"/>
    <w:rsid w:val="00E82B77"/>
    <w:rsid w:val="00E853D5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433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0869"/>
    <w:rsid w:val="00F511F9"/>
    <w:rsid w:val="00F52986"/>
    <w:rsid w:val="00F5439A"/>
    <w:rsid w:val="00F558C3"/>
    <w:rsid w:val="00F568FF"/>
    <w:rsid w:val="00F6180E"/>
    <w:rsid w:val="00F62479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27</Pages>
  <Words>4963</Words>
  <Characters>28292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31</cp:revision>
  <cp:lastPrinted>2021-02-19T05:07:00Z</cp:lastPrinted>
  <dcterms:created xsi:type="dcterms:W3CDTF">2021-02-12T12:41:00Z</dcterms:created>
  <dcterms:modified xsi:type="dcterms:W3CDTF">2021-02-19T13:27:00Z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