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name: - M</w:t>
      </w:r>
      <w:r w:rsidDel="00000000" w:rsidR="00000000" w:rsidRPr="00000000">
        <w:rPr>
          <w:sz w:val="24"/>
          <w:szCs w:val="24"/>
          <w:rtl w:val="0"/>
        </w:rPr>
        <w:t xml:space="preserve">igrator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Description: -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       Analyze state-to-state and county-to-county migration data to identify previous trends and develop future predictions.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Type –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       Research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logo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       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Abstract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According to American community survey (ACS) data about 40 million Americans move each year within counties, states, and even outside the United States. There is a day-by-day increase in internal migration. Even though the numbers are not big, migration still plays an important part in understanding population trends. Understanding such trends are a necessity to make sure the right decisions are being made. 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ind w:left="720" w:firstLine="0"/>
        <w:rPr>
          <w:color w:val="0a0a0a"/>
          <w:sz w:val="24"/>
          <w:szCs w:val="24"/>
          <w:shd w:fill="fefefe" w:val="clear"/>
        </w:rPr>
      </w:pPr>
      <w:r w:rsidDel="00000000" w:rsidR="00000000" w:rsidRPr="00000000">
        <w:rPr>
          <w:color w:val="0a0a0a"/>
          <w:sz w:val="24"/>
          <w:szCs w:val="24"/>
          <w:shd w:fill="fefefe" w:val="clear"/>
          <w:rtl w:val="0"/>
        </w:rPr>
        <w:t xml:space="preserve">- </w:t>
        <w:tab/>
        <w:t xml:space="preserve">Migrator provides access to migration data to help industries like real estate, retail, state government, and food, etc. It helps show a visualization of past moving trends, So it can help several industries make urban planning and future choices. The migrator model predicts future migration shifts between states.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ind w:left="720" w:firstLine="0"/>
        <w:rPr>
          <w:color w:val="0a0a0a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ind w:left="720" w:firstLine="0"/>
        <w:rPr>
          <w:color w:val="0a0a0a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Screenshot:- 1 and 2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