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Forward Data Lab Application — Summary Report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Asta vs. Google Scholar Evaluation, Workflow Analysis, and Cluster-Aware Visualization. Condensed summary; see the full report for methodology, figures, and detailed discussion.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 Asta vs. Google Scholar: Empirical Comparison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The evaluation compares Asta Find Papers (Allen AI) with Google Scholar on a controlled 50-query FinTech suite, built from 25 curated papers with two query phrasings each and embedded ground-truth metadata. Both engines are restricted to their Top-10 per query (500 Asta papers, 473 Google Scholar). Asta is measured along seven directly inspectable axes: five comparable across both engines and two Asta-only diagnostics.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Table 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Asta vs. Google Scholar across seven metrics (Top-10 per query). The Asta-vs-GS column is a ratio with Google Scholar at 1.0; Currency is reported in years.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500"/>
        <w:gridCol w:w="1900"/>
        <w:gridCol w:w="1900"/>
        <w:gridCol w:w="2540"/>
      </w:tblGrid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Asta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Google Scholar</w:t>
            </w:r>
          </w:p>
        </w:tc>
        <w:tc>
          <w:tcPr>
            <w:tcW w:type="dxa" w:w="2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Asta vs GS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Overlap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0.12 mean (20/50 zero overlap)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Topical Hit Rate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0.65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0.80</w:t>
            </w:r>
          </w:p>
        </w:tc>
        <w:tc>
          <w:tcPr>
            <w:tcW w:type="dxa" w:w="2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0.81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Topical Breadth (/8)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1.52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1.30</w:t>
            </w:r>
          </w:p>
        </w:tc>
        <w:tc>
          <w:tcPr>
            <w:tcW w:type="dxa" w:w="2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1.17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Currency, mean year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2022.25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2022.07</w:t>
            </w:r>
          </w:p>
        </w:tc>
        <w:tc>
          <w:tcPr>
            <w:tcW w:type="dxa" w:w="2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+0.18 years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Citation Influence, log(c+1)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3.08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2.93</w:t>
            </w:r>
          </w:p>
        </w:tc>
        <w:tc>
          <w:tcPr>
            <w:tcW w:type="dxa" w:w="2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1.05 (approx. tied)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Evidence Depth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Abstract 9% / other 91%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2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Asta-only capability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7a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Self-Confidence Calibration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0.66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2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Asta-only diagnostic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7b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Summary Concept Coverage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0.49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2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Asta-only diagnostic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Top-10 overlap is very low (mean 0.12; 40 percent of queries share no result), so the two engines deliver substantially different bibliographies rather than re-orderings of one set. Google Scholar leads on Topical Hit Rate (0.80 vs 0.65, p &lt; 0.001), the expected advantage of lexical matching on keyword queries, though partly inflated by the keyword dictionary used for classification. Asta leads on Topical Breadth (1.52 vs 1.30 sub-areas, +17 percent, p = 0.055, marginal) and is essentially tied on Citation Influence (p = 0.27). Mean publication year is tied, but the band distribution diverges: Google Scholar is bimodal (37 percent 2025+, 17 percent pre-2020) while Asta concentrates in 2023 to 2024 (38 percent). Asta uniquely surfaces attributed evidence snippets, only 9 percent of which come from abstracts, indicating retrieval that reaches into paper bodies. Two Asta-only diagnostics (Self-Confidence Calibration 0.66, Summary Concept Coverage 0.49) indicate non-trivial noise in Asta’s LLM-generated layer, though both are lower bounds constrained by title-only classification.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Overall, Google Scholar is the stronger tool for lexically anchored known-item retrieval and recency monitoring, and Asta the stronger tool for multi-disciplinary exploration and evidence-grounded reading. The two are best treated as complementary; Asta’s LLM-generated labels and summaries should be verified against its surfaced snippets.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 How Asta Find Papers Works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Asta is an AI research assistant from the Allen Institute for AI; its Find Papers mode runs Retrieval-Augmented Generation over the Semantic Scholar corpus through a multi-stage, manually-coded pipeline (AstaBench, Appendix F.3). The flow is Query Analyser, then Execution Planner, then a semantic sub-workflow (retrieval, citation expansion, relevance judgment), then Final Ranker, with a separate Generate Report mode. Table 2 maps each component to its closest academic reference and the key architectural difference.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Table 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Asta Paper Finder components, closest academic references, and key architectural differences.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200"/>
        <w:gridCol w:w="2900"/>
        <w:gridCol w:w="3840"/>
      </w:tblGrid>
      <w:tr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Closest Academic Reference</w:t>
            </w:r>
          </w:p>
        </w:tc>
        <w:tc>
          <w:tcPr>
            <w:tcW w:type="dxa" w:w="3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Key Architectural Difference</w:t>
            </w:r>
          </w:p>
        </w:tc>
      </w:tr>
      <w:tr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Overall Paradigm (RAG)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[3] Lewis et al.: single-pass RAG</w:t>
            </w:r>
          </w:p>
        </w:tc>
        <w:tc>
          <w:tcPr>
            <w:tcW w:type="dxa" w:w="3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Asta extends base RAG with iterative citation expansion and structured query decomposition.</w:t>
            </w:r>
          </w:p>
        </w:tc>
      </w:tr>
      <w:tr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Query Analyser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[5] Gao et al. (HyDE): one hypothetical document</w:t>
            </w:r>
          </w:p>
        </w:tc>
        <w:tc>
          <w:tcPr>
            <w:tcW w:type="dxa" w:w="3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Asta decomposes the query into typed fields and multiple rephrasings, handling metadata constraints explicitly.</w:t>
            </w:r>
          </w:p>
        </w:tc>
      </w:tr>
      <w:tr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Execution Planner / Semantic Sub-Workflow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[1] Cohan et al.: SPECTER citation-graph embeddings</w:t>
            </w:r>
          </w:p>
        </w:tc>
        <w:tc>
          <w:tcPr>
            <w:tcW w:type="dxa" w:w="3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Asta adds multi-query parallelism, cited-paper expansion, and iterative snowballing on the SPECTER substrate.</w:t>
            </w:r>
          </w:p>
        </w:tc>
      </w:tr>
      <w:tr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Relevance Judgment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[6] Zheng et al.: LLM-as-a-Judge</w:t>
            </w:r>
          </w:p>
        </w:tc>
        <w:tc>
          <w:tcPr>
            <w:tcW w:type="dxa" w:w="3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Asta judges document relevance against structured sub-criteria; per-criterion decomposition is Asta-specific.</w:t>
            </w:r>
          </w:p>
        </w:tc>
      </w:tr>
      <w:tr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Final Ranker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[7] Sun et al.: RankGPT / [8] Yang et al.: Rank-K</w:t>
            </w:r>
          </w:p>
        </w:tc>
        <w:tc>
          <w:tcPr>
            <w:tcW w:type="dxa" w:w="3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Asta uses a deterministic formula over relevance tier, date, citation count, and modifiers; no LLM call described [2].</w:t>
            </w:r>
          </w:p>
        </w:tc>
      </w:tr>
      <w:tr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Evidence Extraction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[9] Gao et al.: ALCE retrieve-then-generate</w:t>
            </w:r>
          </w:p>
        </w:tc>
        <w:tc>
          <w:tcPr>
            <w:tcW w:type="dxa" w:w="3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Asta keeps a verbatim snippet and an LLM-generated summary as separate layers, not one citation-annotated text.</w:t>
            </w:r>
          </w:p>
        </w:tc>
      </w:tr>
      <w:tr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Report Generation (Scholar QA)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[10] Asai et al.: Self-RAG</w:t>
            </w:r>
          </w:p>
        </w:tc>
        <w:tc>
          <w:tcPr>
            <w:tcW w:type="dxa" w:w="3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Asta uses modular separate components; Self-RAG integrates retrieval decisions into the LLM via reflection tokens.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The 50-query suite empirically corroborates these component-level differences. Near-zero result overlap is consistent with the multi-rephrasing Query Analyser and citation-graph expansion; the Topical Breadth lift matches semantic expansion across citation neighborhoods; and the bimodal-versus-mid-band Currency profile is consistent with the SPECTER embedding substrate and the deterministic Final Ranker.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  Cluster-Aware Visualization of Asta Paper Finder Results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Selected task.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From the Asta workflow components, the selected task is Asta’s user-facing report and result presentation stage, where the retrieved, ranked, and relevance-judged paper set is delivered to the user, currently as a ranked list. Following the brief’s allowance to propose changes, the implementation adds a consumer-side layer without modifying Asta’s internal pipeline.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Why it matters.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Report Generation is Asta’s only touchpoint with the user; it is exactly where Asta’s upstream strengths (per-paper rationale, tier judgements) must become usable. What the user ultimately receives and acts on is the final report.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Why it is challenging.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Result sets vary from a handful of papers to over a hundred, and user intent varies (fact-check, deep read, or full survey). The 50 to 100 range is too many to read individually but too few to summarise without loss, and a linear ranking collapses multi-dimensional sub-topic structure onto a single axis.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State of the art.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The paginated ranked list dominates academic-search result presentation (Google Scholar, Semantic Scholar, Asta itself); state-of-the-art work advances the ranking component, not the presentation format. The list does not naturally surface the richer LLM-generated signals Asta produces.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Solution.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 Chrome MV3 extension captures Asta’s result payload and renders it as a radial cluster mind map. Concepts are extracted via TF-IDF, with title up-weighting, query-term removal, and universal-term filtering to handle homogeneous result sets; clusters come from k-means with k-means++ initialisation, and labels from c-TF-IDF with a minimum-presence floor. Classical methods suffice because Asta’s own per-criterion summary text substitutes for embedding models, keeping the pipeline entirely in-browser. The highest-impact next step is LLM-based cluster naming.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References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[1]  Cohan, A., S. Feldman, I. Beltagy, D. Downey, and D. S. Weld. “SPECTER: Document-level Representation Learning using Citation-informed Transformers.” ACL 2020, 2270–2282.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[2]  Bragg, J., M. D’Arcy, N. Balepur, et al. “AstaBench: Rigorous Benchmarking of AI Agents with a Scientific Research Suite.” ICLR 2026 (Oral). arXiv:2510.21652. Additional detail from Allen Institute for AI, “Introducing Ai2 Paper Finder,” 2025.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[3]  Lewis, P., E. Perez, A. Piktus, et al. “Retrieval-Augmented Generation for Knowledge-Intensive NLP Tasks.” NeurIPS 2020, 9459–9474.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[4]  Cook, T., R. Osuagwu, L. Tsatiashvili, et al. “Retrieval Augmented Generation (RAG) for Fintech: Agentic Design and Evaluation.” arXiv:2510.25518 (2025).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[5]  Gao, L., X. Ma, J. Lin, and J. Callan. “Precise Zero-Shot Dense Retrieval without Relevance Labels.” ACL 2023, 1762–1777.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[6]  Zheng, L., W.-L. Chiang, Y. Sheng, et al. “Judging LLM-as-a-Judge with MT-Bench and Chatbot Arena.” NeurIPS 2023 (Datasets and Benchmarks).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[7]  Sun, W., L. Yan, X. Ma, et al. “Is ChatGPT Good at Search? Investigating Large Language Models as Re-Ranking Agents.” EMNLP 2023, 14918–14937.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[8]  Yang, E., A. Yates, K. Ricci, et al. “Rank-K: Test-Time Reasoning for Listwise Reranking.” arXiv:2505.14432 (2025).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[9]  Gao, T., H. Yen, J. Yu, and D. Chen. “Enabling Large Language Models to Generate Text with Citations.” EMNLP 2023, 6465–6488.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[10]  Asai, A., Z. Wu, Y. Wang, A. Sil, and H. Hajishirzi. “Self-RAG: Learning to Retrieve, Generate, and Critique through Self-Reflection.” ICLR 2024 (Oral).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2026-05-20T16:40:26.028Z</dcterms:created>
  <dcterms:modified xsi:type="dcterms:W3CDTF">2026-05-20T16:40:26.028Z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