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E0F897">
      <w:pPr>
        <w:rPr>
          <w:rFonts w:hint="default" w:ascii="Times New Roman" w:hAnsi="Times New Roman" w:cs="Times New Roman"/>
        </w:rPr>
      </w:pPr>
      <w:r>
        <w:rPr>
          <w:rFonts w:hint="default" w:ascii="Times New Roman" w:hAnsi="Times New Roman" w:cs="Times New Roman"/>
        </w:rPr>
        <w:t>The original article contained errors in thermal-data extraction and growth-stage alignment during data processing. In some plots, excessive bare-soil pixels affected thermal-data extraction, thereby amplifying the apparent contribution of thermal information. In addition, irrigation treatments and cultivar differences may affect crop phenological development, while the previous procedure used to align vegetation indices across growth stages did not fully follow a standardized phenology-based workflow and may therefore have introduced errors. These issues affected the numerical results, tables, figures, and related text. The affected parts are corrected below.</w:t>
      </w:r>
    </w:p>
    <w:p w14:paraId="3FE9914B">
      <w:pPr>
        <w:rPr>
          <w:rFonts w:hint="default" w:ascii="Times New Roman" w:hAnsi="Times New Roman" w:cs="Times New Roman"/>
        </w:rPr>
      </w:pPr>
    </w:p>
    <w:p w14:paraId="7AD3F371">
      <w:pPr>
        <w:rPr>
          <w:rFonts w:hint="default" w:ascii="Times New Roman" w:hAnsi="Times New Roman" w:cs="Times New Roman"/>
          <w:b/>
          <w:bCs/>
        </w:rPr>
      </w:pPr>
      <w:r>
        <w:rPr>
          <w:rFonts w:hint="default" w:ascii="Times New Roman" w:hAnsi="Times New Roman" w:cs="Times New Roman"/>
          <w:b/>
          <w:bCs/>
        </w:rPr>
        <w:t>1. In the Abstract</w:t>
      </w:r>
    </w:p>
    <w:p w14:paraId="6C05C94B">
      <w:pPr>
        <w:rPr>
          <w:rFonts w:hint="default" w:ascii="Times New Roman" w:hAnsi="Times New Roman" w:cs="Times New Roman"/>
        </w:rPr>
      </w:pPr>
      <w:r>
        <w:rPr>
          <w:rFonts w:hint="default" w:ascii="Times New Roman" w:hAnsi="Times New Roman" w:cs="Times New Roman"/>
        </w:rPr>
        <w:t>The sentences “In our results, the fusion of dual-sensor data showed high yield prediction accuracy [coefficient of determination (R</w:t>
      </w:r>
      <w:r>
        <w:rPr>
          <w:rFonts w:hint="default" w:ascii="Times New Roman" w:hAnsi="Times New Roman" w:cs="Times New Roman"/>
          <w:vertAlign w:val="superscript"/>
        </w:rPr>
        <w:t>2</w:t>
      </w:r>
      <w:r>
        <w:rPr>
          <w:rFonts w:hint="default" w:ascii="Times New Roman" w:hAnsi="Times New Roman" w:cs="Times New Roman"/>
        </w:rPr>
        <w:t>) =</w:t>
      </w:r>
      <w:r>
        <w:rPr>
          <w:rFonts w:hint="default" w:ascii="Times New Roman" w:hAnsi="Times New Roman" w:cs="Times New Roman"/>
          <w:lang w:val="en-US" w:eastAsia="zh-CN"/>
        </w:rPr>
        <w:t xml:space="preserve"> </w:t>
      </w:r>
      <w:r>
        <w:rPr>
          <w:rFonts w:hint="default" w:ascii="Times New Roman" w:hAnsi="Times New Roman" w:cs="Times New Roman"/>
        </w:rPr>
        <w:t>0.527–0.667] compared to using a single multispectral sensor (R</w:t>
      </w:r>
      <w:r>
        <w:rPr>
          <w:rFonts w:hint="default" w:ascii="Times New Roman" w:hAnsi="Times New Roman" w:cs="Times New Roman"/>
          <w:vertAlign w:val="superscript"/>
        </w:rPr>
        <w:t>2</w:t>
      </w:r>
      <w:r>
        <w:rPr>
          <w:rFonts w:hint="default" w:ascii="Times New Roman" w:hAnsi="Times New Roman" w:cs="Times New Roman"/>
        </w:rPr>
        <w:t xml:space="preserve"> = 0.130–0.461). Results showed that the grain filling stage was the optimal stage to predict GY with R</w:t>
      </w:r>
      <w:r>
        <w:rPr>
          <w:rFonts w:hint="default" w:ascii="Times New Roman" w:hAnsi="Times New Roman" w:cs="Times New Roman"/>
          <w:vertAlign w:val="superscript"/>
        </w:rPr>
        <w:t>2</w:t>
      </w:r>
      <w:r>
        <w:rPr>
          <w:rFonts w:hint="default" w:ascii="Times New Roman" w:hAnsi="Times New Roman" w:cs="Times New Roman"/>
        </w:rPr>
        <w:t xml:space="preserve"> = 0.667, root mean square error (RMSE) =</w:t>
      </w:r>
      <w:r>
        <w:rPr>
          <w:rFonts w:hint="default" w:ascii="Times New Roman" w:hAnsi="Times New Roman" w:cs="Times New Roman"/>
          <w:lang w:val="en-US" w:eastAsia="zh-CN"/>
        </w:rPr>
        <w:t xml:space="preserve"> </w:t>
      </w:r>
      <w:r>
        <w:rPr>
          <w:rFonts w:hint="default" w:ascii="Times New Roman" w:hAnsi="Times New Roman" w:cs="Times New Roman"/>
        </w:rPr>
        <w:t>0.881 t ha</w:t>
      </w:r>
      <w:r>
        <w:rPr>
          <w:rFonts w:hint="default" w:ascii="Times New Roman" w:hAnsi="Times New Roman" w:cs="Times New Roman"/>
          <w:vertAlign w:val="superscript"/>
        </w:rPr>
        <w:t>−1</w:t>
      </w:r>
      <w:r>
        <w:rPr>
          <w:rFonts w:hint="default" w:ascii="Times New Roman" w:hAnsi="Times New Roman" w:cs="Times New Roman"/>
        </w:rPr>
        <w:t>, relative root-mean-square error (RRMSE) = 15.2%, and mean absolute error (MAE) = 0.721 t ha</w:t>
      </w:r>
      <w:r>
        <w:rPr>
          <w:rFonts w:hint="default" w:ascii="Times New Roman" w:hAnsi="Times New Roman" w:cs="Times New Roman"/>
          <w:vertAlign w:val="superscript"/>
        </w:rPr>
        <w:t>−1</w:t>
      </w:r>
      <w:r>
        <w:rPr>
          <w:rFonts w:hint="default" w:ascii="Times New Roman" w:hAnsi="Times New Roman" w:cs="Times New Roman"/>
        </w:rPr>
        <w:t>.” should read:</w:t>
      </w:r>
      <w:r>
        <w:rPr>
          <w:rFonts w:hint="default" w:ascii="Times New Roman" w:hAnsi="Times New Roman" w:cs="Times New Roman"/>
          <w:lang w:val="en-US" w:eastAsia="zh-CN"/>
        </w:rPr>
        <w:t xml:space="preserve"> </w:t>
      </w:r>
      <w:r>
        <w:rPr>
          <w:rFonts w:hint="default" w:ascii="Times New Roman" w:hAnsi="Times New Roman" w:cs="Times New Roman"/>
        </w:rPr>
        <w:t>“The addition of NRCT improved single-stage yield prediction from jointing to grain filling. Mean R</w:t>
      </w:r>
      <w:r>
        <w:rPr>
          <w:rFonts w:hint="default" w:ascii="Times New Roman" w:hAnsi="Times New Roman" w:cs="Times New Roman"/>
          <w:vertAlign w:val="superscript"/>
        </w:rPr>
        <w:t>2</w:t>
      </w:r>
      <w:r>
        <w:rPr>
          <w:rFonts w:hint="default" w:ascii="Times New Roman" w:hAnsi="Times New Roman" w:cs="Times New Roman"/>
        </w:rPr>
        <w:t xml:space="preserve"> increased from 0.159 to 0.427 at jointing, from 0.368 to 0.493 at booting, from 0.409 to 0.525 at heading, from 0.444 to 0.518 at flowering, and from 0.479 to 0.518 at grain filling. At maturity, the VI-only and VI+NRCT models showed similar performance.”</w:t>
      </w:r>
    </w:p>
    <w:p w14:paraId="1803F7E2">
      <w:pPr>
        <w:rPr>
          <w:rFonts w:hint="default" w:ascii="Times New Roman" w:hAnsi="Times New Roman" w:cs="Times New Roman"/>
        </w:rPr>
      </w:pPr>
    </w:p>
    <w:p w14:paraId="26E00F1D">
      <w:pPr>
        <w:rPr>
          <w:rFonts w:hint="default" w:ascii="Times New Roman" w:hAnsi="Times New Roman" w:cs="Times New Roman"/>
        </w:rPr>
      </w:pPr>
      <w:r>
        <w:rPr>
          <w:rFonts w:hint="default" w:ascii="Times New Roman" w:hAnsi="Times New Roman" w:cs="Times New Roman"/>
        </w:rPr>
        <w:t>The sentences “The EWF model outperformed at all the individual growth stages with R</w:t>
      </w:r>
      <w:r>
        <w:rPr>
          <w:rFonts w:hint="default" w:ascii="Times New Roman" w:hAnsi="Times New Roman" w:cs="Times New Roman"/>
          <w:vertAlign w:val="superscript"/>
        </w:rPr>
        <w:t>2</w:t>
      </w:r>
      <w:r>
        <w:rPr>
          <w:rFonts w:hint="default" w:ascii="Times New Roman" w:hAnsi="Times New Roman" w:cs="Times New Roman"/>
        </w:rPr>
        <w:t xml:space="preserve"> varying from 0.677 to 0.729. The best prediction result (R</w:t>
      </w:r>
      <w:r>
        <w:rPr>
          <w:rFonts w:hint="default" w:ascii="Times New Roman" w:hAnsi="Times New Roman" w:cs="Times New Roman"/>
          <w:vertAlign w:val="superscript"/>
        </w:rPr>
        <w:t>2</w:t>
      </w:r>
      <w:r>
        <w:rPr>
          <w:rFonts w:hint="default" w:ascii="Times New Roman" w:hAnsi="Times New Roman" w:cs="Times New Roman"/>
        </w:rPr>
        <w:t xml:space="preserve"> = 0.729, RMSE = 0.831 t</w:t>
      </w:r>
      <w:r>
        <w:rPr>
          <w:rFonts w:hint="default" w:ascii="Times New Roman" w:hAnsi="Times New Roman" w:cs="Times New Roman"/>
          <w:lang w:val="en-US" w:eastAsia="zh-CN"/>
        </w:rPr>
        <w:t xml:space="preserve"> </w:t>
      </w:r>
      <w:r>
        <w:rPr>
          <w:rFonts w:hint="default" w:ascii="Times New Roman" w:hAnsi="Times New Roman" w:cs="Times New Roman"/>
        </w:rPr>
        <w:t>ha</w:t>
      </w:r>
      <w:r>
        <w:rPr>
          <w:rFonts w:hint="default" w:ascii="Times New Roman" w:hAnsi="Times New Roman" w:cs="Times New Roman"/>
          <w:vertAlign w:val="superscript"/>
        </w:rPr>
        <w:t>−1</w:t>
      </w:r>
      <w:r>
        <w:rPr>
          <w:rFonts w:hint="default" w:ascii="Times New Roman" w:hAnsi="Times New Roman" w:cs="Times New Roman"/>
        </w:rPr>
        <w:t>, RRMSE = 14.3%, and MAE = 0.684 t ha</w:t>
      </w:r>
      <w:r>
        <w:rPr>
          <w:rFonts w:hint="default" w:ascii="Times New Roman" w:hAnsi="Times New Roman" w:cs="Times New Roman"/>
          <w:vertAlign w:val="superscript"/>
        </w:rPr>
        <w:t>−1</w:t>
      </w:r>
      <w:r>
        <w:rPr>
          <w:rFonts w:hint="default" w:ascii="Times New Roman" w:hAnsi="Times New Roman" w:cs="Times New Roman"/>
        </w:rPr>
        <w:t>) was achieved through combining the predicted values of all growth stages.” should read:</w:t>
      </w:r>
      <w:r>
        <w:rPr>
          <w:rFonts w:hint="default" w:ascii="Times New Roman" w:hAnsi="Times New Roman" w:cs="Times New Roman"/>
          <w:lang w:val="en-US" w:eastAsia="zh-CN"/>
        </w:rPr>
        <w:t xml:space="preserve"> </w:t>
      </w:r>
      <w:r>
        <w:rPr>
          <w:rFonts w:hint="default" w:ascii="Times New Roman" w:hAnsi="Times New Roman" w:cs="Times New Roman"/>
        </w:rPr>
        <w:t>“For multistage prediction, EWF performed similarly to or better than the individual growth-stage models in most evaluated combinations. The best EWF performance was obtained by combining heading, flowering, and maturity, with a mean R</w:t>
      </w:r>
      <w:r>
        <w:rPr>
          <w:rFonts w:hint="default" w:ascii="Times New Roman" w:hAnsi="Times New Roman" w:cs="Times New Roman"/>
          <w:vertAlign w:val="superscript"/>
        </w:rPr>
        <w:t>2</w:t>
      </w:r>
      <w:r>
        <w:rPr>
          <w:rFonts w:hint="default" w:ascii="Times New Roman" w:hAnsi="Times New Roman" w:cs="Times New Roman"/>
        </w:rPr>
        <w:t xml:space="preserve"> of 0.558 and an RMSE of 0.970 t ha</w:t>
      </w:r>
      <w:r>
        <w:rPr>
          <w:rFonts w:hint="default" w:ascii="Times New Roman" w:hAnsi="Times New Roman" w:cs="Times New Roman"/>
          <w:vertAlign w:val="superscript"/>
        </w:rPr>
        <w:t>−1</w:t>
      </w:r>
      <w:r>
        <w:rPr>
          <w:rFonts w:hint="default" w:ascii="Times New Roman" w:hAnsi="Times New Roman" w:cs="Times New Roman"/>
        </w:rPr>
        <w:t>, exceeding the best individual growth-stage result.”</w:t>
      </w:r>
    </w:p>
    <w:p w14:paraId="577C31BA">
      <w:pPr>
        <w:rPr>
          <w:rFonts w:hint="default" w:ascii="Times New Roman" w:hAnsi="Times New Roman" w:cs="Times New Roman"/>
        </w:rPr>
      </w:pPr>
    </w:p>
    <w:p w14:paraId="5D4483BB">
      <w:pPr>
        <w:rPr>
          <w:rFonts w:hint="default" w:ascii="Times New Roman" w:hAnsi="Times New Roman" w:cs="Times New Roman"/>
        </w:rPr>
      </w:pPr>
      <w:r>
        <w:rPr>
          <w:rFonts w:hint="default" w:ascii="Times New Roman" w:hAnsi="Times New Roman" w:cs="Times New Roman"/>
        </w:rPr>
        <w:t>The sentence “This study suggests that the fusion of UAV-based multispectral and thermal IR data within an ENR-EWF framework can provide a precise and robust prediction of wheat yield.” should read: “These results indicate that integrating UAV-based thermal information with multispectral vegetation indices improves wheat yield prediction from jointing through grain filling, although the magnitude of improvement varies among growth stages. EWF can further improve prediction by integrating information from selected growth-stage combinations.”</w:t>
      </w:r>
    </w:p>
    <w:p w14:paraId="333A013C">
      <w:pPr>
        <w:rPr>
          <w:rFonts w:hint="default" w:ascii="Times New Roman" w:hAnsi="Times New Roman" w:cs="Times New Roman"/>
        </w:rPr>
      </w:pPr>
    </w:p>
    <w:p w14:paraId="48DDF34E">
      <w:pPr>
        <w:numPr>
          <w:ilvl w:val="0"/>
          <w:numId w:val="1"/>
        </w:numPr>
        <w:ind w:left="0" w:leftChars="0" w:firstLine="0" w:firstLineChars="0"/>
        <w:rPr>
          <w:rFonts w:hint="default" w:ascii="Times New Roman" w:hAnsi="Times New Roman" w:cs="Times New Roman"/>
          <w:b/>
          <w:bCs/>
        </w:rPr>
      </w:pPr>
      <w:r>
        <w:rPr>
          <w:rFonts w:hint="default" w:ascii="Times New Roman" w:hAnsi="Times New Roman" w:cs="Times New Roman"/>
          <w:b/>
          <w:bCs/>
        </w:rPr>
        <w:t>In the Results</w:t>
      </w:r>
      <w:r>
        <w:rPr>
          <w:rFonts w:hint="eastAsia" w:ascii="Times New Roman" w:hAnsi="Times New Roman" w:cs="Times New Roman"/>
          <w:b/>
          <w:bCs/>
          <w:lang w:eastAsia="zh-CN"/>
        </w:rPr>
        <w:t>，Subsection</w:t>
      </w:r>
      <w:r>
        <w:rPr>
          <w:rFonts w:hint="eastAsia" w:ascii="Times New Roman" w:hAnsi="Times New Roman" w:cs="Times New Roman"/>
          <w:b/>
          <w:bCs/>
          <w:lang w:val="en-US" w:eastAsia="zh-CN"/>
        </w:rPr>
        <w:t xml:space="preserve"> </w:t>
      </w:r>
      <w:r>
        <w:rPr>
          <w:rFonts w:hint="eastAsia" w:ascii="Times New Roman" w:hAnsi="Times New Roman" w:cs="Times New Roman"/>
          <w:b/>
          <w:bCs/>
          <w:i/>
          <w:iCs/>
          <w:lang w:val="en-US" w:eastAsia="zh-CN"/>
        </w:rPr>
        <w:t>Results of Gray Relational Analysis and Feature Selection</w:t>
      </w:r>
    </w:p>
    <w:p w14:paraId="5E52988B">
      <w:pPr>
        <w:rPr>
          <w:rFonts w:hint="default" w:ascii="Times New Roman" w:hAnsi="Times New Roman" w:cs="Times New Roman"/>
        </w:rPr>
      </w:pPr>
      <w:r>
        <w:rPr>
          <w:rFonts w:hint="default" w:ascii="Times New Roman" w:hAnsi="Times New Roman" w:cs="Times New Roman"/>
        </w:rPr>
        <w:t>In the first paragraph</w:t>
      </w:r>
      <w:r>
        <w:rPr>
          <w:rFonts w:hint="eastAsia" w:ascii="Times New Roman" w:hAnsi="Times New Roman" w:cs="Times New Roman"/>
          <w:lang w:val="en-US" w:eastAsia="zh-CN"/>
        </w:rPr>
        <w:t>, t</w:t>
      </w:r>
      <w:r>
        <w:rPr>
          <w:rFonts w:hint="default" w:ascii="Times New Roman" w:hAnsi="Times New Roman" w:cs="Times New Roman"/>
        </w:rPr>
        <w:t>he sentence “A total of 22 indices were ranked using the GRA method.” should read: “Before GRA, each vegetation index and NRCT were individually fitted to grain yield using simple linear regression. The resulting fitted-yield series were then used to calculate the grey relational degrees. This procedure allowed both positive and negative relationships with grain yield to be evaluated on a consistent basis, which was particularly relevant for NRCT because it was often negatively associated with grain yield.”</w:t>
      </w:r>
    </w:p>
    <w:p w14:paraId="444A3629">
      <w:pPr>
        <w:numPr>
          <w:ilvl w:val="0"/>
          <w:numId w:val="0"/>
        </w:numPr>
        <w:ind w:leftChars="0"/>
        <w:rPr>
          <w:rFonts w:hint="default" w:ascii="Times New Roman" w:hAnsi="Times New Roman" w:cs="Times New Roman"/>
          <w:b/>
          <w:bCs/>
        </w:rPr>
      </w:pPr>
    </w:p>
    <w:p w14:paraId="4F1EEF52">
      <w:pPr>
        <w:rPr>
          <w:rFonts w:hint="default" w:ascii="Times New Roman" w:hAnsi="Times New Roman" w:cs="Times New Roman"/>
        </w:rPr>
      </w:pPr>
      <w:r>
        <w:rPr>
          <w:rFonts w:hint="default" w:ascii="Times New Roman" w:hAnsi="Times New Roman" w:cs="Times New Roman"/>
        </w:rPr>
        <w:t>In the first paragraph</w:t>
      </w:r>
      <w:r>
        <w:rPr>
          <w:rFonts w:hint="eastAsia" w:ascii="Times New Roman" w:hAnsi="Times New Roman" w:cs="Times New Roman"/>
          <w:lang w:val="en-US" w:eastAsia="zh-CN"/>
        </w:rPr>
        <w:t>, t</w:t>
      </w:r>
      <w:r>
        <w:rPr>
          <w:rFonts w:hint="default" w:ascii="Times New Roman" w:hAnsi="Times New Roman" w:cs="Times New Roman"/>
        </w:rPr>
        <w:t>he sentences</w:t>
      </w:r>
      <w:r>
        <w:rPr>
          <w:rFonts w:hint="default" w:ascii="Times New Roman" w:hAnsi="Times New Roman" w:cs="Times New Roman"/>
          <w:lang w:val="en-US" w:eastAsia="zh-CN"/>
        </w:rPr>
        <w:t xml:space="preserve"> </w:t>
      </w:r>
      <w:r>
        <w:rPr>
          <w:rFonts w:hint="default" w:ascii="Times New Roman" w:hAnsi="Times New Roman" w:cs="Times New Roman"/>
        </w:rPr>
        <w:t>“The GRD of the normalized relative canopy temperature (NRCT) ranked first for the jointing, booting, and flowering stages and relatively high for the heading (rank = 10) and grain filling (</w:t>
      </w:r>
      <w:r>
        <w:rPr>
          <w:rFonts w:hint="default" w:ascii="Times New Roman" w:hAnsi="Times New Roman" w:cs="Times New Roman"/>
          <w:lang w:val="en-US" w:eastAsia="zh-CN"/>
        </w:rPr>
        <w:t>R</w:t>
      </w:r>
      <w:r>
        <w:rPr>
          <w:rFonts w:hint="default" w:ascii="Times New Roman" w:hAnsi="Times New Roman" w:cs="Times New Roman"/>
        </w:rPr>
        <w:t>ank = 9) stages. However, the NRCT ranked last at maturity.” should read: “NRCT ranked first at jointing, booting, and heading, second at flowering, third at grain filling, and fifth at maturity.”</w:t>
      </w:r>
    </w:p>
    <w:p w14:paraId="0064AA10">
      <w:pPr>
        <w:rPr>
          <w:rFonts w:hint="default" w:ascii="Times New Roman" w:hAnsi="Times New Roman" w:cs="Times New Roman"/>
        </w:rPr>
      </w:pPr>
    </w:p>
    <w:p w14:paraId="4A9CDBEC">
      <w:pPr>
        <w:rPr>
          <w:rFonts w:hint="default" w:ascii="Times New Roman" w:hAnsi="Times New Roman" w:cs="Times New Roman"/>
        </w:rPr>
      </w:pPr>
      <w:r>
        <w:rPr>
          <w:rFonts w:hint="default" w:ascii="Times New Roman" w:hAnsi="Times New Roman" w:cs="Times New Roman"/>
        </w:rPr>
        <w:t xml:space="preserve">In the first paragraph, </w:t>
      </w:r>
      <w:r>
        <w:rPr>
          <w:rFonts w:hint="eastAsia" w:ascii="Times New Roman" w:hAnsi="Times New Roman" w:cs="Times New Roman"/>
          <w:lang w:val="en-US" w:eastAsia="zh-CN"/>
        </w:rPr>
        <w:t>t</w:t>
      </w:r>
      <w:r>
        <w:rPr>
          <w:rFonts w:hint="default" w:ascii="Times New Roman" w:hAnsi="Times New Roman" w:cs="Times New Roman"/>
        </w:rPr>
        <w:t>he sentences “For example, plant pigment ratio (PPR)</w:t>
      </w:r>
      <w:r>
        <w:rPr>
          <w:rFonts w:hint="eastAsia" w:ascii="Times New Roman" w:hAnsi="Times New Roman" w:cs="Times New Roman"/>
          <w:lang w:val="en-US" w:eastAsia="zh-CN"/>
        </w:rPr>
        <w:t xml:space="preserve"> </w:t>
      </w:r>
      <w:r>
        <w:rPr>
          <w:rFonts w:hint="default" w:ascii="Times New Roman" w:hAnsi="Times New Roman" w:cs="Times New Roman"/>
        </w:rPr>
        <w:t>and difference vegetation index (DVI) had a high ranking at</w:t>
      </w:r>
      <w:r>
        <w:rPr>
          <w:rFonts w:hint="eastAsia" w:ascii="Times New Roman" w:hAnsi="Times New Roman" w:cs="Times New Roman"/>
          <w:lang w:val="en-US" w:eastAsia="zh-CN"/>
        </w:rPr>
        <w:t xml:space="preserve"> </w:t>
      </w:r>
      <w:r>
        <w:rPr>
          <w:rFonts w:hint="default" w:ascii="Times New Roman" w:hAnsi="Times New Roman" w:cs="Times New Roman"/>
        </w:rPr>
        <w:t>both jointing and booting but ranked low at flowering and</w:t>
      </w:r>
      <w:r>
        <w:rPr>
          <w:rFonts w:hint="eastAsia" w:ascii="Times New Roman" w:hAnsi="Times New Roman" w:cs="Times New Roman"/>
          <w:lang w:val="en-US" w:eastAsia="zh-CN"/>
        </w:rPr>
        <w:t xml:space="preserve"> </w:t>
      </w:r>
      <w:r>
        <w:rPr>
          <w:rFonts w:hint="default" w:ascii="Times New Roman" w:hAnsi="Times New Roman" w:cs="Times New Roman"/>
        </w:rPr>
        <w:t>grain filling.</w:t>
      </w:r>
      <w:r>
        <w:rPr>
          <w:rFonts w:hint="eastAsia" w:ascii="Times New Roman" w:hAnsi="Times New Roman" w:cs="Times New Roman"/>
          <w:lang w:val="en-US" w:eastAsia="zh-CN"/>
        </w:rPr>
        <w:t xml:space="preserve"> </w:t>
      </w:r>
      <w:r>
        <w:rPr>
          <w:rFonts w:hint="default" w:ascii="Times New Roman" w:hAnsi="Times New Roman" w:cs="Times New Roman"/>
        </w:rPr>
        <w:t>” should read:</w:t>
      </w:r>
      <w:r>
        <w:rPr>
          <w:rFonts w:hint="eastAsia" w:ascii="Times New Roman" w:hAnsi="Times New Roman" w:cs="Times New Roman"/>
          <w:lang w:val="en-US" w:eastAsia="zh-CN"/>
        </w:rPr>
        <w:t xml:space="preserve"> </w:t>
      </w:r>
      <w:r>
        <w:rPr>
          <w:rFonts w:hint="default" w:ascii="Times New Roman" w:hAnsi="Times New Roman" w:cs="Times New Roman"/>
        </w:rPr>
        <w:t>“For example, plant pigment ratio (PPR)</w:t>
      </w:r>
      <w:r>
        <w:rPr>
          <w:rFonts w:hint="eastAsia" w:ascii="Times New Roman" w:hAnsi="Times New Roman" w:cs="Times New Roman"/>
          <w:lang w:val="en-US" w:eastAsia="zh-CN"/>
        </w:rPr>
        <w:t xml:space="preserve"> </w:t>
      </w:r>
      <w:r>
        <w:rPr>
          <w:rFonts w:hint="default" w:ascii="Times New Roman" w:hAnsi="Times New Roman" w:cs="Times New Roman"/>
        </w:rPr>
        <w:t>had a high ranking at</w:t>
      </w:r>
      <w:r>
        <w:rPr>
          <w:rFonts w:hint="eastAsia" w:ascii="Times New Roman" w:hAnsi="Times New Roman" w:cs="Times New Roman"/>
          <w:lang w:val="en-US" w:eastAsia="zh-CN"/>
        </w:rPr>
        <w:t xml:space="preserve"> </w:t>
      </w:r>
      <w:r>
        <w:rPr>
          <w:rFonts w:hint="default" w:ascii="Times New Roman" w:hAnsi="Times New Roman" w:cs="Times New Roman"/>
        </w:rPr>
        <w:t>both jointing and booting but ranked low at flowering and</w:t>
      </w:r>
      <w:r>
        <w:rPr>
          <w:rFonts w:hint="eastAsia" w:ascii="Times New Roman" w:hAnsi="Times New Roman" w:cs="Times New Roman"/>
          <w:lang w:val="en-US" w:eastAsia="zh-CN"/>
        </w:rPr>
        <w:t xml:space="preserve"> </w:t>
      </w:r>
      <w:r>
        <w:rPr>
          <w:rFonts w:hint="default" w:ascii="Times New Roman" w:hAnsi="Times New Roman" w:cs="Times New Roman"/>
        </w:rPr>
        <w:t>grain filling.</w:t>
      </w:r>
      <w:r>
        <w:rPr>
          <w:rFonts w:hint="eastAsia" w:ascii="Times New Roman" w:hAnsi="Times New Roman" w:cs="Times New Roman"/>
          <w:lang w:val="en-US" w:eastAsia="zh-CN"/>
        </w:rPr>
        <w:t xml:space="preserve"> </w:t>
      </w:r>
      <w:r>
        <w:rPr>
          <w:rFonts w:hint="default" w:ascii="Times New Roman" w:hAnsi="Times New Roman" w:cs="Times New Roman"/>
        </w:rPr>
        <w:t>”</w:t>
      </w:r>
    </w:p>
    <w:p w14:paraId="11EA2E36">
      <w:pPr>
        <w:rPr>
          <w:rFonts w:hint="eastAsia" w:ascii="Times New Roman" w:hAnsi="Times New Roman" w:cs="Times New Roman"/>
          <w:lang w:val="en-US" w:eastAsia="zh-CN"/>
        </w:rPr>
      </w:pPr>
    </w:p>
    <w:p w14:paraId="1C4959C7">
      <w:pPr>
        <w:rPr>
          <w:rFonts w:hint="default" w:ascii="Times New Roman" w:hAnsi="Times New Roman" w:cs="Times New Roman"/>
        </w:rPr>
      </w:pPr>
      <w:r>
        <w:rPr>
          <w:rFonts w:hint="default" w:ascii="Times New Roman" w:hAnsi="Times New Roman" w:cs="Times New Roman"/>
        </w:rPr>
        <w:t xml:space="preserve">In the </w:t>
      </w:r>
      <w:r>
        <w:rPr>
          <w:rFonts w:hint="eastAsia" w:ascii="Times New Roman" w:hAnsi="Times New Roman" w:cs="Times New Roman"/>
          <w:lang w:val="en-US" w:eastAsia="zh-CN"/>
        </w:rPr>
        <w:t xml:space="preserve">second </w:t>
      </w:r>
      <w:r>
        <w:rPr>
          <w:rFonts w:hint="default" w:ascii="Times New Roman" w:hAnsi="Times New Roman" w:cs="Times New Roman"/>
        </w:rPr>
        <w:t>paragraph,</w:t>
      </w:r>
      <w:r>
        <w:rPr>
          <w:rFonts w:hint="eastAsia" w:ascii="Times New Roman" w:hAnsi="Times New Roman" w:cs="Times New Roman"/>
          <w:lang w:val="en-US" w:eastAsia="zh-CN"/>
        </w:rPr>
        <w:t xml:space="preserve"> t</w:t>
      </w:r>
      <w:r>
        <w:rPr>
          <w:rFonts w:hint="default" w:ascii="Times New Roman" w:hAnsi="Times New Roman" w:cs="Times New Roman"/>
        </w:rPr>
        <w:t>he sentences “Among the six developmental stages, the grain filling stage yielded the lowest error, and it tended to be stable when the number of features was 19. The highest error was observed in jointing, and the model showed a stable tendency after inputting 16 features. The appropriate numbers of input features for the booting, heading, flowering, and maturity stages were found to be 18, 18, 22, and 22, respectively.” should read: “For each growth stage, the feature subset with the lowest training error was selected. To enable a consistent comparison between the VI-only and VI+NRCT models, NRCT was retained in all VI+NRCT candidate subsets, while vegetation indices were added sequentially according to their GRD rankings. The final numbers of selected input features, including NRCT, were 11, 6, 2, 21, 2, and 20 for jointing, booting, heading, flowering, grain filling, and maturity, respectively.”</w:t>
      </w:r>
    </w:p>
    <w:p w14:paraId="7D0694FE">
      <w:pPr>
        <w:rPr>
          <w:rFonts w:hint="default" w:ascii="Times New Roman" w:hAnsi="Times New Roman" w:cs="Times New Roman"/>
        </w:rPr>
      </w:pPr>
    </w:p>
    <w:p w14:paraId="6F54F691">
      <w:pPr>
        <w:numPr>
          <w:ilvl w:val="0"/>
          <w:numId w:val="1"/>
        </w:numPr>
        <w:ind w:left="0" w:leftChars="0" w:firstLine="0" w:firstLineChars="0"/>
        <w:rPr>
          <w:rFonts w:hint="eastAsia" w:ascii="Times New Roman" w:hAnsi="Times New Roman" w:cs="Times New Roman" w:eastAsiaTheme="minorEastAsia"/>
          <w:b/>
          <w:bCs/>
          <w:i w:val="0"/>
          <w:iCs w:val="0"/>
          <w:lang w:val="en-US" w:eastAsia="zh-CN"/>
        </w:rPr>
      </w:pPr>
      <w:r>
        <w:rPr>
          <w:rFonts w:hint="default" w:ascii="Times New Roman" w:hAnsi="Times New Roman" w:cs="Times New Roman"/>
          <w:b/>
          <w:bCs/>
          <w:i w:val="0"/>
          <w:iCs w:val="0"/>
        </w:rPr>
        <w:t>In the Results</w:t>
      </w:r>
      <w:r>
        <w:rPr>
          <w:rFonts w:hint="eastAsia" w:ascii="Times New Roman" w:hAnsi="Times New Roman" w:cs="Times New Roman"/>
          <w:b/>
          <w:bCs/>
          <w:i w:val="0"/>
          <w:iCs w:val="0"/>
          <w:lang w:val="en-US" w:eastAsia="zh-CN"/>
        </w:rPr>
        <w:t xml:space="preserve">, </w:t>
      </w:r>
      <w:r>
        <w:rPr>
          <w:rFonts w:hint="eastAsia" w:ascii="Times New Roman" w:hAnsi="Times New Roman" w:cs="Times New Roman"/>
          <w:b/>
          <w:bCs/>
          <w:i w:val="0"/>
          <w:iCs w:val="0"/>
          <w:lang w:eastAsia="zh-CN"/>
        </w:rPr>
        <w:t>Subsection</w:t>
      </w:r>
      <w:r>
        <w:rPr>
          <w:rFonts w:hint="eastAsia" w:ascii="Times New Roman" w:hAnsi="Times New Roman" w:cs="Times New Roman"/>
          <w:b/>
          <w:bCs/>
          <w:i w:val="0"/>
          <w:iCs w:val="0"/>
          <w:lang w:val="en-US" w:eastAsia="zh-CN"/>
        </w:rPr>
        <w:t xml:space="preserve"> </w:t>
      </w:r>
      <w:r>
        <w:rPr>
          <w:rFonts w:hint="eastAsia" w:ascii="Times New Roman" w:hAnsi="Times New Roman" w:cs="Times New Roman"/>
          <w:b/>
          <w:bCs/>
          <w:i/>
          <w:iCs/>
          <w:lang w:val="en-US" w:eastAsia="zh-CN"/>
        </w:rPr>
        <w:t>Performance of Elastic Net Regression Model for Individual Growth Stage</w:t>
      </w:r>
    </w:p>
    <w:p w14:paraId="56D34113">
      <w:pPr>
        <w:rPr>
          <w:rFonts w:hint="eastAsia" w:ascii="Times New Roman" w:hAnsi="Times New Roman" w:cs="Times New Roman" w:eastAsiaTheme="minorEastAsia"/>
          <w:lang w:val="en-US" w:eastAsia="zh-CN"/>
        </w:rPr>
      </w:pPr>
      <w:r>
        <w:rPr>
          <w:rFonts w:hint="default" w:ascii="Times New Roman" w:hAnsi="Times New Roman" w:cs="Times New Roman"/>
        </w:rPr>
        <w:t>In the first paragraph</w:t>
      </w:r>
      <w:r>
        <w:rPr>
          <w:rFonts w:hint="eastAsia" w:ascii="Times New Roman" w:hAnsi="Times New Roman" w:cs="Times New Roman"/>
          <w:lang w:val="en-US" w:eastAsia="zh-CN"/>
        </w:rPr>
        <w:t>, t</w:t>
      </w:r>
      <w:r>
        <w:rPr>
          <w:rFonts w:hint="default" w:ascii="Times New Roman" w:hAnsi="Times New Roman" w:cs="Times New Roman"/>
        </w:rPr>
        <w:t>he sentences “The mean</w:t>
      </w:r>
      <w:r>
        <w:rPr>
          <w:rFonts w:hint="eastAsia" w:ascii="Times New Roman" w:hAnsi="Times New Roman" w:cs="Times New Roman"/>
          <w:lang w:val="en-US" w:eastAsia="zh-CN"/>
        </w:rPr>
        <w:t xml:space="preserve"> </w:t>
      </w:r>
      <w:r>
        <w:rPr>
          <w:rFonts w:hint="default" w:ascii="Times New Roman" w:hAnsi="Times New Roman" w:cs="Times New Roman"/>
        </w:rPr>
        <w:t>prediction values for the grain filling stage was R</w:t>
      </w:r>
      <w:r>
        <w:rPr>
          <w:rFonts w:hint="default" w:ascii="Times New Roman" w:hAnsi="Times New Roman" w:cs="Times New Roman"/>
          <w:vertAlign w:val="superscript"/>
        </w:rPr>
        <w:t>2</w:t>
      </w:r>
      <w:r>
        <w:rPr>
          <w:rFonts w:hint="default" w:ascii="Times New Roman" w:hAnsi="Times New Roman" w:cs="Times New Roman"/>
        </w:rPr>
        <w:t xml:space="preserve"> = 0.461,</w:t>
      </w:r>
      <w:r>
        <w:rPr>
          <w:rFonts w:hint="eastAsia" w:ascii="Times New Roman" w:hAnsi="Times New Roman" w:cs="Times New Roman"/>
          <w:lang w:val="en-US" w:eastAsia="zh-CN"/>
        </w:rPr>
        <w:t xml:space="preserve"> </w:t>
      </w:r>
      <w:r>
        <w:rPr>
          <w:rFonts w:hint="default" w:ascii="Times New Roman" w:hAnsi="Times New Roman" w:cs="Times New Roman"/>
        </w:rPr>
        <w:t>followed by flowering (R</w:t>
      </w:r>
      <w:r>
        <w:rPr>
          <w:rFonts w:hint="default" w:ascii="Times New Roman" w:hAnsi="Times New Roman" w:cs="Times New Roman"/>
          <w:vertAlign w:val="superscript"/>
        </w:rPr>
        <w:t>2</w:t>
      </w:r>
      <w:r>
        <w:rPr>
          <w:rFonts w:hint="default" w:ascii="Times New Roman" w:hAnsi="Times New Roman" w:cs="Times New Roman"/>
        </w:rPr>
        <w:t xml:space="preserve"> = 0.432), heading (R</w:t>
      </w:r>
      <w:r>
        <w:rPr>
          <w:rFonts w:hint="default" w:ascii="Times New Roman" w:hAnsi="Times New Roman" w:cs="Times New Roman"/>
          <w:vertAlign w:val="superscript"/>
        </w:rPr>
        <w:t>2</w:t>
      </w:r>
      <w:r>
        <w:rPr>
          <w:rFonts w:hint="default" w:ascii="Times New Roman" w:hAnsi="Times New Roman" w:cs="Times New Roman"/>
        </w:rPr>
        <w:t xml:space="preserve"> = 0.422),</w:t>
      </w:r>
      <w:r>
        <w:rPr>
          <w:rFonts w:hint="eastAsia" w:ascii="Times New Roman" w:hAnsi="Times New Roman" w:cs="Times New Roman"/>
          <w:lang w:val="en-US" w:eastAsia="zh-CN"/>
        </w:rPr>
        <w:t xml:space="preserve"> </w:t>
      </w:r>
      <w:r>
        <w:rPr>
          <w:rFonts w:hint="default" w:ascii="Times New Roman" w:hAnsi="Times New Roman" w:cs="Times New Roman"/>
        </w:rPr>
        <w:t>maturity (R</w:t>
      </w:r>
      <w:r>
        <w:rPr>
          <w:rFonts w:hint="default" w:ascii="Times New Roman" w:hAnsi="Times New Roman" w:cs="Times New Roman"/>
          <w:vertAlign w:val="superscript"/>
        </w:rPr>
        <w:t>2</w:t>
      </w:r>
      <w:r>
        <w:rPr>
          <w:rFonts w:hint="default" w:ascii="Times New Roman" w:hAnsi="Times New Roman" w:cs="Times New Roman"/>
        </w:rPr>
        <w:t xml:space="preserve"> = 0.417), booting (R</w:t>
      </w:r>
      <w:r>
        <w:rPr>
          <w:rFonts w:hint="default" w:ascii="Times New Roman" w:hAnsi="Times New Roman" w:cs="Times New Roman"/>
          <w:vertAlign w:val="superscript"/>
        </w:rPr>
        <w:t>2</w:t>
      </w:r>
      <w:r>
        <w:rPr>
          <w:rFonts w:hint="default" w:ascii="Times New Roman" w:hAnsi="Times New Roman" w:cs="Times New Roman"/>
        </w:rPr>
        <w:t xml:space="preserve"> = 0.290), and jointing</w:t>
      </w:r>
      <w:r>
        <w:rPr>
          <w:rFonts w:hint="eastAsia" w:ascii="Times New Roman" w:hAnsi="Times New Roman" w:cs="Times New Roman"/>
          <w:lang w:val="en-US" w:eastAsia="zh-CN"/>
        </w:rPr>
        <w:t xml:space="preserve"> </w:t>
      </w:r>
      <w:r>
        <w:rPr>
          <w:rFonts w:hint="default" w:ascii="Times New Roman" w:hAnsi="Times New Roman" w:cs="Times New Roman"/>
        </w:rPr>
        <w:t>(R</w:t>
      </w:r>
      <w:r>
        <w:rPr>
          <w:rFonts w:hint="default" w:ascii="Times New Roman" w:hAnsi="Times New Roman" w:cs="Times New Roman"/>
          <w:vertAlign w:val="superscript"/>
        </w:rPr>
        <w:t>2</w:t>
      </w:r>
      <w:r>
        <w:rPr>
          <w:rFonts w:hint="default" w:ascii="Times New Roman" w:hAnsi="Times New Roman" w:cs="Times New Roman"/>
        </w:rPr>
        <w:t xml:space="preserve"> = 0.130).</w:t>
      </w:r>
      <w:r>
        <w:rPr>
          <w:rFonts w:hint="eastAsia" w:ascii="Times New Roman" w:hAnsi="Times New Roman" w:cs="Times New Roman"/>
          <w:lang w:val="en-US" w:eastAsia="zh-CN"/>
        </w:rPr>
        <w:t xml:space="preserve"> </w:t>
      </w:r>
      <w:r>
        <w:rPr>
          <w:rFonts w:hint="default" w:ascii="Times New Roman" w:hAnsi="Times New Roman" w:cs="Times New Roman"/>
        </w:rPr>
        <w:t>” should read: “The mean prediction values using multispectral vegetation indices were R</w:t>
      </w:r>
      <w:r>
        <w:rPr>
          <w:rFonts w:hint="default" w:ascii="Times New Roman" w:hAnsi="Times New Roman" w:cs="Times New Roman"/>
          <w:vertAlign w:val="superscript"/>
        </w:rPr>
        <w:t>2</w:t>
      </w:r>
      <w:r>
        <w:rPr>
          <w:rFonts w:hint="default" w:ascii="Times New Roman" w:hAnsi="Times New Roman" w:cs="Times New Roman"/>
        </w:rPr>
        <w:t xml:space="preserve"> = 0.479 at grain filling, followed by maturity (R</w:t>
      </w:r>
      <w:r>
        <w:rPr>
          <w:rFonts w:hint="default" w:ascii="Times New Roman" w:hAnsi="Times New Roman" w:cs="Times New Roman"/>
          <w:vertAlign w:val="superscript"/>
        </w:rPr>
        <w:t xml:space="preserve">2 </w:t>
      </w:r>
      <w:r>
        <w:rPr>
          <w:rFonts w:hint="default" w:ascii="Times New Roman" w:hAnsi="Times New Roman" w:cs="Times New Roman"/>
        </w:rPr>
        <w:t>= 0.478), flowering (R</w:t>
      </w:r>
      <w:r>
        <w:rPr>
          <w:rFonts w:hint="default" w:ascii="Times New Roman" w:hAnsi="Times New Roman" w:cs="Times New Roman"/>
          <w:vertAlign w:val="superscript"/>
        </w:rPr>
        <w:t>2</w:t>
      </w:r>
      <w:r>
        <w:rPr>
          <w:rFonts w:hint="default" w:ascii="Times New Roman" w:hAnsi="Times New Roman" w:cs="Times New Roman"/>
        </w:rPr>
        <w:t xml:space="preserve"> = 0.444), heading (R</w:t>
      </w:r>
      <w:r>
        <w:rPr>
          <w:rFonts w:hint="default" w:ascii="Times New Roman" w:hAnsi="Times New Roman" w:cs="Times New Roman"/>
          <w:vertAlign w:val="superscript"/>
        </w:rPr>
        <w:t>2</w:t>
      </w:r>
      <w:r>
        <w:rPr>
          <w:rFonts w:hint="default" w:ascii="Times New Roman" w:hAnsi="Times New Roman" w:cs="Times New Roman"/>
        </w:rPr>
        <w:t xml:space="preserve"> = 0.409), booting (R</w:t>
      </w:r>
      <w:r>
        <w:rPr>
          <w:rFonts w:hint="default" w:ascii="Times New Roman" w:hAnsi="Times New Roman" w:cs="Times New Roman"/>
          <w:vertAlign w:val="superscript"/>
        </w:rPr>
        <w:t>2</w:t>
      </w:r>
      <w:r>
        <w:rPr>
          <w:rFonts w:hint="default" w:ascii="Times New Roman" w:hAnsi="Times New Roman" w:cs="Times New Roman"/>
        </w:rPr>
        <w:t xml:space="preserve"> = 0.368), and jointing (R</w:t>
      </w:r>
      <w:r>
        <w:rPr>
          <w:rFonts w:hint="default" w:ascii="Times New Roman" w:hAnsi="Times New Roman" w:cs="Times New Roman"/>
          <w:vertAlign w:val="superscript"/>
        </w:rPr>
        <w:t>2</w:t>
      </w:r>
      <w:r>
        <w:rPr>
          <w:rFonts w:hint="default" w:ascii="Times New Roman" w:hAnsi="Times New Roman" w:cs="Times New Roman"/>
        </w:rPr>
        <w:t xml:space="preserve"> = 0.159).”</w:t>
      </w:r>
      <w:r>
        <w:rPr>
          <w:rFonts w:hint="eastAsia" w:ascii="Times New Roman" w:hAnsi="Times New Roman" w:cs="Times New Roman"/>
          <w:lang w:val="en-US" w:eastAsia="zh-CN"/>
        </w:rPr>
        <w:t xml:space="preserve"> </w:t>
      </w:r>
    </w:p>
    <w:p w14:paraId="676DE723">
      <w:pPr>
        <w:widowControl w:val="0"/>
        <w:numPr>
          <w:ilvl w:val="0"/>
          <w:numId w:val="0"/>
        </w:numPr>
        <w:jc w:val="both"/>
        <w:rPr>
          <w:rFonts w:hint="eastAsia" w:ascii="Times New Roman" w:hAnsi="Times New Roman" w:cs="Times New Roman" w:eastAsiaTheme="minorEastAsia"/>
          <w:b/>
          <w:bCs/>
          <w:i w:val="0"/>
          <w:iCs w:val="0"/>
          <w:lang w:val="en-US" w:eastAsia="zh-CN"/>
        </w:rPr>
      </w:pPr>
    </w:p>
    <w:p w14:paraId="661952C5">
      <w:pPr>
        <w:rPr>
          <w:rFonts w:hint="default" w:ascii="Times New Roman" w:hAnsi="Times New Roman" w:cs="Times New Roman"/>
        </w:rPr>
      </w:pPr>
      <w:r>
        <w:rPr>
          <w:rFonts w:hint="default" w:ascii="Times New Roman" w:hAnsi="Times New Roman" w:cs="Times New Roman"/>
        </w:rPr>
        <w:t>In the first paragraph</w:t>
      </w:r>
      <w:r>
        <w:rPr>
          <w:rFonts w:hint="eastAsia" w:ascii="Times New Roman" w:hAnsi="Times New Roman" w:cs="Times New Roman"/>
          <w:lang w:val="en-US" w:eastAsia="zh-CN"/>
        </w:rPr>
        <w:t>, t</w:t>
      </w:r>
      <w:r>
        <w:rPr>
          <w:rFonts w:hint="default" w:ascii="Times New Roman" w:hAnsi="Times New Roman" w:cs="Times New Roman"/>
        </w:rPr>
        <w:t>he sentences “The results show that the dual-sensor data fusion method achieves higher prediction accuracy at all measured stages compared to using single multispectral sensor-based features. As with using only multispectral features, the ENR showed the highest prediction results with a low error at the grain filling (R</w:t>
      </w:r>
      <w:r>
        <w:rPr>
          <w:rFonts w:hint="default" w:ascii="Times New Roman" w:hAnsi="Times New Roman" w:cs="Times New Roman"/>
          <w:vertAlign w:val="superscript"/>
        </w:rPr>
        <w:t>2</w:t>
      </w:r>
      <w:r>
        <w:rPr>
          <w:rFonts w:hint="default" w:ascii="Times New Roman" w:hAnsi="Times New Roman" w:cs="Times New Roman"/>
        </w:rPr>
        <w:t xml:space="preserve"> = 0.667) stage. The mean prediction results at jointing, booting, heading, flowering, and maturity were R</w:t>
      </w:r>
      <w:r>
        <w:rPr>
          <w:rFonts w:hint="default" w:ascii="Times New Roman" w:hAnsi="Times New Roman" w:cs="Times New Roman"/>
          <w:vertAlign w:val="superscript"/>
        </w:rPr>
        <w:t>2</w:t>
      </w:r>
      <w:r>
        <w:rPr>
          <w:rFonts w:hint="default" w:ascii="Times New Roman" w:hAnsi="Times New Roman" w:cs="Times New Roman"/>
        </w:rPr>
        <w:t xml:space="preserve"> = 0.544, R</w:t>
      </w:r>
      <w:r>
        <w:rPr>
          <w:rFonts w:hint="default" w:ascii="Times New Roman" w:hAnsi="Times New Roman" w:cs="Times New Roman"/>
          <w:vertAlign w:val="superscript"/>
        </w:rPr>
        <w:t xml:space="preserve">2 </w:t>
      </w:r>
      <w:r>
        <w:rPr>
          <w:rFonts w:hint="default" w:ascii="Times New Roman" w:hAnsi="Times New Roman" w:cs="Times New Roman"/>
        </w:rPr>
        <w:t>= 0.571, R</w:t>
      </w:r>
      <w:r>
        <w:rPr>
          <w:rFonts w:hint="default" w:ascii="Times New Roman" w:hAnsi="Times New Roman" w:cs="Times New Roman"/>
          <w:vertAlign w:val="superscript"/>
        </w:rPr>
        <w:t>2</w:t>
      </w:r>
      <w:r>
        <w:rPr>
          <w:rFonts w:hint="default" w:ascii="Times New Roman" w:hAnsi="Times New Roman" w:cs="Times New Roman"/>
        </w:rPr>
        <w:t xml:space="preserve"> = 0.602, R</w:t>
      </w:r>
      <w:r>
        <w:rPr>
          <w:rFonts w:hint="default" w:ascii="Times New Roman" w:hAnsi="Times New Roman" w:cs="Times New Roman"/>
          <w:vertAlign w:val="superscript"/>
        </w:rPr>
        <w:t>2</w:t>
      </w:r>
      <w:r>
        <w:rPr>
          <w:rFonts w:hint="default" w:ascii="Times New Roman" w:hAnsi="Times New Roman" w:cs="Times New Roman"/>
        </w:rPr>
        <w:t xml:space="preserve"> = 0.640, and R</w:t>
      </w:r>
      <w:r>
        <w:rPr>
          <w:rFonts w:hint="default" w:ascii="Times New Roman" w:hAnsi="Times New Roman" w:cs="Times New Roman"/>
          <w:vertAlign w:val="superscript"/>
        </w:rPr>
        <w:t>2</w:t>
      </w:r>
      <w:r>
        <w:rPr>
          <w:rFonts w:hint="default" w:ascii="Times New Roman" w:hAnsi="Times New Roman" w:cs="Times New Roman"/>
        </w:rPr>
        <w:t xml:space="preserve"> = 0.527, respectively.” should read: “Adding NRCT improved ENR performance from jointing to grain filling. Mean R</w:t>
      </w:r>
      <w:r>
        <w:rPr>
          <w:rFonts w:hint="default" w:ascii="Times New Roman" w:hAnsi="Times New Roman" w:cs="Times New Roman"/>
          <w:vertAlign w:val="superscript"/>
        </w:rPr>
        <w:t>2</w:t>
      </w:r>
      <w:r>
        <w:rPr>
          <w:rFonts w:hint="default" w:ascii="Times New Roman" w:hAnsi="Times New Roman" w:cs="Times New Roman"/>
        </w:rPr>
        <w:t xml:space="preserve"> values for VI-only and VI+NRCT models were 0.159 and 0.427 at jointing, 0.368 and 0.493 at booting, 0.409 and 0.525 at heading, 0.444 and 0.518 at flowering, and 0.479 and 0.518 at grain filling, respectively. At maturity, the two models produced the same mean R</w:t>
      </w:r>
      <w:r>
        <w:rPr>
          <w:rFonts w:hint="default" w:ascii="Times New Roman" w:hAnsi="Times New Roman" w:cs="Times New Roman"/>
          <w:vertAlign w:val="superscript"/>
        </w:rPr>
        <w:t>2</w:t>
      </w:r>
      <w:r>
        <w:rPr>
          <w:rFonts w:hint="default" w:ascii="Times New Roman" w:hAnsi="Times New Roman" w:cs="Times New Roman"/>
        </w:rPr>
        <w:t xml:space="preserve"> of 0.478.”</w:t>
      </w:r>
    </w:p>
    <w:p w14:paraId="053BB11B">
      <w:pPr>
        <w:rPr>
          <w:rFonts w:hint="default" w:ascii="Times New Roman" w:hAnsi="Times New Roman" w:cs="Times New Roman"/>
        </w:rPr>
      </w:pPr>
    </w:p>
    <w:p w14:paraId="0505D5E7">
      <w:pPr>
        <w:rPr>
          <w:rFonts w:hint="default" w:ascii="Times New Roman" w:hAnsi="Times New Roman" w:cs="Times New Roman"/>
        </w:rPr>
      </w:pPr>
      <w:r>
        <w:rPr>
          <w:rFonts w:hint="default" w:ascii="Times New Roman" w:hAnsi="Times New Roman" w:cs="Times New Roman"/>
        </w:rPr>
        <w:t xml:space="preserve">In the </w:t>
      </w:r>
      <w:r>
        <w:rPr>
          <w:rFonts w:hint="eastAsia" w:ascii="Times New Roman" w:hAnsi="Times New Roman" w:cs="Times New Roman"/>
          <w:lang w:val="en-US" w:eastAsia="zh-CN"/>
        </w:rPr>
        <w:t xml:space="preserve">second </w:t>
      </w:r>
      <w:r>
        <w:rPr>
          <w:rFonts w:hint="default" w:ascii="Times New Roman" w:hAnsi="Times New Roman" w:cs="Times New Roman"/>
        </w:rPr>
        <w:t>paragraph,</w:t>
      </w:r>
      <w:r>
        <w:rPr>
          <w:rFonts w:hint="eastAsia" w:ascii="Times New Roman" w:hAnsi="Times New Roman" w:cs="Times New Roman"/>
          <w:lang w:val="en-US" w:eastAsia="zh-CN"/>
        </w:rPr>
        <w:t xml:space="preserve"> t</w:t>
      </w:r>
      <w:r>
        <w:rPr>
          <w:rFonts w:hint="default" w:ascii="Times New Roman" w:hAnsi="Times New Roman" w:cs="Times New Roman"/>
        </w:rPr>
        <w:t>he sentences “High correlations ranging from R² = 0.59 to R² = 0.89 between adjacent growth stages were observed across the growth stages. Moreover, the greater the interval between the growth stages, the lower the R²-value. For example, the R² between the jointing stage and the booting, heading, flowering, grain filling, and maturity stages were 0.78, 0.66, 0.64, 0.52, and 0.41, respectively. In comparison, the correlations between the predicted yield in the maturity and other growth stages were lower, with quite weak regression values ranging from R² = 0.41 to R² = 0.59.” should read:</w:t>
      </w:r>
      <w:r>
        <w:rPr>
          <w:rFonts w:hint="eastAsia" w:ascii="Times New Roman" w:hAnsi="Times New Roman" w:cs="Times New Roman"/>
          <w:lang w:val="en-US" w:eastAsia="zh-CN"/>
        </w:rPr>
        <w:t xml:space="preserve"> </w:t>
      </w:r>
      <w:r>
        <w:rPr>
          <w:rFonts w:hint="default" w:ascii="Times New Roman" w:hAnsi="Times New Roman" w:cs="Times New Roman"/>
        </w:rPr>
        <w:t>“The corrected regression analysis showed that the R²-values between predicted grain yield values from adjacent growth stages ranged from 0.6</w:t>
      </w:r>
      <w:r>
        <w:rPr>
          <w:rFonts w:hint="eastAsia" w:ascii="Times New Roman" w:hAnsi="Times New Roman" w:cs="Times New Roman"/>
          <w:lang w:val="en-US" w:eastAsia="zh-CN"/>
        </w:rPr>
        <w:t>0</w:t>
      </w:r>
      <w:r>
        <w:rPr>
          <w:rFonts w:hint="default" w:ascii="Times New Roman" w:hAnsi="Times New Roman" w:cs="Times New Roman"/>
        </w:rPr>
        <w:t xml:space="preserve"> to 0.9</w:t>
      </w:r>
      <w:r>
        <w:rPr>
          <w:rFonts w:hint="eastAsia" w:ascii="Times New Roman" w:hAnsi="Times New Roman" w:cs="Times New Roman"/>
          <w:lang w:val="en-US" w:eastAsia="zh-CN"/>
        </w:rPr>
        <w:t>5</w:t>
      </w:r>
      <w:r>
        <w:rPr>
          <w:rFonts w:hint="default" w:ascii="Times New Roman" w:hAnsi="Times New Roman" w:cs="Times New Roman"/>
        </w:rPr>
        <w:t>. The correlations generally decreased as the interval between growth stages increased, although this trend was not strictly monotonic for all stage pairs. For example, the R²-values between the jointing stage and the booting, heading, flowering, grain filling, and maturity stages were 0.8</w:t>
      </w:r>
      <w:r>
        <w:rPr>
          <w:rFonts w:hint="eastAsia" w:ascii="Times New Roman" w:hAnsi="Times New Roman" w:cs="Times New Roman"/>
          <w:lang w:val="en-US" w:eastAsia="zh-CN"/>
        </w:rPr>
        <w:t>9</w:t>
      </w:r>
      <w:r>
        <w:rPr>
          <w:rFonts w:hint="default" w:ascii="Times New Roman" w:hAnsi="Times New Roman" w:cs="Times New Roman"/>
        </w:rPr>
        <w:t>, 0.7</w:t>
      </w:r>
      <w:r>
        <w:rPr>
          <w:rFonts w:hint="eastAsia" w:ascii="Times New Roman" w:hAnsi="Times New Roman" w:cs="Times New Roman"/>
          <w:lang w:val="en-US" w:eastAsia="zh-CN"/>
        </w:rPr>
        <w:t>9</w:t>
      </w:r>
      <w:r>
        <w:rPr>
          <w:rFonts w:hint="default" w:ascii="Times New Roman" w:hAnsi="Times New Roman" w:cs="Times New Roman"/>
        </w:rPr>
        <w:t>, 0.6</w:t>
      </w:r>
      <w:r>
        <w:rPr>
          <w:rFonts w:hint="eastAsia" w:ascii="Times New Roman" w:hAnsi="Times New Roman" w:cs="Times New Roman"/>
          <w:lang w:val="en-US" w:eastAsia="zh-CN"/>
        </w:rPr>
        <w:t>8</w:t>
      </w:r>
      <w:r>
        <w:rPr>
          <w:rFonts w:hint="default" w:ascii="Times New Roman" w:hAnsi="Times New Roman" w:cs="Times New Roman"/>
        </w:rPr>
        <w:t>, 0.6</w:t>
      </w:r>
      <w:r>
        <w:rPr>
          <w:rFonts w:hint="eastAsia" w:ascii="Times New Roman" w:hAnsi="Times New Roman" w:cs="Times New Roman"/>
          <w:lang w:val="en-US" w:eastAsia="zh-CN"/>
        </w:rPr>
        <w:t>8</w:t>
      </w:r>
      <w:r>
        <w:rPr>
          <w:rFonts w:hint="default" w:ascii="Times New Roman" w:hAnsi="Times New Roman" w:cs="Times New Roman"/>
        </w:rPr>
        <w:t>, and 0.</w:t>
      </w:r>
      <w:r>
        <w:rPr>
          <w:rFonts w:hint="eastAsia" w:ascii="Times New Roman" w:hAnsi="Times New Roman" w:cs="Times New Roman"/>
          <w:lang w:val="en-US" w:eastAsia="zh-CN"/>
        </w:rPr>
        <w:t>60</w:t>
      </w:r>
      <w:r>
        <w:rPr>
          <w:rFonts w:hint="default" w:ascii="Times New Roman" w:hAnsi="Times New Roman" w:cs="Times New Roman"/>
        </w:rPr>
        <w:t>, respectively. The correlations between the predicted grain yield at maturity and those at the other growth stages were moderate, ranging from R² = 0.</w:t>
      </w:r>
      <w:r>
        <w:rPr>
          <w:rFonts w:hint="eastAsia" w:ascii="Times New Roman" w:hAnsi="Times New Roman" w:cs="Times New Roman"/>
          <w:lang w:val="en-US" w:eastAsia="zh-CN"/>
        </w:rPr>
        <w:t xml:space="preserve">60 </w:t>
      </w:r>
      <w:r>
        <w:rPr>
          <w:rFonts w:hint="default" w:ascii="Times New Roman" w:hAnsi="Times New Roman" w:cs="Times New Roman"/>
        </w:rPr>
        <w:t>to R² = 0.6</w:t>
      </w:r>
      <w:r>
        <w:rPr>
          <w:rFonts w:hint="eastAsia" w:ascii="Times New Roman" w:hAnsi="Times New Roman" w:cs="Times New Roman"/>
          <w:lang w:val="en-US" w:eastAsia="zh-CN"/>
        </w:rPr>
        <w:t>8</w:t>
      </w:r>
      <w:r>
        <w:rPr>
          <w:rFonts w:hint="default" w:ascii="Times New Roman" w:hAnsi="Times New Roman" w:cs="Times New Roman"/>
        </w:rPr>
        <w:t>.”</w:t>
      </w:r>
    </w:p>
    <w:p w14:paraId="3606B348">
      <w:pPr>
        <w:rPr>
          <w:rFonts w:hint="default" w:ascii="Times New Roman" w:hAnsi="Times New Roman" w:cs="Times New Roman"/>
        </w:rPr>
      </w:pPr>
    </w:p>
    <w:p w14:paraId="013603BB">
      <w:pPr>
        <w:numPr>
          <w:ilvl w:val="0"/>
          <w:numId w:val="1"/>
        </w:numPr>
        <w:ind w:left="0" w:leftChars="0" w:firstLine="0" w:firstLineChars="0"/>
        <w:rPr>
          <w:rFonts w:hint="eastAsia" w:ascii="Times New Roman" w:hAnsi="Times New Roman" w:cs="Times New Roman" w:eastAsiaTheme="minorEastAsia"/>
          <w:b/>
          <w:bCs/>
          <w:i w:val="0"/>
          <w:iCs w:val="0"/>
          <w:lang w:val="en-US" w:eastAsia="zh-CN"/>
        </w:rPr>
      </w:pPr>
      <w:r>
        <w:rPr>
          <w:rFonts w:hint="default" w:ascii="Times New Roman" w:hAnsi="Times New Roman" w:cs="Times New Roman"/>
          <w:b/>
          <w:bCs/>
          <w:i w:val="0"/>
          <w:iCs w:val="0"/>
        </w:rPr>
        <w:t>In the Results</w:t>
      </w:r>
      <w:r>
        <w:rPr>
          <w:rFonts w:hint="eastAsia" w:ascii="Times New Roman" w:hAnsi="Times New Roman" w:cs="Times New Roman"/>
          <w:b/>
          <w:bCs/>
          <w:i w:val="0"/>
          <w:iCs w:val="0"/>
          <w:lang w:val="en-US" w:eastAsia="zh-CN"/>
        </w:rPr>
        <w:t xml:space="preserve">, </w:t>
      </w:r>
      <w:r>
        <w:rPr>
          <w:rFonts w:hint="eastAsia" w:ascii="Times New Roman" w:hAnsi="Times New Roman" w:cs="Times New Roman"/>
          <w:b/>
          <w:bCs/>
          <w:i w:val="0"/>
          <w:iCs w:val="0"/>
          <w:lang w:eastAsia="zh-CN"/>
        </w:rPr>
        <w:t>Performance of Entropy Weight Fusion</w:t>
      </w:r>
      <w:r>
        <w:rPr>
          <w:rFonts w:hint="eastAsia" w:ascii="Times New Roman" w:hAnsi="Times New Roman" w:cs="Times New Roman"/>
          <w:b/>
          <w:bCs/>
          <w:i w:val="0"/>
          <w:iCs w:val="0"/>
          <w:lang w:val="en-US" w:eastAsia="zh-CN"/>
        </w:rPr>
        <w:t xml:space="preserve"> </w:t>
      </w:r>
      <w:r>
        <w:rPr>
          <w:rFonts w:hint="eastAsia" w:ascii="Times New Roman" w:hAnsi="Times New Roman" w:cs="Times New Roman"/>
          <w:b/>
          <w:bCs/>
          <w:i w:val="0"/>
          <w:iCs w:val="0"/>
          <w:lang w:eastAsia="zh-CN"/>
        </w:rPr>
        <w:t>Method</w:t>
      </w:r>
    </w:p>
    <w:p w14:paraId="6B0CA0E5">
      <w:pPr>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In the first paragraph</w:t>
      </w:r>
      <w:r>
        <w:rPr>
          <w:rFonts w:hint="eastAsia" w:ascii="Times New Roman" w:hAnsi="Times New Roman" w:cs="Times New Roman"/>
          <w:lang w:val="en-US" w:eastAsia="zh-CN"/>
        </w:rPr>
        <w:t>, t</w:t>
      </w:r>
      <w:r>
        <w:rPr>
          <w:rFonts w:hint="default" w:ascii="Times New Roman" w:hAnsi="Times New Roman" w:cs="Times New Roman"/>
        </w:rPr>
        <w:t>he sentences “</w:t>
      </w:r>
      <w:r>
        <w:rPr>
          <w:rFonts w:hint="default" w:ascii="Times New Roman" w:hAnsi="Times New Roman" w:eastAsia="MinionPro-Regular" w:cs="Times New Roman"/>
          <w:color w:val="231F20"/>
          <w:kern w:val="0"/>
          <w:sz w:val="21"/>
          <w:szCs w:val="21"/>
          <w:lang w:val="en-US" w:eastAsia="zh-CN" w:bidi="ar"/>
        </w:rPr>
        <w:t>The results indicated that combining the features of multiple stages increases the accuracy of yield prediction than individual stages (</w:t>
      </w:r>
      <w:r>
        <w:rPr>
          <w:rFonts w:hint="default" w:ascii="Times New Roman" w:hAnsi="Times New Roman" w:eastAsia="MinionPro-Bold" w:cs="Times New Roman"/>
          <w:b/>
          <w:bCs/>
          <w:color w:val="231F20"/>
          <w:kern w:val="0"/>
          <w:sz w:val="21"/>
          <w:szCs w:val="21"/>
          <w:lang w:val="en-US" w:eastAsia="zh-CN" w:bidi="ar"/>
        </w:rPr>
        <w:t>Figure 8</w:t>
      </w:r>
      <w:r>
        <w:rPr>
          <w:rFonts w:hint="default" w:ascii="Times New Roman" w:hAnsi="Times New Roman" w:eastAsia="MinionPro-Regular" w:cs="Times New Roman"/>
          <w:color w:val="231F20"/>
          <w:kern w:val="0"/>
          <w:sz w:val="21"/>
          <w:szCs w:val="21"/>
          <w:lang w:val="en-US" w:eastAsia="zh-CN" w:bidi="ar"/>
        </w:rPr>
        <w:t xml:space="preserve">). The C4 yielded the highest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eastAsia="MinionPro-Regular" w:cs="Times New Roman"/>
          <w:color w:val="231F20"/>
          <w:kern w:val="0"/>
          <w:sz w:val="21"/>
          <w:szCs w:val="21"/>
          <w:vertAlign w:val="superscript"/>
          <w:lang w:val="en-US" w:eastAsia="zh-CN" w:bidi="ar"/>
        </w:rPr>
        <w:t>2</w:t>
      </w:r>
      <w:r>
        <w:rPr>
          <w:rFonts w:hint="default" w:ascii="Times New Roman" w:hAnsi="Times New Roman" w:eastAsia="MinionPro-Regular" w:cs="Times New Roman"/>
          <w:color w:val="231F20"/>
          <w:kern w:val="0"/>
          <w:sz w:val="21"/>
          <w:szCs w:val="21"/>
          <w:lang w:val="en-US" w:eastAsia="zh-CN" w:bidi="ar"/>
        </w:rPr>
        <w:t xml:space="preserve"> -value of 0.725, followed by C3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eastAsia="MinionPro-Regular" w:cs="Times New Roman"/>
          <w:color w:val="231F20"/>
          <w:kern w:val="0"/>
          <w:sz w:val="21"/>
          <w:szCs w:val="21"/>
          <w:vertAlign w:val="superscript"/>
          <w:lang w:val="en-US" w:eastAsia="zh-CN" w:bidi="ar"/>
        </w:rPr>
        <w:t>2</w:t>
      </w:r>
      <w:r>
        <w:rPr>
          <w:rFonts w:hint="default" w:ascii="Times New Roman" w:hAnsi="Times New Roman" w:eastAsia="MinionPro-Regular" w:cs="Times New Roman"/>
          <w:color w:val="231F20"/>
          <w:kern w:val="0"/>
          <w:sz w:val="21"/>
          <w:szCs w:val="21"/>
          <w:lang w:val="en-US" w:eastAsia="zh-CN" w:bidi="ar"/>
        </w:rPr>
        <w:t xml:space="preserve"> = 0.717) and C2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eastAsia="MinionPro-Regular" w:cs="Times New Roman"/>
          <w:color w:val="231F20"/>
          <w:kern w:val="0"/>
          <w:sz w:val="21"/>
          <w:szCs w:val="21"/>
          <w:vertAlign w:val="superscript"/>
          <w:lang w:val="en-US" w:eastAsia="zh-CN" w:bidi="ar"/>
        </w:rPr>
        <w:t>2</w:t>
      </w:r>
      <w:r>
        <w:rPr>
          <w:rFonts w:hint="default" w:ascii="Times New Roman" w:hAnsi="Times New Roman" w:eastAsia="MinionPro-Regular" w:cs="Times New Roman"/>
          <w:color w:val="231F20"/>
          <w:kern w:val="0"/>
          <w:sz w:val="21"/>
          <w:szCs w:val="21"/>
          <w:lang w:val="en-US" w:eastAsia="zh-CN" w:bidi="ar"/>
        </w:rPr>
        <w:t xml:space="preserve"> = 0.691). The remaining combinations achieved similar prediction accuracy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eastAsia="MinionPro-Regular" w:cs="Times New Roman"/>
          <w:color w:val="231F20"/>
          <w:kern w:val="0"/>
          <w:sz w:val="21"/>
          <w:szCs w:val="21"/>
          <w:vertAlign w:val="superscript"/>
          <w:lang w:val="en-US" w:eastAsia="zh-CN" w:bidi="ar"/>
        </w:rPr>
        <w:t>2</w:t>
      </w:r>
      <w:r>
        <w:rPr>
          <w:rFonts w:hint="default" w:ascii="Times New Roman" w:hAnsi="Times New Roman" w:eastAsia="MinionPro-Regular" w:cs="Times New Roman"/>
          <w:color w:val="231F20"/>
          <w:kern w:val="0"/>
          <w:sz w:val="21"/>
          <w:szCs w:val="21"/>
          <w:lang w:val="en-US" w:eastAsia="zh-CN" w:bidi="ar"/>
        </w:rPr>
        <w:t xml:space="preserve"> = 0.669–0.681). However, the obvious fluctuations of accuracy parameters (R</w:t>
      </w:r>
      <w:r>
        <w:rPr>
          <w:rFonts w:hint="default" w:ascii="Times New Roman" w:hAnsi="Times New Roman" w:eastAsia="MinionPro-Regular" w:cs="Times New Roman"/>
          <w:color w:val="231F20"/>
          <w:kern w:val="0"/>
          <w:sz w:val="21"/>
          <w:szCs w:val="21"/>
          <w:vertAlign w:val="superscript"/>
          <w:lang w:val="en-US" w:eastAsia="zh-CN" w:bidi="ar"/>
        </w:rPr>
        <w:t>2</w:t>
      </w:r>
      <w:r>
        <w:rPr>
          <w:rFonts w:hint="default" w:ascii="Times New Roman" w:hAnsi="Times New Roman" w:eastAsia="MinionPro-Regular" w:cs="Times New Roman"/>
          <w:color w:val="231F20"/>
          <w:kern w:val="0"/>
          <w:sz w:val="21"/>
          <w:szCs w:val="21"/>
          <w:lang w:val="en-US" w:eastAsia="zh-CN" w:bidi="ar"/>
        </w:rPr>
        <w:t>, RMSE, RRMSE, and MAE) with wide ranges were observed.</w:t>
      </w:r>
      <w:r>
        <w:rPr>
          <w:rFonts w:hint="default" w:ascii="Times New Roman" w:hAnsi="Times New Roman" w:cs="Times New Roman"/>
        </w:rPr>
        <w:t>” should read:</w:t>
      </w:r>
      <w:r>
        <w:rPr>
          <w:rFonts w:hint="default" w:ascii="Times New Roman" w:hAnsi="Times New Roman" w:cs="Times New Roman"/>
          <w:lang w:val="en-US" w:eastAsia="zh-CN"/>
        </w:rPr>
        <w:t xml:space="preserve"> </w:t>
      </w:r>
      <w:r>
        <w:rPr>
          <w:rFonts w:hint="default" w:ascii="Times New Roman" w:hAnsi="Times New Roman" w:cs="Times New Roman"/>
        </w:rPr>
        <w:t>“Across the eight evaluated growth-stage combinations, ENR with concatenated multistage features achieved mean R² values of 0.514 (C1), 0.501 (C2), 0.503 (C3), 0.570 (C4), 0.504 (C5), 0.507 (C6), 0.552 (C7), and 0.572 (C8), respectively.</w:t>
      </w:r>
      <w:r>
        <w:rPr>
          <w:rFonts w:hint="eastAsia" w:ascii="Times New Roman" w:hAnsi="Times New Roman" w:cs="Times New Roman"/>
          <w:lang w:val="en-US" w:eastAsia="zh-CN"/>
        </w:rPr>
        <w:t xml:space="preserve"> </w:t>
      </w:r>
      <w:r>
        <w:rPr>
          <w:rFonts w:hint="default" w:ascii="Times New Roman" w:hAnsi="Times New Roman" w:cs="Times New Roman"/>
        </w:rPr>
        <w:t>It should be noted that only three growth-stage combinations achieved higher prediction accuracy than their corresponding individual growth-stage models.”</w:t>
      </w:r>
    </w:p>
    <w:p w14:paraId="28117295">
      <w:pPr>
        <w:rPr>
          <w:rFonts w:hint="default" w:ascii="Times New Roman" w:hAnsi="Times New Roman" w:cs="Times New Roman"/>
        </w:rPr>
      </w:pPr>
    </w:p>
    <w:p w14:paraId="5E01A401">
      <w:pPr>
        <w:keepNext w:val="0"/>
        <w:keepLines w:val="0"/>
        <w:widowControl/>
        <w:suppressLineNumbers w:val="0"/>
        <w:jc w:val="both"/>
        <w:rPr>
          <w:rFonts w:hint="default" w:ascii="Times New Roman" w:hAnsi="Times New Roman" w:cs="Times New Roman"/>
          <w:sz w:val="21"/>
          <w:szCs w:val="21"/>
          <w:lang w:val="en-US"/>
        </w:rPr>
      </w:pPr>
      <w:r>
        <w:rPr>
          <w:rFonts w:hint="default" w:ascii="Times New Roman" w:hAnsi="Times New Roman" w:cs="Times New Roman"/>
        </w:rPr>
        <w:t xml:space="preserve">In the </w:t>
      </w:r>
      <w:r>
        <w:rPr>
          <w:rFonts w:hint="eastAsia" w:ascii="Times New Roman" w:hAnsi="Times New Roman" w:cs="Times New Roman"/>
          <w:lang w:val="en-US" w:eastAsia="zh-CN"/>
        </w:rPr>
        <w:t xml:space="preserve">second </w:t>
      </w:r>
      <w:r>
        <w:rPr>
          <w:rFonts w:hint="default" w:ascii="Times New Roman" w:hAnsi="Times New Roman" w:cs="Times New Roman"/>
        </w:rPr>
        <w:t>paragraph,</w:t>
      </w:r>
      <w:r>
        <w:rPr>
          <w:rFonts w:hint="eastAsia" w:ascii="Times New Roman" w:hAnsi="Times New Roman" w:cs="Times New Roman"/>
          <w:lang w:val="en-US" w:eastAsia="zh-CN"/>
        </w:rPr>
        <w:t xml:space="preserve"> t</w:t>
      </w:r>
      <w:r>
        <w:rPr>
          <w:rFonts w:hint="default" w:ascii="Times New Roman" w:hAnsi="Times New Roman" w:cs="Times New Roman"/>
          <w:sz w:val="21"/>
          <w:szCs w:val="21"/>
        </w:rPr>
        <w:t xml:space="preserve">he sentences “Among the eight combinations, the optimal test results of the EWF model were observed in C4, with a mean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default" w:ascii="Times New Roman" w:hAnsi="Times New Roman" w:cs="Times New Roman"/>
          <w:sz w:val="21"/>
          <w:szCs w:val="21"/>
        </w:rPr>
        <w:t>of 0.729.</w:t>
      </w:r>
      <w:r>
        <w:rPr>
          <w:rFonts w:hint="default" w:ascii="Times New Roman" w:hAnsi="Times New Roman" w:cs="Times New Roman"/>
          <w:sz w:val="21"/>
          <w:szCs w:val="21"/>
          <w:lang w:val="en-US" w:eastAsia="zh-CN"/>
        </w:rPr>
        <w:t xml:space="preserve"> </w:t>
      </w:r>
      <w:r>
        <w:rPr>
          <w:rFonts w:hint="default" w:ascii="Times New Roman" w:hAnsi="Times New Roman" w:cs="Times New Roman"/>
          <w:sz w:val="21"/>
          <w:szCs w:val="21"/>
        </w:rPr>
        <w:t xml:space="preserve">An increase of 0.062 compared with the highest mean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default" w:ascii="Times New Roman" w:hAnsi="Times New Roman" w:cs="Times New Roman"/>
          <w:sz w:val="21"/>
          <w:szCs w:val="21"/>
        </w:rPr>
        <w:t>-value was observed in the grain filling stage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default" w:ascii="Times New Roman" w:hAnsi="Times New Roman" w:cs="Times New Roman"/>
          <w:sz w:val="21"/>
          <w:szCs w:val="21"/>
        </w:rPr>
        <w:t>= 0.667). Moreover, the RMSE, RRMSE, and MAE values were reduced to 0.831 t ha</w:t>
      </w:r>
      <w:r>
        <w:rPr>
          <w:rFonts w:hint="default" w:ascii="Times New Roman" w:hAnsi="Times New Roman" w:cs="Times New Roman"/>
          <w:sz w:val="21"/>
          <w:szCs w:val="21"/>
          <w:vertAlign w:val="superscript"/>
        </w:rPr>
        <w:t>−1</w:t>
      </w:r>
      <w:r>
        <w:rPr>
          <w:rFonts w:hint="default" w:ascii="Times New Roman" w:hAnsi="Times New Roman" w:cs="Times New Roman"/>
          <w:sz w:val="21"/>
          <w:szCs w:val="21"/>
        </w:rPr>
        <w:t>, 14.3%, and 0.684 t ha</w:t>
      </w:r>
      <w:r>
        <w:rPr>
          <w:rFonts w:hint="default" w:ascii="Times New Roman" w:hAnsi="Times New Roman" w:cs="Times New Roman"/>
          <w:sz w:val="21"/>
          <w:szCs w:val="21"/>
          <w:vertAlign w:val="superscript"/>
        </w:rPr>
        <w:t>−1</w:t>
      </w:r>
      <w:r>
        <w:rPr>
          <w:rFonts w:hint="default" w:ascii="Times New Roman" w:hAnsi="Times New Roman" w:cs="Times New Roman"/>
          <w:sz w:val="21"/>
          <w:szCs w:val="21"/>
        </w:rPr>
        <w:t xml:space="preserve">, respectively. </w:t>
      </w:r>
      <w:r>
        <w:rPr>
          <w:rFonts w:hint="default" w:ascii="Times New Roman" w:hAnsi="Times New Roman" w:eastAsia="MinionPro-Regular" w:cs="Times New Roman"/>
          <w:color w:val="231F20"/>
          <w:kern w:val="0"/>
          <w:sz w:val="21"/>
          <w:szCs w:val="21"/>
          <w:lang w:val="en-US" w:eastAsia="zh-CN" w:bidi="ar"/>
        </w:rPr>
        <w:t>A low prediction was observed in C1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eastAsia="MinionPro-Regular" w:cs="Times New Roman"/>
          <w:color w:val="231F20"/>
          <w:kern w:val="0"/>
          <w:sz w:val="21"/>
          <w:szCs w:val="21"/>
          <w:vertAlign w:val="superscript"/>
          <w:lang w:val="en-US" w:eastAsia="zh-CN" w:bidi="ar"/>
        </w:rPr>
        <w:t>2</w:t>
      </w:r>
      <w:r>
        <w:rPr>
          <w:rFonts w:hint="default" w:ascii="Times New Roman" w:hAnsi="Times New Roman" w:eastAsia="MinionPro-Regular" w:cs="Times New Roman"/>
          <w:color w:val="231F20"/>
          <w:kern w:val="0"/>
          <w:sz w:val="21"/>
          <w:szCs w:val="21"/>
          <w:lang w:val="en-US" w:eastAsia="zh-CN" w:bidi="ar"/>
        </w:rPr>
        <w:t xml:space="preserve"> = 0.681). Compared to C5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default" w:ascii="Times New Roman" w:hAnsi="Times New Roman" w:eastAsia="MinionPro-Regular" w:cs="Times New Roman"/>
          <w:color w:val="231F20"/>
          <w:kern w:val="0"/>
          <w:sz w:val="21"/>
          <w:szCs w:val="21"/>
          <w:lang w:val="en-US" w:eastAsia="zh-CN" w:bidi="ar"/>
        </w:rPr>
        <w:t>= 0.692), C6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default" w:ascii="Times New Roman" w:hAnsi="Times New Roman" w:eastAsia="MinionPro-Regular" w:cs="Times New Roman"/>
          <w:color w:val="231F20"/>
          <w:kern w:val="0"/>
          <w:sz w:val="21"/>
          <w:szCs w:val="21"/>
          <w:lang w:val="en-US" w:eastAsia="zh-CN" w:bidi="ar"/>
        </w:rPr>
        <w:t>= 0.678), C7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default" w:ascii="Times New Roman" w:hAnsi="Times New Roman" w:eastAsia="MinionPro-Regular" w:cs="Times New Roman"/>
          <w:color w:val="231F20"/>
          <w:kern w:val="0"/>
          <w:sz w:val="21"/>
          <w:szCs w:val="21"/>
          <w:lang w:val="en-US" w:eastAsia="zh-CN" w:bidi="ar"/>
        </w:rPr>
        <w:t>= 0.677), and C8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default" w:ascii="Times New Roman" w:hAnsi="Times New Roman" w:eastAsia="MinionPro-Regular" w:cs="Times New Roman"/>
          <w:color w:val="231F20"/>
          <w:kern w:val="0"/>
          <w:sz w:val="21"/>
          <w:szCs w:val="21"/>
          <w:lang w:val="en-US" w:eastAsia="zh-CN" w:bidi="ar"/>
        </w:rPr>
        <w:t>= 0.688), C2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default" w:ascii="Times New Roman" w:hAnsi="Times New Roman" w:eastAsia="MinionPro-Regular" w:cs="Times New Roman"/>
          <w:color w:val="231F20"/>
          <w:kern w:val="0"/>
          <w:sz w:val="21"/>
          <w:szCs w:val="21"/>
          <w:lang w:val="en-US" w:eastAsia="zh-CN" w:bidi="ar"/>
        </w:rPr>
        <w:t>= 0.721) and C3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default" w:ascii="Times New Roman" w:hAnsi="Times New Roman" w:eastAsia="MinionPro-Regular" w:cs="Times New Roman"/>
          <w:color w:val="231F20"/>
          <w:kern w:val="0"/>
          <w:sz w:val="21"/>
          <w:szCs w:val="21"/>
          <w:lang w:val="en-US" w:eastAsia="zh-CN" w:bidi="ar"/>
        </w:rPr>
        <w:t>= 0.719) had a more accurate predictions.”</w:t>
      </w:r>
      <w:r>
        <w:rPr>
          <w:rFonts w:hint="eastAsia" w:ascii="Times New Roman" w:hAnsi="Times New Roman" w:eastAsia="MinionPro-Regular" w:cs="Times New Roman"/>
          <w:color w:val="231F20"/>
          <w:kern w:val="0"/>
          <w:sz w:val="21"/>
          <w:szCs w:val="21"/>
          <w:lang w:val="en-US" w:eastAsia="zh-CN" w:bidi="ar"/>
        </w:rPr>
        <w:t xml:space="preserve"> should read: </w:t>
      </w:r>
      <w:r>
        <w:rPr>
          <w:rFonts w:hint="default" w:ascii="Times New Roman" w:hAnsi="Times New Roman" w:cs="Times New Roman"/>
          <w:sz w:val="21"/>
          <w:szCs w:val="21"/>
        </w:rPr>
        <w:t>“</w:t>
      </w:r>
      <w:r>
        <w:rPr>
          <w:rFonts w:hint="eastAsia" w:ascii="Times New Roman" w:hAnsi="Times New Roman" w:eastAsia="MinionPro-Regular" w:cs="Times New Roman"/>
          <w:color w:val="231F20"/>
          <w:kern w:val="0"/>
          <w:sz w:val="21"/>
          <w:szCs w:val="21"/>
          <w:lang w:val="en-US" w:eastAsia="zh-CN" w:bidi="ar"/>
        </w:rPr>
        <w:t xml:space="preserve">Among the eight growth-stage combinations, the optimal test results of the EWF model were observed in C8, with a mean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eastAsia" w:ascii="Times New Roman" w:hAnsi="Times New Roman" w:eastAsia="MinionPro-Regular" w:cs="Times New Roman"/>
          <w:color w:val="231F20"/>
          <w:kern w:val="0"/>
          <w:sz w:val="21"/>
          <w:szCs w:val="21"/>
          <w:lang w:val="en-US" w:eastAsia="zh-CN" w:bidi="ar"/>
        </w:rPr>
        <w:t>of 0.558. This value was higher than the highest mean R</w:t>
      </w:r>
      <w:r>
        <w:rPr>
          <w:rFonts w:hint="default" w:ascii="Times New Roman" w:hAnsi="Times New Roman" w:cs="Times New Roman"/>
          <w:sz w:val="21"/>
          <w:szCs w:val="21"/>
          <w:vertAlign w:val="superscript"/>
        </w:rPr>
        <w:t>2</w:t>
      </w:r>
      <w:r>
        <w:rPr>
          <w:rFonts w:hint="eastAsia" w:ascii="Times New Roman" w:hAnsi="Times New Roman" w:eastAsia="MinionPro-Regular" w:cs="Times New Roman"/>
          <w:color w:val="231F20"/>
          <w:kern w:val="0"/>
          <w:sz w:val="21"/>
          <w:szCs w:val="21"/>
          <w:lang w:val="en-US" w:eastAsia="zh-CN" w:bidi="ar"/>
        </w:rPr>
        <w:t>-value observed at the individual growth stages, which was obtained at the heading stage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eastAsia" w:ascii="Times New Roman" w:hAnsi="Times New Roman" w:eastAsia="MinionPro-Regular" w:cs="Times New Roman"/>
          <w:color w:val="231F20"/>
          <w:kern w:val="0"/>
          <w:sz w:val="21"/>
          <w:szCs w:val="21"/>
          <w:lang w:val="en-US" w:eastAsia="zh-CN" w:bidi="ar"/>
        </w:rPr>
        <w:t>= 0.525). Moreover, the RMSE, RRMSE, and MAE values of C8 were 0.970 t ha</w:t>
      </w:r>
      <w:r>
        <w:rPr>
          <w:rFonts w:hint="eastAsia" w:ascii="Times New Roman" w:hAnsi="Times New Roman" w:eastAsia="MinionPro-Regular" w:cs="Times New Roman"/>
          <w:color w:val="231F20"/>
          <w:kern w:val="0"/>
          <w:sz w:val="21"/>
          <w:szCs w:val="21"/>
          <w:vertAlign w:val="superscript"/>
          <w:lang w:val="en-US" w:eastAsia="zh-CN" w:bidi="ar"/>
        </w:rPr>
        <w:t>−1</w:t>
      </w:r>
      <w:r>
        <w:rPr>
          <w:rFonts w:hint="eastAsia" w:ascii="Times New Roman" w:hAnsi="Times New Roman" w:eastAsia="MinionPro-Regular" w:cs="Times New Roman"/>
          <w:color w:val="231F20"/>
          <w:kern w:val="0"/>
          <w:sz w:val="21"/>
          <w:szCs w:val="21"/>
          <w:lang w:val="en-US" w:eastAsia="zh-CN" w:bidi="ar"/>
        </w:rPr>
        <w:t>, 17.0%, and 0.774 t ha−1, respectively. A relatively low prediction accuracy was observed in C1 (R</w:t>
      </w:r>
      <w:r>
        <w:rPr>
          <w:rFonts w:hint="default" w:ascii="Times New Roman" w:hAnsi="Times New Roman" w:cs="Times New Roman"/>
          <w:sz w:val="21"/>
          <w:szCs w:val="21"/>
          <w:vertAlign w:val="superscript"/>
        </w:rPr>
        <w:t>2</w:t>
      </w:r>
      <w:r>
        <w:rPr>
          <w:rFonts w:hint="eastAsia" w:ascii="Times New Roman" w:hAnsi="Times New Roman" w:eastAsia="MinionPro-Regular" w:cs="Times New Roman"/>
          <w:color w:val="231F20"/>
          <w:kern w:val="0"/>
          <w:sz w:val="21"/>
          <w:szCs w:val="21"/>
          <w:lang w:val="en-US" w:eastAsia="zh-CN" w:bidi="ar"/>
        </w:rPr>
        <w:t xml:space="preserve"> = 0.503). Compared with C2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eastAsia" w:ascii="Times New Roman" w:hAnsi="Times New Roman" w:eastAsia="MinionPro-Regular" w:cs="Times New Roman"/>
          <w:color w:val="231F20"/>
          <w:kern w:val="0"/>
          <w:sz w:val="21"/>
          <w:szCs w:val="21"/>
          <w:lang w:val="en-US" w:eastAsia="zh-CN" w:bidi="ar"/>
        </w:rPr>
        <w:t>= 0.521), C3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eastAsia" w:ascii="Times New Roman" w:hAnsi="Times New Roman" w:eastAsia="MinionPro-Regular" w:cs="Times New Roman"/>
          <w:color w:val="231F20"/>
          <w:kern w:val="0"/>
          <w:sz w:val="21"/>
          <w:szCs w:val="21"/>
          <w:lang w:val="en-US" w:eastAsia="zh-CN" w:bidi="ar"/>
        </w:rPr>
        <w:t>= 0.530), C4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eastAsia" w:ascii="Times New Roman" w:hAnsi="Times New Roman" w:eastAsia="MinionPro-Regular" w:cs="Times New Roman"/>
          <w:color w:val="231F20"/>
          <w:kern w:val="0"/>
          <w:sz w:val="21"/>
          <w:szCs w:val="21"/>
          <w:lang w:val="en-US" w:eastAsia="zh-CN" w:bidi="ar"/>
        </w:rPr>
        <w:t>= 0.546), C5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eastAsia" w:ascii="Times New Roman" w:hAnsi="Times New Roman" w:eastAsia="MinionPro-Regular" w:cs="Times New Roman"/>
          <w:color w:val="231F20"/>
          <w:kern w:val="0"/>
          <w:sz w:val="21"/>
          <w:szCs w:val="21"/>
          <w:lang w:val="en-US" w:eastAsia="zh-CN" w:bidi="ar"/>
        </w:rPr>
        <w:t>= 0.527) and C6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eastAsia" w:ascii="Times New Roman" w:hAnsi="Times New Roman" w:eastAsia="MinionPro-Regular" w:cs="Times New Roman"/>
          <w:color w:val="231F20"/>
          <w:kern w:val="0"/>
          <w:sz w:val="21"/>
          <w:szCs w:val="21"/>
          <w:lang w:val="en-US" w:eastAsia="zh-CN" w:bidi="ar"/>
        </w:rPr>
        <w:t>= 0.536), C7 (</w:t>
      </w:r>
      <w:r>
        <w:rPr>
          <w:rFonts w:hint="default" w:ascii="Times New Roman" w:hAnsi="Times New Roman" w:eastAsia="MinionPro-It" w:cs="Times New Roman"/>
          <w:i/>
          <w:iCs/>
          <w:color w:val="231F20"/>
          <w:kern w:val="0"/>
          <w:sz w:val="21"/>
          <w:szCs w:val="21"/>
          <w:lang w:val="en-US" w:eastAsia="zh-CN" w:bidi="ar"/>
        </w:rPr>
        <w:t>R</w:t>
      </w:r>
      <w:r>
        <w:rPr>
          <w:rFonts w:hint="default" w:ascii="Times New Roman" w:hAnsi="Times New Roman" w:cs="Times New Roman"/>
          <w:sz w:val="21"/>
          <w:szCs w:val="21"/>
          <w:vertAlign w:val="superscript"/>
        </w:rPr>
        <w:t>2</w:t>
      </w:r>
      <w:r>
        <w:rPr>
          <w:rFonts w:hint="eastAsia" w:ascii="Times New Roman" w:hAnsi="Times New Roman" w:cs="Times New Roman"/>
          <w:sz w:val="21"/>
          <w:szCs w:val="21"/>
          <w:vertAlign w:val="superscript"/>
          <w:lang w:val="en-US" w:eastAsia="zh-CN"/>
        </w:rPr>
        <w:t xml:space="preserve"> </w:t>
      </w:r>
      <w:r>
        <w:rPr>
          <w:rFonts w:hint="eastAsia" w:ascii="Times New Roman" w:hAnsi="Times New Roman" w:eastAsia="MinionPro-Regular" w:cs="Times New Roman"/>
          <w:color w:val="231F20"/>
          <w:kern w:val="0"/>
          <w:sz w:val="21"/>
          <w:szCs w:val="21"/>
          <w:lang w:val="en-US" w:eastAsia="zh-CN" w:bidi="ar"/>
        </w:rPr>
        <w:t xml:space="preserve">= 0.554) had a more accurate prediction.Among them, six EWF combinations achieved higher prediction accuracy than the individual growth-stage models, which was considerably more than that achieved by directly inputting multitemporal features into the model. </w:t>
      </w:r>
      <w:r>
        <w:rPr>
          <w:rFonts w:hint="default" w:ascii="Times New Roman" w:hAnsi="Times New Roman" w:eastAsia="MinionPro-Regular" w:cs="Times New Roman"/>
          <w:color w:val="231F20"/>
          <w:kern w:val="0"/>
          <w:sz w:val="21"/>
          <w:szCs w:val="21"/>
          <w:lang w:val="en-US" w:eastAsia="zh-CN" w:bidi="ar"/>
        </w:rPr>
        <w:t>”</w:t>
      </w:r>
    </w:p>
    <w:p w14:paraId="38ACF5C8">
      <w:pPr>
        <w:rPr>
          <w:rFonts w:hint="default" w:ascii="Times New Roman" w:hAnsi="Times New Roman" w:cs="Times New Roman"/>
        </w:rPr>
      </w:pPr>
    </w:p>
    <w:p w14:paraId="047D3937">
      <w:pPr>
        <w:rPr>
          <w:rFonts w:hint="default" w:ascii="Times New Roman" w:hAnsi="Times New Roman" w:cs="Times New Roman"/>
        </w:rPr>
      </w:pPr>
      <w:r>
        <w:rPr>
          <w:rFonts w:hint="default" w:ascii="Times New Roman" w:hAnsi="Times New Roman" w:cs="Times New Roman"/>
        </w:rPr>
        <w:t xml:space="preserve">In the </w:t>
      </w:r>
      <w:r>
        <w:rPr>
          <w:rFonts w:hint="eastAsia" w:ascii="Times New Roman" w:hAnsi="Times New Roman" w:cs="Times New Roman"/>
          <w:lang w:val="en-US" w:eastAsia="zh-CN"/>
        </w:rPr>
        <w:t xml:space="preserve">second </w:t>
      </w:r>
      <w:r>
        <w:rPr>
          <w:rFonts w:hint="default" w:ascii="Times New Roman" w:hAnsi="Times New Roman" w:cs="Times New Roman"/>
        </w:rPr>
        <w:t>paragraph,</w:t>
      </w:r>
      <w:r>
        <w:rPr>
          <w:rFonts w:hint="eastAsia" w:ascii="Times New Roman" w:hAnsi="Times New Roman" w:cs="Times New Roman"/>
          <w:lang w:val="en-US" w:eastAsia="zh-CN"/>
        </w:rPr>
        <w:t xml:space="preserve"> t</w:t>
      </w:r>
      <w:r>
        <w:rPr>
          <w:rFonts w:hint="default" w:ascii="Times New Roman" w:hAnsi="Times New Roman" w:cs="Times New Roman"/>
        </w:rPr>
        <w:t>he sentences</w:t>
      </w:r>
      <w:r>
        <w:rPr>
          <w:rFonts w:hint="eastAsia" w:ascii="Times New Roman" w:hAnsi="Times New Roman" w:cs="Times New Roman"/>
          <w:lang w:val="en-US" w:eastAsia="zh-CN"/>
        </w:rPr>
        <w:t xml:space="preserve"> </w:t>
      </w:r>
      <w:r>
        <w:rPr>
          <w:rFonts w:hint="default" w:ascii="Times New Roman" w:hAnsi="Times New Roman" w:cs="Times New Roman"/>
        </w:rPr>
        <w:t>“A paired t-test was utilized to assess whether the EWF models performed statistically high in terms of the R</w:t>
      </w:r>
      <w:r>
        <w:rPr>
          <w:rFonts w:hint="default" w:ascii="Times New Roman" w:hAnsi="Times New Roman" w:cs="Times New Roman"/>
          <w:vertAlign w:val="superscript"/>
        </w:rPr>
        <w:t>2</w:t>
      </w:r>
      <w:r>
        <w:rPr>
          <w:rFonts w:hint="default" w:ascii="Times New Roman" w:hAnsi="Times New Roman" w:cs="Times New Roman"/>
        </w:rPr>
        <w:t>-values compared with the other models (Figure 10). The results showed significantly high R</w:t>
      </w:r>
      <w:r>
        <w:rPr>
          <w:rFonts w:hint="default" w:ascii="Times New Roman" w:hAnsi="Times New Roman" w:cs="Times New Roman"/>
          <w:vertAlign w:val="superscript"/>
        </w:rPr>
        <w:t>2</w:t>
      </w:r>
      <w:r>
        <w:rPr>
          <w:rFonts w:hint="default" w:ascii="Times New Roman" w:hAnsi="Times New Roman" w:cs="Times New Roman"/>
        </w:rPr>
        <w:t>-values for the EWF model in all the growth stage combinations.”</w:t>
      </w:r>
      <w:r>
        <w:rPr>
          <w:rFonts w:hint="eastAsia" w:ascii="Times New Roman" w:hAnsi="Times New Roman" w:cs="Times New Roman"/>
          <w:lang w:val="en-US" w:eastAsia="zh-CN"/>
        </w:rPr>
        <w:t xml:space="preserve"> should read: </w:t>
      </w:r>
      <w:r>
        <w:rPr>
          <w:rFonts w:hint="default" w:ascii="Times New Roman" w:hAnsi="Times New Roman" w:cs="Times New Roman"/>
        </w:rPr>
        <w:t>“Paired t-tests were used to compare the R</w:t>
      </w:r>
      <w:r>
        <w:rPr>
          <w:rFonts w:hint="default" w:ascii="Times New Roman" w:hAnsi="Times New Roman" w:cs="Times New Roman"/>
          <w:vertAlign w:val="superscript"/>
        </w:rPr>
        <w:t>2</w:t>
      </w:r>
      <w:r>
        <w:rPr>
          <w:rFonts w:hint="default" w:ascii="Times New Roman" w:hAnsi="Times New Roman" w:cs="Times New Roman"/>
        </w:rPr>
        <w:t xml:space="preserve"> values of the EWF models with those of the corresponding individual growth-stage models (Figure 10). EWF achieved significantly higher R</w:t>
      </w:r>
      <w:r>
        <w:rPr>
          <w:rFonts w:hint="default" w:ascii="Times New Roman" w:hAnsi="Times New Roman" w:cs="Times New Roman"/>
          <w:vertAlign w:val="superscript"/>
        </w:rPr>
        <w:t>2</w:t>
      </w:r>
      <w:r>
        <w:rPr>
          <w:rFonts w:hint="default" w:ascii="Times New Roman" w:hAnsi="Times New Roman" w:cs="Times New Roman"/>
        </w:rPr>
        <w:t xml:space="preserve"> values than most individual growth-stage models.”</w:t>
      </w:r>
    </w:p>
    <w:p w14:paraId="35557069">
      <w:pPr>
        <w:rPr>
          <w:rFonts w:hint="eastAsia" w:ascii="Times New Roman" w:hAnsi="Times New Roman" w:cs="Times New Roman"/>
          <w:lang w:eastAsia="zh-CN"/>
        </w:rPr>
      </w:pPr>
    </w:p>
    <w:p w14:paraId="1179A144">
      <w:pPr>
        <w:numPr>
          <w:ilvl w:val="0"/>
          <w:numId w:val="1"/>
        </w:numPr>
        <w:ind w:left="0" w:leftChars="0" w:firstLine="0" w:firstLineChars="0"/>
        <w:rPr>
          <w:rFonts w:hint="default" w:ascii="Times New Roman" w:hAnsi="Times New Roman" w:cs="Times New Roman"/>
          <w:b/>
          <w:bCs/>
        </w:rPr>
      </w:pPr>
      <w:r>
        <w:rPr>
          <w:rFonts w:hint="default" w:ascii="Times New Roman" w:hAnsi="Times New Roman" w:cs="Times New Roman"/>
          <w:b/>
          <w:bCs/>
        </w:rPr>
        <w:t>In the Discussion</w:t>
      </w:r>
    </w:p>
    <w:p w14:paraId="674CD7C8">
      <w:pPr>
        <w:widowControl w:val="0"/>
        <w:numPr>
          <w:ilvl w:val="0"/>
          <w:numId w:val="0"/>
        </w:numPr>
        <w:jc w:val="both"/>
        <w:rPr>
          <w:rFonts w:hint="default" w:ascii="Times New Roman" w:hAnsi="Times New Roman" w:cs="Times New Roman"/>
        </w:rPr>
      </w:pPr>
      <w:r>
        <w:rPr>
          <w:rFonts w:hint="default" w:ascii="Times New Roman" w:hAnsi="Times New Roman" w:cs="Times New Roman"/>
        </w:rPr>
        <w:t xml:space="preserve">In the </w:t>
      </w:r>
      <w:r>
        <w:rPr>
          <w:rFonts w:hint="eastAsia" w:ascii="Times New Roman" w:hAnsi="Times New Roman" w:cs="Times New Roman"/>
          <w:lang w:val="en-US" w:eastAsia="zh-CN"/>
        </w:rPr>
        <w:t xml:space="preserve">fifth </w:t>
      </w:r>
      <w:r>
        <w:rPr>
          <w:rFonts w:hint="default" w:ascii="Times New Roman" w:hAnsi="Times New Roman" w:cs="Times New Roman"/>
        </w:rPr>
        <w:t>paragraph,</w:t>
      </w:r>
      <w:r>
        <w:rPr>
          <w:rFonts w:hint="eastAsia" w:ascii="Times New Roman" w:hAnsi="Times New Roman" w:cs="Times New Roman"/>
          <w:lang w:val="en-US" w:eastAsia="zh-CN"/>
        </w:rPr>
        <w:t xml:space="preserve"> t</w:t>
      </w:r>
      <w:r>
        <w:rPr>
          <w:rFonts w:hint="default" w:ascii="Times New Roman" w:hAnsi="Times New Roman" w:cs="Times New Roman"/>
        </w:rPr>
        <w:t>he sentences “Among the combinations of EMF, the prediction accuracy of C2 was comparable to a combination with the highest prediction accuracy of C4. The data required for C2 can be obtained at the flowering stage, which is appropriate for application in practical management.” should read: “Among the EWF combinations, C6 achieved the highest prediction accuracy before maturity. Because all data required for C6 can be collected by the grain-filling stage, this combination provides a practical timing option for data acquisition and in-season yield prediction.”</w:t>
      </w:r>
    </w:p>
    <w:p w14:paraId="1B1A293C">
      <w:pPr>
        <w:widowControl w:val="0"/>
        <w:numPr>
          <w:ilvl w:val="0"/>
          <w:numId w:val="0"/>
        </w:numPr>
        <w:jc w:val="both"/>
        <w:rPr>
          <w:rFonts w:hint="default" w:ascii="Times New Roman" w:hAnsi="Times New Roman" w:cs="Times New Roman"/>
        </w:rPr>
      </w:pPr>
    </w:p>
    <w:p w14:paraId="02D96D41">
      <w:pPr>
        <w:numPr>
          <w:ilvl w:val="0"/>
          <w:numId w:val="1"/>
        </w:numPr>
        <w:ind w:left="0" w:leftChars="0" w:firstLine="0" w:firstLineChars="0"/>
        <w:rPr>
          <w:rFonts w:hint="default" w:ascii="Times New Roman" w:hAnsi="Times New Roman" w:cs="Times New Roman"/>
          <w:b/>
          <w:bCs/>
        </w:rPr>
      </w:pPr>
      <w:r>
        <w:rPr>
          <w:rFonts w:hint="default" w:ascii="Times New Roman" w:hAnsi="Times New Roman" w:cs="Times New Roman"/>
          <w:b/>
          <w:bCs/>
        </w:rPr>
        <w:t>In the Conclusion</w:t>
      </w:r>
    </w:p>
    <w:p w14:paraId="2832B98C">
      <w:pPr>
        <w:widowControl w:val="0"/>
        <w:numPr>
          <w:ilvl w:val="0"/>
          <w:numId w:val="0"/>
        </w:numPr>
        <w:jc w:val="both"/>
        <w:rPr>
          <w:rFonts w:hint="default" w:ascii="Times New Roman" w:hAnsi="Times New Roman" w:cs="Times New Roman"/>
        </w:rPr>
      </w:pPr>
      <w:r>
        <w:rPr>
          <w:rFonts w:hint="default" w:ascii="Times New Roman" w:hAnsi="Times New Roman" w:cs="Times New Roman"/>
        </w:rPr>
        <w:t>The sentence “This study suggests that the fusion of UAV-based multispectral and thermal IR data within an ENR-EWF framework can provide a precise and robust prediction of wheat yield.” should read: “Integrating UAV-based thermal information with multispectral vegetation indices improved wheat yield prediction from jointing to grain filling. EWF effectively integrated information across growth stages and achieved higher prediction accuracy than the best single-stage model.”</w:t>
      </w:r>
    </w:p>
    <w:p w14:paraId="3D37C3FB">
      <w:pPr>
        <w:widowControl w:val="0"/>
        <w:numPr>
          <w:ilvl w:val="0"/>
          <w:numId w:val="0"/>
        </w:numPr>
        <w:jc w:val="both"/>
        <w:rPr>
          <w:rFonts w:hint="default" w:ascii="Times New Roman" w:hAnsi="Times New Roman" w:cs="Times New Roman"/>
        </w:rPr>
      </w:pPr>
    </w:p>
    <w:p w14:paraId="1F593746">
      <w:pPr>
        <w:widowControl w:val="0"/>
        <w:numPr>
          <w:ilvl w:val="0"/>
          <w:numId w:val="1"/>
        </w:numPr>
        <w:ind w:left="0" w:leftChars="0" w:firstLine="0" w:firstLineChars="0"/>
        <w:jc w:val="both"/>
        <w:rPr>
          <w:rFonts w:hint="default" w:ascii="Times New Roman" w:hAnsi="Times New Roman" w:cs="Times New Roman" w:eastAsiaTheme="minorEastAsia"/>
          <w:b/>
          <w:bCs/>
          <w:lang w:val="en-US" w:eastAsia="zh-CN"/>
        </w:rPr>
      </w:pPr>
      <w:r>
        <w:rPr>
          <w:rFonts w:hint="eastAsia" w:ascii="Times New Roman" w:hAnsi="Times New Roman" w:cs="Times New Roman"/>
          <w:b/>
          <w:bCs/>
          <w:lang w:val="en-US" w:eastAsia="zh-CN"/>
        </w:rPr>
        <w:t>Table errors</w:t>
      </w:r>
    </w:p>
    <w:p w14:paraId="227EE699">
      <w:pPr>
        <w:widowControl w:val="0"/>
        <w:numPr>
          <w:ilvl w:val="0"/>
          <w:numId w:val="0"/>
        </w:numPr>
        <w:ind w:leftChars="0"/>
        <w:jc w:val="both"/>
        <w:rPr>
          <w:rFonts w:hint="default" w:ascii="Times New Roman" w:hAnsi="Times New Roman" w:cs="Times New Roman" w:eastAsiaTheme="minorEastAsia"/>
          <w:b w:val="0"/>
          <w:bCs w:val="0"/>
          <w:lang w:val="en-US" w:eastAsia="zh-CN"/>
        </w:rPr>
      </w:pPr>
      <w:r>
        <w:rPr>
          <w:rFonts w:hint="default" w:ascii="Times New Roman" w:hAnsi="Times New Roman" w:cs="Times New Roman" w:eastAsiaTheme="minorEastAsia"/>
          <w:b w:val="0"/>
          <w:bCs w:val="0"/>
          <w:lang w:val="en-US" w:eastAsia="zh-CN"/>
        </w:rPr>
        <w:t>Because of errors in the original data extraction, the elastic net regression hyperparameters reported in Table 3 and the index rankings derived from grey relational analysis in Table 5 were inaccurate.</w:t>
      </w:r>
      <w:r>
        <w:rPr>
          <w:rFonts w:hint="eastAsia" w:ascii="Times New Roman" w:hAnsi="Times New Roman" w:cs="Times New Roman"/>
          <w:b w:val="0"/>
          <w:bCs w:val="0"/>
          <w:lang w:val="en-US" w:eastAsia="zh-CN"/>
        </w:rPr>
        <w:t xml:space="preserve"> C</w:t>
      </w:r>
      <w:r>
        <w:rPr>
          <w:rFonts w:hint="default" w:ascii="Times New Roman" w:hAnsi="Times New Roman" w:cs="Times New Roman" w:eastAsiaTheme="minorEastAsia"/>
          <w:b w:val="0"/>
          <w:bCs w:val="0"/>
          <w:lang w:val="en-US" w:eastAsia="zh-CN"/>
        </w:rPr>
        <w:t xml:space="preserve">onsequently, </w:t>
      </w:r>
      <w:r>
        <w:rPr>
          <w:rFonts w:hint="eastAsia" w:ascii="Times New Roman" w:hAnsi="Times New Roman" w:cs="Times New Roman"/>
          <w:b w:val="0"/>
          <w:bCs w:val="0"/>
          <w:lang w:val="en-US" w:eastAsia="zh-CN"/>
        </w:rPr>
        <w:t xml:space="preserve">Tables 3 and 5 </w:t>
      </w:r>
      <w:r>
        <w:rPr>
          <w:rFonts w:hint="default" w:ascii="Times New Roman" w:hAnsi="Times New Roman" w:cs="Times New Roman" w:eastAsiaTheme="minorEastAsia"/>
          <w:b w:val="0"/>
          <w:bCs w:val="0"/>
          <w:lang w:val="en-US" w:eastAsia="zh-CN"/>
        </w:rPr>
        <w:t>were revised.</w:t>
      </w:r>
    </w:p>
    <w:p w14:paraId="60AE6B47">
      <w:pPr>
        <w:widowControl w:val="0"/>
        <w:numPr>
          <w:ilvl w:val="0"/>
          <w:numId w:val="0"/>
        </w:numPr>
        <w:ind w:leftChars="0"/>
        <w:jc w:val="both"/>
        <w:rPr>
          <w:rFonts w:hint="default" w:ascii="Times New Roman" w:hAnsi="Times New Roman" w:cs="Times New Roman" w:eastAsiaTheme="minorEastAsia"/>
          <w:b w:val="0"/>
          <w:bCs w:val="0"/>
          <w:lang w:val="en-US" w:eastAsia="zh-CN"/>
        </w:rPr>
      </w:pPr>
    </w:p>
    <w:p w14:paraId="0E651965">
      <w:pPr>
        <w:widowControl w:val="0"/>
        <w:numPr>
          <w:ilvl w:val="0"/>
          <w:numId w:val="1"/>
        </w:numPr>
        <w:ind w:left="0" w:leftChars="0" w:firstLine="0" w:firstLineChars="0"/>
        <w:jc w:val="both"/>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lang w:val="en-US" w:eastAsia="zh-CN"/>
        </w:rPr>
        <w:t>Figure Errors</w:t>
      </w:r>
    </w:p>
    <w:p w14:paraId="35B5A45F">
      <w:pPr>
        <w:widowControl w:val="0"/>
        <w:numPr>
          <w:ilvl w:val="0"/>
          <w:numId w:val="0"/>
        </w:numPr>
        <w:ind w:leftChars="0"/>
        <w:jc w:val="both"/>
        <w:rPr>
          <w:rFonts w:hint="default" w:ascii="Times New Roman" w:hAnsi="Times New Roman" w:cs="Times New Roman" w:eastAsiaTheme="minorEastAsia"/>
          <w:b w:val="0"/>
          <w:bCs w:val="0"/>
          <w:lang w:val="en-US" w:eastAsia="zh-CN"/>
        </w:rPr>
      </w:pPr>
      <w:r>
        <w:rPr>
          <w:rFonts w:hint="default" w:ascii="Times New Roman" w:hAnsi="Times New Roman" w:cs="Times New Roman" w:eastAsiaTheme="minorEastAsia"/>
          <w:b w:val="0"/>
          <w:bCs w:val="0"/>
          <w:lang w:val="en-US" w:eastAsia="zh-CN"/>
        </w:rPr>
        <w:t>Because of errors in the original data extraction, Figures 4–10 did not accurately reflect the results. Following data re-extraction, the models were retrained and predictions were regenerate</w:t>
      </w:r>
      <w:r>
        <w:rPr>
          <w:rFonts w:hint="eastAsia" w:ascii="Times New Roman" w:hAnsi="Times New Roman" w:cs="Times New Roman"/>
          <w:b w:val="0"/>
          <w:bCs w:val="0"/>
          <w:lang w:val="en-US" w:eastAsia="zh-CN"/>
        </w:rPr>
        <w:t>.</w:t>
      </w:r>
      <w:r>
        <w:rPr>
          <w:rFonts w:hint="default" w:ascii="Times New Roman" w:hAnsi="Times New Roman" w:cs="Times New Roman" w:eastAsiaTheme="minorEastAsia"/>
          <w:b w:val="0"/>
          <w:bCs w:val="0"/>
          <w:lang w:val="en-US" w:eastAsia="zh-CN"/>
        </w:rPr>
        <w:t xml:space="preserve"> </w:t>
      </w:r>
      <w:r>
        <w:rPr>
          <w:rFonts w:hint="eastAsia" w:ascii="Times New Roman" w:hAnsi="Times New Roman" w:cs="Times New Roman"/>
          <w:b w:val="0"/>
          <w:bCs w:val="0"/>
          <w:lang w:val="en-US" w:eastAsia="zh-CN"/>
        </w:rPr>
        <w:t>C</w:t>
      </w:r>
      <w:r>
        <w:rPr>
          <w:rFonts w:hint="default" w:ascii="Times New Roman" w:hAnsi="Times New Roman" w:cs="Times New Roman" w:eastAsiaTheme="minorEastAsia"/>
          <w:b w:val="0"/>
          <w:bCs w:val="0"/>
          <w:lang w:val="en-US" w:eastAsia="zh-CN"/>
        </w:rPr>
        <w:t>onsequently, Figures 4–10 were revised.</w:t>
      </w:r>
    </w:p>
    <w:p w14:paraId="1FD65A35">
      <w:pPr>
        <w:widowControl w:val="0"/>
        <w:numPr>
          <w:ilvl w:val="0"/>
          <w:numId w:val="0"/>
        </w:numPr>
        <w:ind w:leftChars="0"/>
        <w:jc w:val="both"/>
        <w:rPr>
          <w:rFonts w:hint="default" w:ascii="Times New Roman" w:hAnsi="Times New Roman" w:cs="Times New Roman" w:eastAsiaTheme="minorEastAsia"/>
          <w:b w:val="0"/>
          <w:bCs w:val="0"/>
          <w:lang w:val="en-US" w:eastAsia="zh-CN"/>
        </w:rPr>
      </w:pPr>
    </w:p>
    <w:p w14:paraId="2B62B129">
      <w:pPr>
        <w:widowControl w:val="0"/>
        <w:numPr>
          <w:ilvl w:val="0"/>
          <w:numId w:val="0"/>
        </w:numPr>
        <w:ind w:leftChars="0"/>
        <w:jc w:val="both"/>
        <w:rPr>
          <w:rFonts w:hint="default" w:ascii="Times New Roman" w:hAnsi="Times New Roman" w:cs="Times New Roman" w:eastAsiaTheme="minorEastAsia"/>
          <w:b w:val="0"/>
          <w:bCs w:val="0"/>
          <w:lang w:val="en-US" w:eastAsia="zh-CN"/>
        </w:rPr>
      </w:pPr>
      <w:r>
        <w:rPr>
          <w:rFonts w:hint="default" w:ascii="Times New Roman" w:hAnsi="Times New Roman" w:cs="Times New Roman" w:eastAsiaTheme="minorEastAsia"/>
          <w:b w:val="0"/>
          <w:bCs w:val="0"/>
          <w:lang w:val="en-US" w:eastAsia="zh-CN"/>
        </w:rPr>
        <w:t>The authors apologize for these errors and state that, although some numerical and stage-specific results have changed, the central scientific conclusions remain supported. The original article has been updated.</w:t>
      </w:r>
      <w:r>
        <w:rPr>
          <w:rFonts w:hint="eastAsia" w:ascii="Times New Roman" w:hAnsi="Times New Roman" w:cs="Times New Roman"/>
          <w:b w:val="0"/>
          <w:bCs w:val="0"/>
          <w:lang w:val="en-US" w:eastAsia="zh-CN"/>
        </w:rPr>
        <w:t xml:space="preserve"> All data, code, and outputs associated with this corrigendum have been uploaded to GitHub and are available at: https://github.com/ILIKEWIND123/UAV-yield-workflow.</w:t>
      </w:r>
    </w:p>
    <w:p w14:paraId="02397BBD">
      <w:pPr>
        <w:widowControl w:val="0"/>
        <w:numPr>
          <w:ilvl w:val="0"/>
          <w:numId w:val="0"/>
        </w:numPr>
        <w:ind w:leftChars="0"/>
        <w:jc w:val="both"/>
        <w:rPr>
          <w:rFonts w:hint="default" w:ascii="Times New Roman" w:hAnsi="Times New Roman" w:cs="Times New Roman" w:eastAsiaTheme="minorEastAsia"/>
          <w:b w:val="0"/>
          <w:bCs w:val="0"/>
          <w:lang w:val="en-US" w:eastAsia="zh-CN"/>
        </w:rPr>
      </w:pPr>
    </w:p>
    <w:p w14:paraId="49DF2E84">
      <w:pPr>
        <w:widowControl w:val="0"/>
        <w:numPr>
          <w:ilvl w:val="0"/>
          <w:numId w:val="0"/>
        </w:numPr>
        <w:ind w:leftChars="0"/>
        <w:jc w:val="both"/>
        <w:rPr>
          <w:rFonts w:hint="default" w:ascii="Times New Roman" w:hAnsi="Times New Roman" w:cs="Times New Roman" w:eastAsiaTheme="minorEastAsia"/>
          <w:b w:val="0"/>
          <w:bCs w:val="0"/>
          <w:lang w:val="en-US" w:eastAsia="zh-CN"/>
        </w:rPr>
      </w:pPr>
      <w:bookmarkStart w:id="0" w:name="_GoBack"/>
      <w:bookmarkEnd w:id="0"/>
    </w:p>
    <w:p w14:paraId="4901FD2A">
      <w:pPr>
        <w:widowControl w:val="0"/>
        <w:numPr>
          <w:ilvl w:val="0"/>
          <w:numId w:val="0"/>
        </w:numPr>
        <w:ind w:leftChars="0"/>
        <w:jc w:val="both"/>
        <w:rPr>
          <w:rFonts w:hint="default" w:ascii="Times New Roman" w:hAnsi="Times New Roman" w:cs="Times New Roman" w:eastAsiaTheme="minorEastAsia"/>
          <w:lang w:val="en-US" w:eastAsia="zh-CN"/>
        </w:rPr>
      </w:pPr>
    </w:p>
    <w:p w14:paraId="75AAE4DA">
      <w:pPr>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drawing>
          <wp:inline distT="0" distB="0" distL="114300" distR="114300">
            <wp:extent cx="5273675" cy="2564130"/>
            <wp:effectExtent l="0" t="0" r="3175" b="7620"/>
            <wp:docPr id="14" name="图片 14" descr="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4"/>
                    <pic:cNvPicPr>
                      <a:picLocks noChangeAspect="1"/>
                    </pic:cNvPicPr>
                  </pic:nvPicPr>
                  <pic:blipFill>
                    <a:blip r:embed="rId4"/>
                    <a:stretch>
                      <a:fillRect/>
                    </a:stretch>
                  </pic:blipFill>
                  <pic:spPr>
                    <a:xfrm>
                      <a:off x="0" y="0"/>
                      <a:ext cx="5273675" cy="2564130"/>
                    </a:xfrm>
                    <a:prstGeom prst="rect">
                      <a:avLst/>
                    </a:prstGeom>
                  </pic:spPr>
                </pic:pic>
              </a:graphicData>
            </a:graphic>
          </wp:inline>
        </w:drawing>
      </w:r>
    </w:p>
    <w:p w14:paraId="1F89C47C">
      <w:pPr>
        <w:jc w:val="center"/>
        <w:rPr>
          <w:rFonts w:hint="default" w:ascii="Times New Roman" w:hAnsi="Times New Roman" w:cs="Times New Roman"/>
          <w:i w:val="0"/>
          <w:iCs/>
          <w:sz w:val="18"/>
          <w:lang w:val="en-US" w:eastAsia="zh-CN"/>
        </w:rPr>
      </w:pPr>
      <w:r>
        <w:rPr>
          <w:rFonts w:hint="default" w:ascii="Times New Roman" w:hAnsi="Times New Roman" w:cs="Times New Roman"/>
          <w:b/>
          <w:bCs/>
          <w:i w:val="0"/>
          <w:iCs/>
          <w:sz w:val="18"/>
        </w:rPr>
        <w:t>FIGURE 4</w:t>
      </w:r>
      <w:r>
        <w:rPr>
          <w:rFonts w:hint="default" w:ascii="Times New Roman" w:hAnsi="Times New Roman" w:cs="Times New Roman"/>
          <w:i w:val="0"/>
          <w:iCs/>
          <w:sz w:val="18"/>
          <w:lang w:val="en-US" w:eastAsia="zh-CN"/>
        </w:rPr>
        <w:t xml:space="preserve"> </w:t>
      </w:r>
      <w:r>
        <w:rPr>
          <w:rFonts w:hint="default" w:ascii="Times New Roman" w:hAnsi="Times New Roman" w:cs="Times New Roman"/>
          <w:i w:val="0"/>
          <w:iCs/>
          <w:sz w:val="18"/>
        </w:rPr>
        <w:t>Model training error as a function of the number of features. The order of input of features depends on the gray relational degree (GRD). MAE, mean</w:t>
      </w:r>
      <w:r>
        <w:rPr>
          <w:rFonts w:hint="default" w:ascii="Times New Roman" w:hAnsi="Times New Roman" w:cs="Times New Roman"/>
          <w:i w:val="0"/>
          <w:iCs/>
          <w:sz w:val="18"/>
          <w:lang w:val="en-US" w:eastAsia="zh-CN"/>
        </w:rPr>
        <w:t xml:space="preserve"> </w:t>
      </w:r>
      <w:r>
        <w:rPr>
          <w:rFonts w:hint="default" w:ascii="Times New Roman" w:hAnsi="Times New Roman" w:cs="Times New Roman"/>
          <w:i w:val="0"/>
          <w:iCs/>
          <w:sz w:val="18"/>
        </w:rPr>
        <w:t>absolute error</w:t>
      </w:r>
      <w:r>
        <w:rPr>
          <w:rFonts w:hint="default" w:ascii="Times New Roman" w:hAnsi="Times New Roman" w:cs="Times New Roman"/>
          <w:i w:val="0"/>
          <w:iCs/>
          <w:sz w:val="18"/>
          <w:lang w:val="en-US" w:eastAsia="zh-CN"/>
        </w:rPr>
        <w:t>.</w:t>
      </w:r>
    </w:p>
    <w:p w14:paraId="5837617D">
      <w:pPr>
        <w:jc w:val="center"/>
        <w:rPr>
          <w:rFonts w:hint="default" w:ascii="Times New Roman" w:hAnsi="Times New Roman" w:cs="Times New Roman"/>
          <w:i w:val="0"/>
          <w:iCs/>
          <w:sz w:val="18"/>
          <w:lang w:val="en-US" w:eastAsia="zh-CN"/>
        </w:rPr>
      </w:pPr>
    </w:p>
    <w:p w14:paraId="5C8C597F">
      <w:pPr>
        <w:jc w:val="center"/>
        <w:rPr>
          <w:rFonts w:hint="default" w:ascii="Times New Roman" w:hAnsi="Times New Roman" w:cs="Times New Roman"/>
          <w:i w:val="0"/>
          <w:iCs/>
          <w:sz w:val="18"/>
          <w:lang w:val="en-US" w:eastAsia="zh-CN"/>
        </w:rPr>
      </w:pPr>
      <w:r>
        <w:rPr>
          <w:rFonts w:hint="default" w:ascii="Times New Roman" w:hAnsi="Times New Roman" w:cs="Times New Roman"/>
          <w:i w:val="0"/>
          <w:iCs/>
          <w:sz w:val="18"/>
          <w:lang w:val="en-US" w:eastAsia="zh-CN"/>
        </w:rPr>
        <w:drawing>
          <wp:inline distT="0" distB="0" distL="114300" distR="114300">
            <wp:extent cx="5271135" cy="2873375"/>
            <wp:effectExtent l="0" t="0" r="5715" b="3175"/>
            <wp:docPr id="18" name="图片 18" descr="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图5"/>
                    <pic:cNvPicPr>
                      <a:picLocks noChangeAspect="1"/>
                    </pic:cNvPicPr>
                  </pic:nvPicPr>
                  <pic:blipFill>
                    <a:blip r:embed="rId5"/>
                    <a:stretch>
                      <a:fillRect/>
                    </a:stretch>
                  </pic:blipFill>
                  <pic:spPr>
                    <a:xfrm>
                      <a:off x="0" y="0"/>
                      <a:ext cx="5271135" cy="2873375"/>
                    </a:xfrm>
                    <a:prstGeom prst="rect">
                      <a:avLst/>
                    </a:prstGeom>
                  </pic:spPr>
                </pic:pic>
              </a:graphicData>
            </a:graphic>
          </wp:inline>
        </w:drawing>
      </w:r>
    </w:p>
    <w:p w14:paraId="5311EA88">
      <w:pPr>
        <w:jc w:val="center"/>
        <w:rPr>
          <w:rFonts w:hint="default" w:ascii="Times New Roman" w:hAnsi="Times New Roman" w:cs="Times New Roman"/>
          <w:i w:val="0"/>
          <w:iCs/>
          <w:sz w:val="18"/>
          <w:lang w:val="en-US" w:eastAsia="zh-CN"/>
        </w:rPr>
      </w:pPr>
      <w:r>
        <w:rPr>
          <w:rFonts w:hint="default" w:ascii="Times New Roman" w:hAnsi="Times New Roman" w:cs="Times New Roman"/>
          <w:b/>
          <w:bCs/>
          <w:i w:val="0"/>
          <w:iCs/>
          <w:sz w:val="18"/>
          <w:lang w:val="en-US" w:eastAsia="zh-CN"/>
        </w:rPr>
        <w:t>FIGURE 5</w:t>
      </w:r>
      <w:r>
        <w:rPr>
          <w:rFonts w:hint="default" w:ascii="Times New Roman" w:hAnsi="Times New Roman" w:cs="Times New Roman"/>
          <w:i w:val="0"/>
          <w:iCs/>
          <w:sz w:val="18"/>
          <w:lang w:val="en-US" w:eastAsia="zh-CN"/>
        </w:rPr>
        <w:t xml:space="preserve"> Statistical distributions of (A) coefficient of determination (R2), (B) root mean square error (RMSE), (C) relative root-mean-square error (RRMSE), and (D) mean absolute error (MAE) of the elastic net regression (ENR) algorithm for GY prediction using multispectral features in test phases. JS, jointing stage; BS, booting stage; HS, heading stage; FS, flowering stage; GFS, grain filling stage; MS, maturity stage.</w:t>
      </w:r>
    </w:p>
    <w:p w14:paraId="2CD79030">
      <w:pPr>
        <w:rPr>
          <w:rFonts w:hint="default" w:ascii="Times New Roman" w:hAnsi="Times New Roman" w:cs="Times New Roman" w:eastAsiaTheme="minorEastAsia"/>
          <w:lang w:eastAsia="zh-CN"/>
        </w:rPr>
      </w:pPr>
      <w:r>
        <w:rPr>
          <w:rFonts w:hint="default" w:ascii="Times New Roman" w:hAnsi="Times New Roman" w:cs="Times New Roman" w:eastAsiaTheme="minorEastAsia"/>
          <w:lang w:eastAsia="zh-CN"/>
        </w:rPr>
        <w:drawing>
          <wp:inline distT="0" distB="0" distL="114300" distR="114300">
            <wp:extent cx="5269230" cy="2853690"/>
            <wp:effectExtent l="0" t="0" r="7620" b="3810"/>
            <wp:docPr id="19" name="图片 19" descr="图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6"/>
                    <pic:cNvPicPr>
                      <a:picLocks noChangeAspect="1"/>
                    </pic:cNvPicPr>
                  </pic:nvPicPr>
                  <pic:blipFill>
                    <a:blip r:embed="rId6"/>
                    <a:stretch>
                      <a:fillRect/>
                    </a:stretch>
                  </pic:blipFill>
                  <pic:spPr>
                    <a:xfrm>
                      <a:off x="0" y="0"/>
                      <a:ext cx="5269230" cy="2853690"/>
                    </a:xfrm>
                    <a:prstGeom prst="rect">
                      <a:avLst/>
                    </a:prstGeom>
                  </pic:spPr>
                </pic:pic>
              </a:graphicData>
            </a:graphic>
          </wp:inline>
        </w:drawing>
      </w:r>
    </w:p>
    <w:p w14:paraId="0CD46598">
      <w:pPr>
        <w:rPr>
          <w:rFonts w:hint="default" w:ascii="Times New Roman" w:hAnsi="Times New Roman" w:cs="Times New Roman"/>
          <w:i w:val="0"/>
          <w:iCs/>
        </w:rPr>
      </w:pPr>
      <w:r>
        <w:rPr>
          <w:rFonts w:hint="default" w:ascii="Times New Roman" w:hAnsi="Times New Roman" w:cs="Times New Roman"/>
          <w:b/>
          <w:bCs/>
          <w:i w:val="0"/>
          <w:iCs/>
          <w:sz w:val="18"/>
        </w:rPr>
        <w:t>FIGURE 6</w:t>
      </w:r>
      <w:r>
        <w:rPr>
          <w:rFonts w:hint="eastAsia" w:ascii="Times New Roman" w:hAnsi="Times New Roman" w:cs="Times New Roman"/>
          <w:i w:val="0"/>
          <w:iCs/>
          <w:sz w:val="18"/>
          <w:lang w:val="en-US" w:eastAsia="zh-CN"/>
        </w:rPr>
        <w:t xml:space="preserve"> </w:t>
      </w:r>
      <w:r>
        <w:rPr>
          <w:rFonts w:hint="default" w:ascii="Times New Roman" w:hAnsi="Times New Roman" w:cs="Times New Roman"/>
          <w:i w:val="0"/>
          <w:iCs/>
          <w:sz w:val="18"/>
        </w:rPr>
        <w:t>Statistical distributions of (A) R</w:t>
      </w:r>
      <w:r>
        <w:rPr>
          <w:rFonts w:hint="default" w:ascii="Times New Roman" w:hAnsi="Times New Roman" w:cs="Times New Roman"/>
          <w:i w:val="0"/>
          <w:iCs/>
          <w:sz w:val="18"/>
          <w:vertAlign w:val="superscript"/>
        </w:rPr>
        <w:t>2</w:t>
      </w:r>
      <w:r>
        <w:rPr>
          <w:rFonts w:hint="default" w:ascii="Times New Roman" w:hAnsi="Times New Roman" w:cs="Times New Roman"/>
          <w:i w:val="0"/>
          <w:iCs/>
          <w:sz w:val="18"/>
          <w:lang w:val="en-US" w:eastAsia="zh-CN"/>
        </w:rPr>
        <w:t xml:space="preserve"> </w:t>
      </w:r>
      <w:r>
        <w:rPr>
          <w:rFonts w:hint="default" w:ascii="Times New Roman" w:hAnsi="Times New Roman" w:cs="Times New Roman"/>
          <w:i w:val="0"/>
          <w:iCs/>
          <w:sz w:val="18"/>
        </w:rPr>
        <w:t>, (B) RMSE, (C) RRMSE, and (D) MAE of the ENR for GY prediction using both multispectral and thermal features in test</w:t>
      </w:r>
      <w:r>
        <w:rPr>
          <w:rFonts w:hint="default" w:ascii="Times New Roman" w:hAnsi="Times New Roman" w:cs="Times New Roman"/>
          <w:i w:val="0"/>
          <w:iCs/>
          <w:sz w:val="18"/>
          <w:lang w:val="en-US" w:eastAsia="zh-CN"/>
        </w:rPr>
        <w:t xml:space="preserve"> </w:t>
      </w:r>
      <w:r>
        <w:rPr>
          <w:rFonts w:hint="default" w:ascii="Times New Roman" w:hAnsi="Times New Roman" w:cs="Times New Roman"/>
          <w:i w:val="0"/>
          <w:iCs/>
          <w:sz w:val="18"/>
        </w:rPr>
        <w:t>phases. JS, jointing stage; BS, booting stage; HS, heading stage; FS, flowering stage; GFS, grain filling stage; MS, maturity stage.</w:t>
      </w:r>
    </w:p>
    <w:p w14:paraId="6B7723C8">
      <w:pPr>
        <w:rPr>
          <w:rFonts w:hint="default" w:ascii="Times New Roman" w:hAnsi="Times New Roman" w:cs="Times New Roman"/>
          <w:b/>
          <w:sz w:val="18"/>
        </w:rPr>
      </w:pPr>
    </w:p>
    <w:p w14:paraId="1B3FD5FB">
      <w:pPr>
        <w:rPr>
          <w:rFonts w:hint="default" w:ascii="Times New Roman" w:hAnsi="Times New Roman" w:cs="Times New Roman"/>
          <w:b/>
          <w:sz w:val="18"/>
        </w:rPr>
      </w:pPr>
    </w:p>
    <w:p w14:paraId="1E8BA271">
      <w:pPr>
        <w:rPr>
          <w:rFonts w:hint="default" w:ascii="Times New Roman" w:hAnsi="Times New Roman" w:cs="Times New Roman" w:eastAsiaTheme="minorEastAsia"/>
          <w:b/>
          <w:sz w:val="18"/>
          <w:lang w:eastAsia="zh-CN"/>
        </w:rPr>
      </w:pPr>
      <w:r>
        <w:rPr>
          <w:rFonts w:hint="default" w:ascii="Times New Roman" w:hAnsi="Times New Roman" w:cs="Times New Roman" w:eastAsiaTheme="minorEastAsia"/>
          <w:b/>
          <w:sz w:val="18"/>
          <w:lang w:eastAsia="zh-CN"/>
        </w:rPr>
        <w:drawing>
          <wp:inline distT="0" distB="0" distL="114300" distR="114300">
            <wp:extent cx="5268595" cy="5102860"/>
            <wp:effectExtent l="0" t="0" r="8255" b="2540"/>
            <wp:docPr id="22" name="图片 22" descr="图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7"/>
                    <pic:cNvPicPr>
                      <a:picLocks noChangeAspect="1"/>
                    </pic:cNvPicPr>
                  </pic:nvPicPr>
                  <pic:blipFill>
                    <a:blip r:embed="rId7"/>
                    <a:stretch>
                      <a:fillRect/>
                    </a:stretch>
                  </pic:blipFill>
                  <pic:spPr>
                    <a:xfrm>
                      <a:off x="0" y="0"/>
                      <a:ext cx="5268595" cy="5102860"/>
                    </a:xfrm>
                    <a:prstGeom prst="rect">
                      <a:avLst/>
                    </a:prstGeom>
                  </pic:spPr>
                </pic:pic>
              </a:graphicData>
            </a:graphic>
          </wp:inline>
        </w:drawing>
      </w:r>
    </w:p>
    <w:p w14:paraId="1300AF74">
      <w:pPr>
        <w:jc w:val="center"/>
        <w:rPr>
          <w:rFonts w:hint="default" w:ascii="Times New Roman" w:hAnsi="Times New Roman" w:cs="Times New Roman" w:eastAsiaTheme="minorEastAsia"/>
          <w:b w:val="0"/>
          <w:bCs/>
          <w:sz w:val="18"/>
          <w:lang w:eastAsia="zh-CN"/>
        </w:rPr>
      </w:pPr>
      <w:r>
        <w:rPr>
          <w:rFonts w:hint="default" w:ascii="Times New Roman" w:hAnsi="Times New Roman" w:cs="Times New Roman" w:eastAsiaTheme="minorEastAsia"/>
          <w:b/>
          <w:bCs w:val="0"/>
          <w:sz w:val="18"/>
          <w:lang w:eastAsia="zh-CN"/>
        </w:rPr>
        <w:t>FIGURE 7</w:t>
      </w:r>
      <w:r>
        <w:rPr>
          <w:rFonts w:hint="default" w:ascii="Times New Roman" w:hAnsi="Times New Roman" w:cs="Times New Roman"/>
          <w:b w:val="0"/>
          <w:bCs/>
          <w:sz w:val="18"/>
          <w:lang w:val="en-US" w:eastAsia="zh-CN"/>
        </w:rPr>
        <w:t xml:space="preserve"> </w:t>
      </w:r>
      <w:r>
        <w:rPr>
          <w:rFonts w:hint="default" w:ascii="Times New Roman" w:hAnsi="Times New Roman" w:cs="Times New Roman" w:eastAsiaTheme="minorEastAsia"/>
          <w:b w:val="0"/>
          <w:bCs/>
          <w:sz w:val="18"/>
          <w:lang w:eastAsia="zh-CN"/>
        </w:rPr>
        <w:t>Regression plots, density curve, and R</w:t>
      </w:r>
      <w:r>
        <w:rPr>
          <w:rFonts w:hint="default" w:ascii="Times New Roman" w:hAnsi="Times New Roman" w:cs="Times New Roman" w:eastAsiaTheme="minorEastAsia"/>
          <w:b w:val="0"/>
          <w:bCs/>
          <w:sz w:val="18"/>
          <w:vertAlign w:val="superscript"/>
          <w:lang w:eastAsia="zh-CN"/>
        </w:rPr>
        <w:t>2</w:t>
      </w:r>
      <w:r>
        <w:rPr>
          <w:rFonts w:hint="default" w:ascii="Times New Roman" w:hAnsi="Times New Roman" w:cs="Times New Roman"/>
          <w:b w:val="0"/>
          <w:bCs/>
          <w:sz w:val="18"/>
          <w:lang w:val="en-US" w:eastAsia="zh-CN"/>
        </w:rPr>
        <w:t xml:space="preserve"> </w:t>
      </w:r>
      <w:r>
        <w:rPr>
          <w:rFonts w:hint="default" w:ascii="Times New Roman" w:hAnsi="Times New Roman" w:cs="Times New Roman" w:eastAsiaTheme="minorEastAsia"/>
          <w:b w:val="0"/>
          <w:bCs/>
          <w:sz w:val="18"/>
          <w:lang w:eastAsia="zh-CN"/>
        </w:rPr>
        <w:t>-values between predicted GY in six developmental stages.</w:t>
      </w:r>
    </w:p>
    <w:p w14:paraId="04526E31">
      <w:pPr>
        <w:rPr>
          <w:rFonts w:hint="default" w:ascii="Times New Roman" w:hAnsi="Times New Roman" w:cs="Times New Roman" w:eastAsiaTheme="minorEastAsia"/>
          <w:b/>
          <w:sz w:val="18"/>
          <w:lang w:eastAsia="zh-CN"/>
        </w:rPr>
      </w:pPr>
    </w:p>
    <w:p w14:paraId="4D5D2DE6">
      <w:pPr>
        <w:rPr>
          <w:rFonts w:hint="default" w:ascii="Times New Roman" w:hAnsi="Times New Roman" w:cs="Times New Roman" w:eastAsiaTheme="minorEastAsia"/>
          <w:b/>
          <w:sz w:val="18"/>
          <w:lang w:eastAsia="zh-CN"/>
        </w:rPr>
      </w:pPr>
      <w:r>
        <w:rPr>
          <w:rFonts w:hint="default" w:ascii="Times New Roman" w:hAnsi="Times New Roman" w:cs="Times New Roman" w:eastAsiaTheme="minorEastAsia"/>
          <w:b/>
          <w:sz w:val="18"/>
          <w:lang w:eastAsia="zh-CN"/>
        </w:rPr>
        <w:drawing>
          <wp:inline distT="0" distB="0" distL="114300" distR="114300">
            <wp:extent cx="5272405" cy="2495550"/>
            <wp:effectExtent l="0" t="0" r="4445" b="0"/>
            <wp:docPr id="23" name="图片 23" descr="图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图8"/>
                    <pic:cNvPicPr>
                      <a:picLocks noChangeAspect="1"/>
                    </pic:cNvPicPr>
                  </pic:nvPicPr>
                  <pic:blipFill>
                    <a:blip r:embed="rId8"/>
                    <a:stretch>
                      <a:fillRect/>
                    </a:stretch>
                  </pic:blipFill>
                  <pic:spPr>
                    <a:xfrm>
                      <a:off x="0" y="0"/>
                      <a:ext cx="5272405" cy="2495550"/>
                    </a:xfrm>
                    <a:prstGeom prst="rect">
                      <a:avLst/>
                    </a:prstGeom>
                  </pic:spPr>
                </pic:pic>
              </a:graphicData>
            </a:graphic>
          </wp:inline>
        </w:drawing>
      </w:r>
    </w:p>
    <w:p w14:paraId="627F1F28">
      <w:pPr>
        <w:rPr>
          <w:rFonts w:hint="default" w:ascii="Times New Roman" w:hAnsi="Times New Roman" w:cs="Times New Roman"/>
          <w:b w:val="0"/>
          <w:bCs/>
          <w:sz w:val="18"/>
          <w:lang w:val="en-US" w:eastAsia="zh-CN"/>
        </w:rPr>
      </w:pPr>
      <w:r>
        <w:rPr>
          <w:rFonts w:hint="default" w:ascii="Times New Roman" w:hAnsi="Times New Roman" w:cs="Times New Roman" w:eastAsiaTheme="minorEastAsia"/>
          <w:b/>
          <w:bCs w:val="0"/>
          <w:sz w:val="18"/>
          <w:lang w:eastAsia="zh-CN"/>
        </w:rPr>
        <w:t>FIGURE 8</w:t>
      </w:r>
      <w:r>
        <w:rPr>
          <w:rFonts w:hint="default" w:ascii="Times New Roman" w:hAnsi="Times New Roman" w:cs="Times New Roman"/>
          <w:b w:val="0"/>
          <w:bCs/>
          <w:sz w:val="18"/>
          <w:lang w:val="en-US" w:eastAsia="zh-CN"/>
        </w:rPr>
        <w:t xml:space="preserve"> </w:t>
      </w:r>
      <w:r>
        <w:rPr>
          <w:rFonts w:hint="default" w:ascii="Times New Roman" w:hAnsi="Times New Roman" w:cs="Times New Roman" w:eastAsiaTheme="minorEastAsia"/>
          <w:b w:val="0"/>
          <w:bCs/>
          <w:sz w:val="18"/>
          <w:lang w:eastAsia="zh-CN"/>
        </w:rPr>
        <w:t>Statistical distributions of (A) R</w:t>
      </w:r>
      <w:r>
        <w:rPr>
          <w:rFonts w:hint="default" w:ascii="Times New Roman" w:hAnsi="Times New Roman" w:cs="Times New Roman" w:eastAsiaTheme="minorEastAsia"/>
          <w:b w:val="0"/>
          <w:bCs/>
          <w:sz w:val="18"/>
          <w:vertAlign w:val="superscript"/>
          <w:lang w:eastAsia="zh-CN"/>
        </w:rPr>
        <w:t>2</w:t>
      </w:r>
      <w:r>
        <w:rPr>
          <w:rFonts w:hint="default" w:ascii="Times New Roman" w:hAnsi="Times New Roman" w:cs="Times New Roman" w:eastAsiaTheme="minorEastAsia"/>
          <w:b w:val="0"/>
          <w:bCs/>
          <w:sz w:val="18"/>
          <w:lang w:eastAsia="zh-CN"/>
        </w:rPr>
        <w:t>, (B) RMSE, (C) RRMSE, and (D) MAE of the ENR model that uses both multispectral and thermal features from different</w:t>
      </w:r>
      <w:r>
        <w:rPr>
          <w:rFonts w:hint="default" w:ascii="Times New Roman" w:hAnsi="Times New Roman" w:cs="Times New Roman"/>
          <w:b w:val="0"/>
          <w:bCs/>
          <w:sz w:val="18"/>
          <w:lang w:val="en-US" w:eastAsia="zh-CN"/>
        </w:rPr>
        <w:t xml:space="preserve"> </w:t>
      </w:r>
      <w:r>
        <w:rPr>
          <w:rFonts w:hint="default" w:ascii="Times New Roman" w:hAnsi="Times New Roman" w:cs="Times New Roman" w:eastAsiaTheme="minorEastAsia"/>
          <w:b w:val="0"/>
          <w:bCs/>
          <w:sz w:val="18"/>
          <w:lang w:eastAsia="zh-CN"/>
        </w:rPr>
        <w:t>stages as inputs</w:t>
      </w:r>
      <w:r>
        <w:rPr>
          <w:rFonts w:hint="default" w:ascii="Times New Roman" w:hAnsi="Times New Roman" w:cs="Times New Roman"/>
          <w:b w:val="0"/>
          <w:bCs/>
          <w:sz w:val="18"/>
          <w:lang w:val="en-US" w:eastAsia="zh-CN"/>
        </w:rPr>
        <w:t xml:space="preserve">. </w:t>
      </w:r>
    </w:p>
    <w:p w14:paraId="3C0F07E1">
      <w:pPr>
        <w:rPr>
          <w:rFonts w:hint="default" w:ascii="Times New Roman" w:hAnsi="Times New Roman" w:cs="Times New Roman"/>
          <w:b/>
          <w:sz w:val="18"/>
          <w:lang w:val="en-US" w:eastAsia="zh-CN"/>
        </w:rPr>
      </w:pPr>
      <w:r>
        <w:rPr>
          <w:rFonts w:hint="default" w:ascii="Times New Roman" w:hAnsi="Times New Roman" w:cs="Times New Roman"/>
          <w:b/>
          <w:sz w:val="18"/>
          <w:lang w:val="en-US" w:eastAsia="zh-CN"/>
        </w:rPr>
        <w:drawing>
          <wp:inline distT="0" distB="0" distL="114300" distR="114300">
            <wp:extent cx="5273675" cy="2495550"/>
            <wp:effectExtent l="0" t="0" r="3175" b="0"/>
            <wp:docPr id="26" name="图片 26" descr="图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9"/>
                    <pic:cNvPicPr>
                      <a:picLocks noChangeAspect="1"/>
                    </pic:cNvPicPr>
                  </pic:nvPicPr>
                  <pic:blipFill>
                    <a:blip r:embed="rId9"/>
                    <a:stretch>
                      <a:fillRect/>
                    </a:stretch>
                  </pic:blipFill>
                  <pic:spPr>
                    <a:xfrm>
                      <a:off x="0" y="0"/>
                      <a:ext cx="5273675" cy="2495550"/>
                    </a:xfrm>
                    <a:prstGeom prst="rect">
                      <a:avLst/>
                    </a:prstGeom>
                  </pic:spPr>
                </pic:pic>
              </a:graphicData>
            </a:graphic>
          </wp:inline>
        </w:drawing>
      </w:r>
    </w:p>
    <w:p w14:paraId="1B10CDE1">
      <w:pPr>
        <w:rPr>
          <w:rFonts w:hint="default" w:ascii="Times New Roman" w:hAnsi="Times New Roman" w:cs="Times New Roman"/>
          <w:b w:val="0"/>
          <w:bCs/>
          <w:sz w:val="18"/>
          <w:lang w:val="en-US" w:eastAsia="zh-CN"/>
        </w:rPr>
      </w:pPr>
      <w:r>
        <w:rPr>
          <w:rFonts w:hint="default" w:ascii="Times New Roman" w:hAnsi="Times New Roman" w:cs="Times New Roman" w:eastAsiaTheme="minorEastAsia"/>
          <w:b/>
          <w:bCs w:val="0"/>
          <w:sz w:val="18"/>
          <w:lang w:eastAsia="zh-CN"/>
        </w:rPr>
        <w:t xml:space="preserve">FIGURE </w:t>
      </w:r>
      <w:r>
        <w:rPr>
          <w:rFonts w:hint="eastAsia" w:ascii="Times New Roman" w:hAnsi="Times New Roman" w:cs="Times New Roman"/>
          <w:b/>
          <w:bCs w:val="0"/>
          <w:sz w:val="18"/>
          <w:lang w:val="en-US" w:eastAsia="zh-CN"/>
        </w:rPr>
        <w:t>9</w:t>
      </w:r>
      <w:r>
        <w:rPr>
          <w:rFonts w:hint="default" w:ascii="Times New Roman" w:hAnsi="Times New Roman" w:cs="Times New Roman"/>
          <w:b w:val="0"/>
          <w:bCs/>
          <w:sz w:val="18"/>
          <w:lang w:val="en-US" w:eastAsia="zh-CN"/>
        </w:rPr>
        <w:t xml:space="preserve"> Statistical distributions of (A) R</w:t>
      </w:r>
      <w:r>
        <w:rPr>
          <w:rFonts w:hint="eastAsia" w:ascii="Times New Roman" w:hAnsi="Times New Roman" w:cs="Times New Roman"/>
          <w:b w:val="0"/>
          <w:bCs/>
          <w:sz w:val="18"/>
          <w:vertAlign w:val="superscript"/>
          <w:lang w:val="en-US" w:eastAsia="zh-CN"/>
        </w:rPr>
        <w:t>2</w:t>
      </w:r>
      <w:r>
        <w:rPr>
          <w:rFonts w:hint="eastAsia" w:ascii="Times New Roman" w:hAnsi="Times New Roman" w:cs="Times New Roman"/>
          <w:b w:val="0"/>
          <w:bCs/>
          <w:sz w:val="18"/>
          <w:lang w:val="en-US" w:eastAsia="zh-CN"/>
        </w:rPr>
        <w:t xml:space="preserve"> </w:t>
      </w:r>
      <w:r>
        <w:rPr>
          <w:rFonts w:hint="default" w:ascii="Times New Roman" w:hAnsi="Times New Roman" w:cs="Times New Roman"/>
          <w:b w:val="0"/>
          <w:bCs/>
          <w:sz w:val="18"/>
          <w:lang w:val="en-US" w:eastAsia="zh-CN"/>
        </w:rPr>
        <w:t>, (B) RMSE, (C) RRMSE, and (D) MAE of the entropy weight fusion (EWF) method for GY prediction in the test phases.</w:t>
      </w:r>
    </w:p>
    <w:p w14:paraId="61BB8F5C">
      <w:pPr>
        <w:rPr>
          <w:rFonts w:hint="default" w:ascii="Times New Roman" w:hAnsi="Times New Roman" w:cs="Times New Roman"/>
          <w:b w:val="0"/>
          <w:bCs/>
          <w:sz w:val="18"/>
          <w:lang w:val="en-US" w:eastAsia="zh-CN"/>
        </w:rPr>
      </w:pPr>
    </w:p>
    <w:p w14:paraId="6480C8DB">
      <w:pPr>
        <w:rPr>
          <w:rFonts w:hint="default" w:ascii="Times New Roman" w:hAnsi="Times New Roman" w:cs="Times New Roman"/>
          <w:b w:val="0"/>
          <w:bCs/>
          <w:sz w:val="18"/>
          <w:lang w:val="en-US" w:eastAsia="zh-CN"/>
        </w:rPr>
      </w:pPr>
      <w:r>
        <w:rPr>
          <w:rFonts w:hint="default" w:ascii="Times New Roman" w:hAnsi="Times New Roman" w:cs="Times New Roman"/>
          <w:b w:val="0"/>
          <w:bCs/>
          <w:sz w:val="18"/>
          <w:lang w:val="en-US" w:eastAsia="zh-CN"/>
        </w:rPr>
        <w:drawing>
          <wp:inline distT="0" distB="0" distL="114300" distR="114300">
            <wp:extent cx="5270500" cy="2348865"/>
            <wp:effectExtent l="0" t="0" r="6350" b="3810"/>
            <wp:docPr id="27" name="图片 27" descr="图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10"/>
                    <pic:cNvPicPr>
                      <a:picLocks noChangeAspect="1"/>
                    </pic:cNvPicPr>
                  </pic:nvPicPr>
                  <pic:blipFill>
                    <a:blip r:embed="rId10"/>
                    <a:stretch>
                      <a:fillRect/>
                    </a:stretch>
                  </pic:blipFill>
                  <pic:spPr>
                    <a:xfrm>
                      <a:off x="0" y="0"/>
                      <a:ext cx="5270500" cy="2348865"/>
                    </a:xfrm>
                    <a:prstGeom prst="rect">
                      <a:avLst/>
                    </a:prstGeom>
                  </pic:spPr>
                </pic:pic>
              </a:graphicData>
            </a:graphic>
          </wp:inline>
        </w:drawing>
      </w:r>
    </w:p>
    <w:p w14:paraId="4BA63212">
      <w:pPr>
        <w:rPr>
          <w:rFonts w:hint="default" w:ascii="Times New Roman" w:hAnsi="Times New Roman" w:cs="Times New Roman"/>
          <w:b/>
          <w:sz w:val="18"/>
          <w:lang w:val="en-US" w:eastAsia="zh-CN"/>
        </w:rPr>
      </w:pPr>
      <w:r>
        <w:rPr>
          <w:rFonts w:hint="default" w:ascii="Times New Roman" w:hAnsi="Times New Roman" w:cs="Times New Roman" w:eastAsiaTheme="minorEastAsia"/>
          <w:b/>
          <w:bCs w:val="0"/>
          <w:sz w:val="18"/>
          <w:lang w:eastAsia="zh-CN"/>
        </w:rPr>
        <w:t xml:space="preserve">FIGURE </w:t>
      </w:r>
      <w:r>
        <w:rPr>
          <w:rFonts w:hint="eastAsia" w:ascii="Times New Roman" w:hAnsi="Times New Roman" w:cs="Times New Roman"/>
          <w:b/>
          <w:bCs w:val="0"/>
          <w:sz w:val="18"/>
          <w:lang w:val="en-US" w:eastAsia="zh-CN"/>
        </w:rPr>
        <w:t xml:space="preserve">10 </w:t>
      </w:r>
      <w:r>
        <w:rPr>
          <w:rFonts w:hint="default" w:ascii="Times New Roman" w:hAnsi="Times New Roman" w:cs="Times New Roman"/>
          <w:b w:val="0"/>
          <w:bCs/>
          <w:sz w:val="18"/>
          <w:lang w:val="en-US" w:eastAsia="zh-CN"/>
        </w:rPr>
        <w:t>Results from paired t-test between model R</w:t>
      </w:r>
      <w:r>
        <w:rPr>
          <w:rFonts w:hint="default" w:ascii="Times New Roman" w:hAnsi="Times New Roman" w:cs="Times New Roman"/>
          <w:b w:val="0"/>
          <w:bCs/>
          <w:sz w:val="18"/>
          <w:vertAlign w:val="superscript"/>
          <w:lang w:val="en-US" w:eastAsia="zh-CN"/>
        </w:rPr>
        <w:t>2</w:t>
      </w:r>
      <w:r>
        <w:rPr>
          <w:rFonts w:hint="default" w:ascii="Times New Roman" w:hAnsi="Times New Roman" w:cs="Times New Roman"/>
          <w:b w:val="0"/>
          <w:bCs/>
          <w:sz w:val="18"/>
          <w:lang w:val="en-US" w:eastAsia="zh-CN"/>
        </w:rPr>
        <w:t xml:space="preserve"> obtained from the EWF method and the individual stages. ns, not significant, </w:t>
      </w:r>
      <w:r>
        <w:rPr>
          <w:rFonts w:hint="default" w:ascii="Times New Roman" w:hAnsi="Times New Roman" w:cs="Times New Roman"/>
          <w:b w:val="0"/>
          <w:bCs/>
          <w:i/>
          <w:iCs/>
          <w:sz w:val="18"/>
          <w:lang w:val="en-US" w:eastAsia="zh-CN"/>
        </w:rPr>
        <w:t>p</w:t>
      </w:r>
      <w:r>
        <w:rPr>
          <w:rFonts w:hint="default" w:ascii="Times New Roman" w:hAnsi="Times New Roman" w:cs="Times New Roman"/>
          <w:b w:val="0"/>
          <w:bCs/>
          <w:sz w:val="18"/>
          <w:lang w:val="en-US" w:eastAsia="zh-CN"/>
        </w:rPr>
        <w:t xml:space="preserve"> ≥ 0.05; *,</w:t>
      </w:r>
      <w:r>
        <w:rPr>
          <w:rFonts w:hint="default" w:ascii="Times New Roman" w:hAnsi="Times New Roman" w:cs="Times New Roman"/>
          <w:b w:val="0"/>
          <w:bCs/>
          <w:i/>
          <w:iCs/>
          <w:sz w:val="18"/>
          <w:lang w:val="en-US" w:eastAsia="zh-CN"/>
        </w:rPr>
        <w:t xml:space="preserve"> p</w:t>
      </w:r>
      <w:r>
        <w:rPr>
          <w:rFonts w:hint="default" w:ascii="Times New Roman" w:hAnsi="Times New Roman" w:cs="Times New Roman"/>
          <w:b w:val="0"/>
          <w:bCs/>
          <w:sz w:val="18"/>
          <w:lang w:val="en-US" w:eastAsia="zh-CN"/>
        </w:rPr>
        <w:t xml:space="preserve"> &lt; 0.05; **, </w:t>
      </w:r>
      <w:r>
        <w:rPr>
          <w:rFonts w:hint="default" w:ascii="Times New Roman" w:hAnsi="Times New Roman" w:cs="Times New Roman"/>
          <w:b w:val="0"/>
          <w:bCs/>
          <w:i/>
          <w:iCs/>
          <w:sz w:val="18"/>
          <w:lang w:val="en-US" w:eastAsia="zh-CN"/>
        </w:rPr>
        <w:t>p</w:t>
      </w:r>
      <w:r>
        <w:rPr>
          <w:rFonts w:hint="default" w:ascii="Times New Roman" w:hAnsi="Times New Roman" w:cs="Times New Roman"/>
          <w:b w:val="0"/>
          <w:bCs/>
          <w:sz w:val="18"/>
          <w:lang w:val="en-US" w:eastAsia="zh-CN"/>
        </w:rPr>
        <w:t xml:space="preserve"> &lt; 0.01; ***, </w:t>
      </w:r>
      <w:r>
        <w:rPr>
          <w:rFonts w:hint="default" w:ascii="Times New Roman" w:hAnsi="Times New Roman" w:cs="Times New Roman"/>
          <w:b w:val="0"/>
          <w:bCs/>
          <w:i/>
          <w:iCs/>
          <w:sz w:val="18"/>
          <w:lang w:val="en-US" w:eastAsia="zh-CN"/>
        </w:rPr>
        <w:t>p</w:t>
      </w:r>
      <w:r>
        <w:rPr>
          <w:rFonts w:hint="default" w:ascii="Times New Roman" w:hAnsi="Times New Roman" w:cs="Times New Roman"/>
          <w:b w:val="0"/>
          <w:bCs/>
          <w:sz w:val="18"/>
          <w:lang w:val="en-US" w:eastAsia="zh-CN"/>
        </w:rPr>
        <w:t xml:space="preserve"> &lt; 0.001.</w:t>
      </w:r>
      <w:r>
        <w:rPr>
          <w:rFonts w:hint="eastAsia" w:ascii="Times New Roman" w:hAnsi="Times New Roman" w:cs="Times New Roman"/>
          <w:b w:val="0"/>
          <w:bCs/>
          <w:sz w:val="18"/>
          <w:lang w:val="en-US" w:eastAsia="zh-CN"/>
        </w:rPr>
        <w:t xml:space="preserve"> </w:t>
      </w:r>
      <w:r>
        <w:rPr>
          <w:rFonts w:hint="default" w:ascii="Times New Roman" w:hAnsi="Times New Roman" w:cs="Times New Roman"/>
          <w:b w:val="0"/>
          <w:bCs/>
          <w:sz w:val="18"/>
          <w:lang w:val="en-US" w:eastAsia="zh-CN"/>
        </w:rPr>
        <w:t>JS, jointing stage;</w:t>
      </w:r>
      <w:r>
        <w:rPr>
          <w:rFonts w:hint="eastAsia" w:ascii="Times New Roman" w:hAnsi="Times New Roman" w:cs="Times New Roman"/>
          <w:b w:val="0"/>
          <w:bCs/>
          <w:sz w:val="18"/>
          <w:lang w:val="en-US" w:eastAsia="zh-CN"/>
        </w:rPr>
        <w:t xml:space="preserve"> </w:t>
      </w:r>
      <w:r>
        <w:rPr>
          <w:rFonts w:hint="default" w:ascii="Times New Roman" w:hAnsi="Times New Roman" w:cs="Times New Roman"/>
          <w:b w:val="0"/>
          <w:bCs/>
          <w:sz w:val="18"/>
          <w:lang w:val="en-US" w:eastAsia="zh-CN"/>
        </w:rPr>
        <w:t>BS, booting stage; HS, heading stage; FS, flowering stage; GFS, grain filling stage; MS, maturity stage.</w:t>
      </w:r>
    </w:p>
    <w:p w14:paraId="65D71EBA">
      <w:pPr>
        <w:rPr>
          <w:rFonts w:hint="default" w:ascii="Times New Roman" w:hAnsi="Times New Roman" w:cs="Times New Roman"/>
          <w:b/>
          <w:sz w:val="18"/>
          <w:lang w:val="en-US" w:eastAsia="zh-CN"/>
        </w:rPr>
      </w:pPr>
    </w:p>
    <w:p w14:paraId="0864D824">
      <w:pPr>
        <w:rPr>
          <w:rFonts w:hint="default" w:ascii="Times New Roman" w:hAnsi="Times New Roman" w:cs="Times New Roman"/>
          <w:b/>
          <w:sz w:val="18"/>
          <w:lang w:val="en-US" w:eastAsia="zh-CN"/>
        </w:rPr>
      </w:pPr>
    </w:p>
    <w:p w14:paraId="159CDCA2">
      <w:pPr>
        <w:rPr>
          <w:rFonts w:hint="default" w:ascii="Times New Roman" w:hAnsi="Times New Roman" w:cs="Times New Roman"/>
          <w:b/>
          <w:sz w:val="18"/>
          <w:lang w:val="en-US" w:eastAsia="zh-CN"/>
        </w:rPr>
      </w:pPr>
    </w:p>
    <w:p w14:paraId="262D25B9">
      <w:pPr>
        <w:rPr>
          <w:rFonts w:hint="default" w:ascii="Times New Roman" w:hAnsi="Times New Roman" w:cs="Times New Roman"/>
          <w:b/>
          <w:sz w:val="18"/>
          <w:lang w:val="en-US" w:eastAsia="zh-CN"/>
        </w:rPr>
      </w:pPr>
    </w:p>
    <w:p w14:paraId="1BCFD323">
      <w:pPr>
        <w:rPr>
          <w:rFonts w:hint="default" w:ascii="Times New Roman" w:hAnsi="Times New Roman" w:cs="Times New Roman"/>
          <w:b/>
          <w:sz w:val="18"/>
          <w:lang w:val="en-US" w:eastAsia="zh-CN"/>
        </w:rPr>
      </w:pPr>
    </w:p>
    <w:p w14:paraId="17297F03">
      <w:pPr>
        <w:rPr>
          <w:rFonts w:hint="default" w:ascii="Times New Roman" w:hAnsi="Times New Roman" w:cs="Times New Roman"/>
          <w:b/>
          <w:sz w:val="18"/>
          <w:lang w:val="en-US" w:eastAsia="zh-CN"/>
        </w:rPr>
      </w:pPr>
    </w:p>
    <w:p w14:paraId="6635F72A">
      <w:pPr>
        <w:rPr>
          <w:rFonts w:hint="default" w:ascii="Times New Roman" w:hAnsi="Times New Roman" w:cs="Times New Roman"/>
          <w:b/>
          <w:sz w:val="18"/>
          <w:lang w:val="en-US" w:eastAsia="zh-CN"/>
        </w:rPr>
      </w:pPr>
    </w:p>
    <w:p w14:paraId="04BF5DF8">
      <w:pPr>
        <w:rPr>
          <w:rFonts w:hint="default" w:ascii="Times New Roman" w:hAnsi="Times New Roman" w:cs="Times New Roman"/>
          <w:b/>
          <w:sz w:val="18"/>
          <w:lang w:val="en-US" w:eastAsia="zh-CN"/>
        </w:rPr>
      </w:pPr>
    </w:p>
    <w:p w14:paraId="34CE77C3">
      <w:pPr>
        <w:rPr>
          <w:rFonts w:hint="default" w:ascii="Times New Roman" w:hAnsi="Times New Roman" w:cs="Times New Roman"/>
          <w:b/>
          <w:sz w:val="18"/>
          <w:lang w:val="en-US" w:eastAsia="zh-CN"/>
        </w:rPr>
      </w:pPr>
    </w:p>
    <w:p w14:paraId="5ABA296D">
      <w:pPr>
        <w:rPr>
          <w:rFonts w:hint="default" w:ascii="Times New Roman" w:hAnsi="Times New Roman" w:cs="Times New Roman"/>
          <w:b/>
          <w:sz w:val="18"/>
          <w:lang w:val="en-US" w:eastAsia="zh-CN"/>
        </w:rPr>
      </w:pPr>
    </w:p>
    <w:p w14:paraId="280A13A0">
      <w:pPr>
        <w:rPr>
          <w:rFonts w:hint="default" w:ascii="Times New Roman" w:hAnsi="Times New Roman" w:cs="Times New Roman"/>
          <w:b/>
          <w:sz w:val="18"/>
          <w:lang w:val="en-US" w:eastAsia="zh-CN"/>
        </w:rPr>
      </w:pPr>
    </w:p>
    <w:p w14:paraId="22B3F920">
      <w:pPr>
        <w:rPr>
          <w:rFonts w:hint="default" w:ascii="Times New Roman" w:hAnsi="Times New Roman" w:cs="Times New Roman"/>
          <w:b/>
          <w:sz w:val="18"/>
          <w:lang w:val="en-US" w:eastAsia="zh-CN"/>
        </w:rPr>
      </w:pPr>
    </w:p>
    <w:p w14:paraId="5B14815A">
      <w:pPr>
        <w:rPr>
          <w:rFonts w:hint="default" w:ascii="Times New Roman" w:hAnsi="Times New Roman" w:cs="Times New Roman"/>
          <w:b/>
          <w:sz w:val="18"/>
          <w:lang w:val="en-US" w:eastAsia="zh-CN"/>
        </w:rPr>
      </w:pPr>
    </w:p>
    <w:p w14:paraId="5F88BCBC">
      <w:pPr>
        <w:rPr>
          <w:rFonts w:hint="default" w:ascii="Times New Roman" w:hAnsi="Times New Roman" w:cs="Times New Roman"/>
        </w:rPr>
      </w:pPr>
      <w:r>
        <w:rPr>
          <w:rFonts w:hint="default" w:ascii="Times New Roman" w:hAnsi="Times New Roman" w:cs="Times New Roman"/>
          <w:b/>
          <w:sz w:val="18"/>
        </w:rPr>
        <w:t>TABLE 3</w:t>
      </w:r>
      <w:r>
        <w:rPr>
          <w:rFonts w:hint="eastAsia" w:ascii="Times New Roman" w:hAnsi="Times New Roman" w:cs="Times New Roman"/>
          <w:b/>
          <w:sz w:val="18"/>
          <w:lang w:val="en-US" w:eastAsia="zh-CN"/>
        </w:rPr>
        <w:t xml:space="preserve"> </w:t>
      </w:r>
      <w:r>
        <w:rPr>
          <w:rFonts w:hint="default" w:ascii="Times New Roman" w:hAnsi="Times New Roman" w:cs="Times New Roman"/>
          <w:b/>
          <w:sz w:val="18"/>
        </w:rPr>
        <w:t>Candidate hyperparameters for elastic net regression.</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36"/>
        <w:gridCol w:w="5186"/>
      </w:tblGrid>
      <w:tr w14:paraId="393D8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336" w:type="dxa"/>
            <w:tcBorders>
              <w:left w:val="nil"/>
              <w:bottom w:val="single" w:color="auto" w:sz="4" w:space="0"/>
              <w:right w:val="nil"/>
            </w:tcBorders>
            <w:shd w:val="clear" w:color="auto" w:fill="auto"/>
            <w:vAlign w:val="center"/>
          </w:tcPr>
          <w:p w14:paraId="7447AF87">
            <w:pPr>
              <w:spacing w:after="0" w:line="240" w:lineRule="auto"/>
              <w:jc w:val="center"/>
              <w:rPr>
                <w:rFonts w:hint="default" w:ascii="Times New Roman" w:hAnsi="Times New Roman" w:cs="Times New Roman"/>
                <w:b w:val="0"/>
                <w:sz w:val="15"/>
              </w:rPr>
            </w:pPr>
            <w:r>
              <w:rPr>
                <w:rFonts w:hint="default" w:ascii="Times New Roman" w:hAnsi="Times New Roman" w:cs="Times New Roman"/>
                <w:b w:val="0"/>
                <w:sz w:val="15"/>
              </w:rPr>
              <w:t>Parameter</w:t>
            </w:r>
          </w:p>
        </w:tc>
        <w:tc>
          <w:tcPr>
            <w:tcW w:w="5186" w:type="dxa"/>
            <w:tcBorders>
              <w:left w:val="nil"/>
              <w:bottom w:val="single" w:color="auto" w:sz="4" w:space="0"/>
              <w:right w:val="nil"/>
            </w:tcBorders>
            <w:shd w:val="clear" w:color="auto" w:fill="auto"/>
            <w:vAlign w:val="center"/>
          </w:tcPr>
          <w:p w14:paraId="719E2BAE">
            <w:pPr>
              <w:spacing w:after="0" w:line="240" w:lineRule="auto"/>
              <w:jc w:val="center"/>
              <w:rPr>
                <w:rFonts w:hint="default" w:ascii="Times New Roman" w:hAnsi="Times New Roman" w:cs="Times New Roman" w:eastAsiaTheme="minorEastAsia"/>
                <w:b w:val="0"/>
                <w:sz w:val="15"/>
                <w:lang w:val="en-US" w:eastAsia="zh-CN"/>
              </w:rPr>
            </w:pPr>
            <w:r>
              <w:rPr>
                <w:rFonts w:hint="eastAsia" w:ascii="Times New Roman" w:hAnsi="Times New Roman" w:cs="Times New Roman"/>
                <w:b w:val="0"/>
                <w:sz w:val="15"/>
                <w:lang w:val="en-US" w:eastAsia="zh-CN"/>
              </w:rPr>
              <w:t>Ranges</w:t>
            </w:r>
          </w:p>
        </w:tc>
      </w:tr>
      <w:tr w14:paraId="6C30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6" w:type="dxa"/>
            <w:tcBorders>
              <w:top w:val="single" w:color="auto" w:sz="4" w:space="0"/>
              <w:left w:val="nil"/>
              <w:bottom w:val="nil"/>
              <w:right w:val="nil"/>
            </w:tcBorders>
            <w:vAlign w:val="center"/>
          </w:tcPr>
          <w:p w14:paraId="30543FFB">
            <w:pPr>
              <w:spacing w:after="0" w:line="240" w:lineRule="auto"/>
              <w:jc w:val="center"/>
              <w:rPr>
                <w:rFonts w:hint="default" w:ascii="Times New Roman" w:hAnsi="Times New Roman" w:cs="Times New Roman"/>
              </w:rPr>
            </w:pPr>
            <w:r>
              <w:rPr>
                <w:rFonts w:hint="default" w:ascii="Times New Roman" w:hAnsi="Times New Roman" w:cs="Times New Roman"/>
                <w:b w:val="0"/>
                <w:sz w:val="15"/>
              </w:rPr>
              <w:t>alpha</w:t>
            </w:r>
          </w:p>
        </w:tc>
        <w:tc>
          <w:tcPr>
            <w:tcW w:w="5186" w:type="dxa"/>
            <w:tcBorders>
              <w:top w:val="single" w:color="auto" w:sz="4" w:space="0"/>
              <w:left w:val="nil"/>
              <w:bottom w:val="nil"/>
              <w:right w:val="nil"/>
            </w:tcBorders>
            <w:vAlign w:val="center"/>
          </w:tcPr>
          <w:p w14:paraId="0E8B4AF5">
            <w:pPr>
              <w:spacing w:after="0" w:line="240" w:lineRule="auto"/>
              <w:jc w:val="center"/>
              <w:rPr>
                <w:rFonts w:hint="default" w:ascii="Times New Roman" w:hAnsi="Times New Roman" w:cs="Times New Roman"/>
              </w:rPr>
            </w:pPr>
            <w:r>
              <w:rPr>
                <w:rFonts w:hint="default" w:ascii="Times New Roman" w:hAnsi="Times New Roman" w:cs="Times New Roman"/>
                <w:b w:val="0"/>
                <w:sz w:val="15"/>
              </w:rPr>
              <w:t>Fixed at 0.5 for all ENR models in the reanalysis.</w:t>
            </w:r>
          </w:p>
        </w:tc>
      </w:tr>
      <w:tr w14:paraId="12887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36" w:type="dxa"/>
            <w:tcBorders>
              <w:top w:val="nil"/>
              <w:left w:val="nil"/>
              <w:right w:val="nil"/>
            </w:tcBorders>
            <w:vAlign w:val="center"/>
          </w:tcPr>
          <w:p w14:paraId="1479D1C7">
            <w:pPr>
              <w:spacing w:after="0" w:line="240" w:lineRule="auto"/>
              <w:jc w:val="center"/>
              <w:rPr>
                <w:rFonts w:hint="default" w:ascii="Times New Roman" w:hAnsi="Times New Roman" w:cs="Times New Roman"/>
              </w:rPr>
            </w:pPr>
            <w:r>
              <w:rPr>
                <w:rFonts w:hint="default" w:ascii="Times New Roman" w:hAnsi="Times New Roman" w:cs="Times New Roman"/>
                <w:b w:val="0"/>
                <w:sz w:val="15"/>
              </w:rPr>
              <w:t>lambda</w:t>
            </w:r>
          </w:p>
        </w:tc>
        <w:tc>
          <w:tcPr>
            <w:tcW w:w="5186" w:type="dxa"/>
            <w:tcBorders>
              <w:top w:val="nil"/>
              <w:left w:val="nil"/>
              <w:right w:val="nil"/>
            </w:tcBorders>
            <w:vAlign w:val="center"/>
          </w:tcPr>
          <w:p w14:paraId="4C7CA4AE">
            <w:pPr>
              <w:spacing w:after="0" w:line="240" w:lineRule="auto"/>
              <w:jc w:val="center"/>
              <w:rPr>
                <w:rFonts w:hint="default" w:ascii="Times New Roman" w:hAnsi="Times New Roman" w:cs="Times New Roman"/>
              </w:rPr>
            </w:pPr>
            <w:r>
              <w:rPr>
                <w:rFonts w:hint="default" w:ascii="Times New Roman" w:hAnsi="Times New Roman" w:cs="Times New Roman"/>
                <w:b w:val="0"/>
                <w:sz w:val="15"/>
              </w:rPr>
              <w:t>Selected as lambda.min from the data-adaptive cv.glmnet path within the training data of each outer-CV fold</w:t>
            </w:r>
          </w:p>
        </w:tc>
      </w:tr>
    </w:tbl>
    <w:p w14:paraId="27C2DC26">
      <w:pPr>
        <w:rPr>
          <w:rFonts w:hint="default" w:ascii="Times New Roman" w:hAnsi="Times New Roman" w:cs="Times New Roman"/>
        </w:rPr>
      </w:pPr>
    </w:p>
    <w:p w14:paraId="1DD121EC">
      <w:pPr>
        <w:rPr>
          <w:rFonts w:hint="default" w:ascii="Times New Roman" w:hAnsi="Times New Roman" w:cs="Times New Roman"/>
        </w:rPr>
      </w:pPr>
      <w:r>
        <w:rPr>
          <w:rFonts w:hint="default" w:ascii="Times New Roman" w:hAnsi="Times New Roman" w:cs="Times New Roman"/>
          <w:b/>
          <w:sz w:val="18"/>
        </w:rPr>
        <w:t>TABLE 5</w:t>
      </w:r>
      <w:r>
        <w:rPr>
          <w:rFonts w:hint="eastAsia" w:ascii="Times New Roman" w:hAnsi="Times New Roman" w:cs="Times New Roman"/>
          <w:b/>
          <w:sz w:val="18"/>
          <w:lang w:val="en-US" w:eastAsia="zh-CN"/>
        </w:rPr>
        <w:t xml:space="preserve"> </w:t>
      </w:r>
      <w:r>
        <w:rPr>
          <w:rFonts w:hint="default" w:ascii="Times New Roman" w:hAnsi="Times New Roman" w:cs="Times New Roman"/>
          <w:b/>
          <w:sz w:val="18"/>
        </w:rPr>
        <w:t>Ranking of indices using the gray relational analysis (GRA) for six growth stages.</w:t>
      </w:r>
    </w:p>
    <w:tbl>
      <w:tblPr>
        <w:tblStyle w:val="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0"/>
        <w:gridCol w:w="1222"/>
        <w:gridCol w:w="1222"/>
        <w:gridCol w:w="1222"/>
        <w:gridCol w:w="1246"/>
        <w:gridCol w:w="1222"/>
        <w:gridCol w:w="1228"/>
      </w:tblGrid>
      <w:tr w14:paraId="2DB26B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bottom w:val="single" w:color="auto" w:sz="4" w:space="0"/>
            </w:tcBorders>
            <w:shd w:val="clear" w:color="auto" w:fill="auto"/>
            <w:vAlign w:val="center"/>
          </w:tcPr>
          <w:p w14:paraId="2AEF05B6">
            <w:pPr>
              <w:spacing w:after="0" w:line="240" w:lineRule="auto"/>
              <w:jc w:val="center"/>
              <w:rPr>
                <w:rFonts w:hint="default" w:ascii="Times New Roman" w:hAnsi="Times New Roman" w:cs="Times New Roman"/>
                <w:sz w:val="22"/>
                <w:szCs w:val="28"/>
                <w:shd w:val="clear" w:color="auto" w:fill="auto"/>
              </w:rPr>
            </w:pPr>
            <w:r>
              <w:rPr>
                <w:rFonts w:hint="default" w:ascii="Times New Roman" w:hAnsi="Times New Roman" w:cs="Times New Roman"/>
                <w:b/>
                <w:sz w:val="15"/>
                <w:szCs w:val="28"/>
                <w:shd w:val="clear" w:color="auto" w:fill="auto"/>
              </w:rPr>
              <w:t>Rank</w:t>
            </w:r>
          </w:p>
        </w:tc>
        <w:tc>
          <w:tcPr>
            <w:tcW w:w="1399" w:type="dxa"/>
            <w:tcBorders>
              <w:bottom w:val="single" w:color="auto" w:sz="4" w:space="0"/>
            </w:tcBorders>
            <w:shd w:val="clear" w:color="auto" w:fill="auto"/>
            <w:vAlign w:val="center"/>
          </w:tcPr>
          <w:p w14:paraId="3F9AE052">
            <w:pPr>
              <w:spacing w:after="0" w:line="240" w:lineRule="auto"/>
              <w:jc w:val="center"/>
              <w:rPr>
                <w:rFonts w:hint="default" w:ascii="Times New Roman" w:hAnsi="Times New Roman" w:cs="Times New Roman"/>
                <w:sz w:val="22"/>
                <w:szCs w:val="28"/>
                <w:shd w:val="clear" w:color="auto" w:fill="auto"/>
              </w:rPr>
            </w:pPr>
            <w:r>
              <w:rPr>
                <w:rFonts w:hint="default" w:ascii="Times New Roman" w:hAnsi="Times New Roman" w:cs="Times New Roman"/>
                <w:b/>
                <w:sz w:val="15"/>
                <w:szCs w:val="28"/>
                <w:shd w:val="clear" w:color="auto" w:fill="auto"/>
              </w:rPr>
              <w:t>Jointing</w:t>
            </w:r>
          </w:p>
        </w:tc>
        <w:tc>
          <w:tcPr>
            <w:tcW w:w="1399" w:type="dxa"/>
            <w:tcBorders>
              <w:bottom w:val="single" w:color="auto" w:sz="4" w:space="0"/>
            </w:tcBorders>
            <w:shd w:val="clear" w:color="auto" w:fill="auto"/>
            <w:vAlign w:val="center"/>
          </w:tcPr>
          <w:p w14:paraId="6DAD2075">
            <w:pPr>
              <w:spacing w:after="0" w:line="240" w:lineRule="auto"/>
              <w:jc w:val="center"/>
              <w:rPr>
                <w:rFonts w:hint="default" w:ascii="Times New Roman" w:hAnsi="Times New Roman" w:cs="Times New Roman"/>
                <w:sz w:val="22"/>
                <w:szCs w:val="28"/>
                <w:shd w:val="clear" w:color="auto" w:fill="auto"/>
              </w:rPr>
            </w:pPr>
            <w:r>
              <w:rPr>
                <w:rFonts w:hint="default" w:ascii="Times New Roman" w:hAnsi="Times New Roman" w:cs="Times New Roman"/>
                <w:b/>
                <w:sz w:val="15"/>
                <w:szCs w:val="28"/>
                <w:shd w:val="clear" w:color="auto" w:fill="auto"/>
              </w:rPr>
              <w:t>Booting</w:t>
            </w:r>
          </w:p>
        </w:tc>
        <w:tc>
          <w:tcPr>
            <w:tcW w:w="1399" w:type="dxa"/>
            <w:tcBorders>
              <w:bottom w:val="single" w:color="auto" w:sz="4" w:space="0"/>
            </w:tcBorders>
            <w:shd w:val="clear" w:color="auto" w:fill="auto"/>
            <w:vAlign w:val="center"/>
          </w:tcPr>
          <w:p w14:paraId="69F0EF17">
            <w:pPr>
              <w:spacing w:after="0" w:line="240" w:lineRule="auto"/>
              <w:jc w:val="center"/>
              <w:rPr>
                <w:rFonts w:hint="default" w:ascii="Times New Roman" w:hAnsi="Times New Roman" w:cs="Times New Roman"/>
                <w:sz w:val="22"/>
                <w:szCs w:val="28"/>
                <w:shd w:val="clear" w:color="auto" w:fill="auto"/>
              </w:rPr>
            </w:pPr>
            <w:r>
              <w:rPr>
                <w:rFonts w:hint="default" w:ascii="Times New Roman" w:hAnsi="Times New Roman" w:cs="Times New Roman"/>
                <w:b/>
                <w:sz w:val="15"/>
                <w:szCs w:val="28"/>
                <w:shd w:val="clear" w:color="auto" w:fill="auto"/>
              </w:rPr>
              <w:t>Heading</w:t>
            </w:r>
          </w:p>
        </w:tc>
        <w:tc>
          <w:tcPr>
            <w:tcW w:w="1399" w:type="dxa"/>
            <w:tcBorders>
              <w:bottom w:val="single" w:color="auto" w:sz="4" w:space="0"/>
            </w:tcBorders>
            <w:shd w:val="clear" w:color="auto" w:fill="auto"/>
            <w:vAlign w:val="center"/>
          </w:tcPr>
          <w:p w14:paraId="4366C333">
            <w:pPr>
              <w:spacing w:after="0" w:line="240" w:lineRule="auto"/>
              <w:jc w:val="center"/>
              <w:rPr>
                <w:rFonts w:hint="default" w:ascii="Times New Roman" w:hAnsi="Times New Roman" w:cs="Times New Roman"/>
                <w:sz w:val="22"/>
                <w:szCs w:val="28"/>
                <w:shd w:val="clear" w:color="auto" w:fill="auto"/>
              </w:rPr>
            </w:pPr>
            <w:r>
              <w:rPr>
                <w:rFonts w:hint="default" w:ascii="Times New Roman" w:hAnsi="Times New Roman" w:cs="Times New Roman"/>
                <w:b/>
                <w:sz w:val="15"/>
                <w:szCs w:val="28"/>
                <w:shd w:val="clear" w:color="auto" w:fill="auto"/>
              </w:rPr>
              <w:t>Flowering</w:t>
            </w:r>
          </w:p>
        </w:tc>
        <w:tc>
          <w:tcPr>
            <w:tcW w:w="1399" w:type="dxa"/>
            <w:tcBorders>
              <w:bottom w:val="single" w:color="auto" w:sz="4" w:space="0"/>
            </w:tcBorders>
            <w:shd w:val="clear" w:color="auto" w:fill="auto"/>
            <w:vAlign w:val="center"/>
          </w:tcPr>
          <w:p w14:paraId="7D7CECDE">
            <w:pPr>
              <w:spacing w:after="0" w:line="240" w:lineRule="auto"/>
              <w:jc w:val="center"/>
              <w:rPr>
                <w:rFonts w:hint="default" w:ascii="Times New Roman" w:hAnsi="Times New Roman" w:cs="Times New Roman"/>
                <w:sz w:val="22"/>
                <w:szCs w:val="28"/>
                <w:shd w:val="clear" w:color="auto" w:fill="auto"/>
              </w:rPr>
            </w:pPr>
            <w:r>
              <w:rPr>
                <w:rFonts w:hint="default" w:ascii="Times New Roman" w:hAnsi="Times New Roman" w:cs="Times New Roman"/>
                <w:b/>
                <w:sz w:val="15"/>
                <w:szCs w:val="28"/>
                <w:shd w:val="clear" w:color="auto" w:fill="auto"/>
              </w:rPr>
              <w:t>Grain filling</w:t>
            </w:r>
          </w:p>
        </w:tc>
        <w:tc>
          <w:tcPr>
            <w:tcW w:w="1399" w:type="dxa"/>
            <w:tcBorders>
              <w:bottom w:val="single" w:color="auto" w:sz="4" w:space="0"/>
            </w:tcBorders>
            <w:shd w:val="clear" w:color="auto" w:fill="auto"/>
            <w:vAlign w:val="center"/>
          </w:tcPr>
          <w:p w14:paraId="0B9BE3B4">
            <w:pPr>
              <w:spacing w:after="0" w:line="240" w:lineRule="auto"/>
              <w:jc w:val="center"/>
              <w:rPr>
                <w:rFonts w:hint="default" w:ascii="Times New Roman" w:hAnsi="Times New Roman" w:cs="Times New Roman"/>
                <w:sz w:val="22"/>
                <w:szCs w:val="28"/>
                <w:shd w:val="clear" w:color="auto" w:fill="auto"/>
              </w:rPr>
            </w:pPr>
            <w:r>
              <w:rPr>
                <w:rFonts w:hint="default" w:ascii="Times New Roman" w:hAnsi="Times New Roman" w:cs="Times New Roman"/>
                <w:b/>
                <w:sz w:val="15"/>
                <w:szCs w:val="28"/>
                <w:shd w:val="clear" w:color="auto" w:fill="auto"/>
              </w:rPr>
              <w:t>Maturity</w:t>
            </w:r>
          </w:p>
        </w:tc>
      </w:tr>
      <w:tr w14:paraId="3DCEDC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op w:val="single" w:color="auto" w:sz="4" w:space="0"/>
              <w:tl2br w:val="nil"/>
              <w:tr2bl w:val="nil"/>
            </w:tcBorders>
            <w:vAlign w:val="center"/>
          </w:tcPr>
          <w:p w14:paraId="4350B6D4">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1</w:t>
            </w:r>
          </w:p>
        </w:tc>
        <w:tc>
          <w:tcPr>
            <w:tcW w:w="1399" w:type="dxa"/>
            <w:tcBorders>
              <w:top w:val="single" w:color="auto" w:sz="4" w:space="0"/>
              <w:tl2br w:val="nil"/>
              <w:tr2bl w:val="nil"/>
            </w:tcBorders>
            <w:vAlign w:val="center"/>
          </w:tcPr>
          <w:p w14:paraId="266A2AF8">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NRCT</w:t>
            </w:r>
          </w:p>
        </w:tc>
        <w:tc>
          <w:tcPr>
            <w:tcW w:w="1399" w:type="dxa"/>
            <w:tcBorders>
              <w:top w:val="single" w:color="auto" w:sz="4" w:space="0"/>
              <w:tl2br w:val="nil"/>
              <w:tr2bl w:val="nil"/>
            </w:tcBorders>
            <w:vAlign w:val="center"/>
          </w:tcPr>
          <w:p w14:paraId="771208C3">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NRCT</w:t>
            </w:r>
          </w:p>
        </w:tc>
        <w:tc>
          <w:tcPr>
            <w:tcW w:w="1399" w:type="dxa"/>
            <w:tcBorders>
              <w:top w:val="single" w:color="auto" w:sz="4" w:space="0"/>
              <w:tl2br w:val="nil"/>
              <w:tr2bl w:val="nil"/>
            </w:tcBorders>
            <w:vAlign w:val="center"/>
          </w:tcPr>
          <w:p w14:paraId="4D346D5D">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NRCT</w:t>
            </w:r>
          </w:p>
        </w:tc>
        <w:tc>
          <w:tcPr>
            <w:tcW w:w="1399" w:type="dxa"/>
            <w:tcBorders>
              <w:top w:val="single" w:color="auto" w:sz="4" w:space="0"/>
              <w:tl2br w:val="nil"/>
              <w:tr2bl w:val="nil"/>
            </w:tcBorders>
            <w:vAlign w:val="center"/>
          </w:tcPr>
          <w:p w14:paraId="3111BC82">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RVI</w:t>
            </w:r>
          </w:p>
        </w:tc>
        <w:tc>
          <w:tcPr>
            <w:tcW w:w="1399" w:type="dxa"/>
            <w:tcBorders>
              <w:top w:val="single" w:color="auto" w:sz="4" w:space="0"/>
              <w:tl2br w:val="nil"/>
              <w:tr2bl w:val="nil"/>
            </w:tcBorders>
            <w:vAlign w:val="center"/>
          </w:tcPr>
          <w:p w14:paraId="5387010B">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TCARI</w:t>
            </w:r>
          </w:p>
        </w:tc>
        <w:tc>
          <w:tcPr>
            <w:tcW w:w="1399" w:type="dxa"/>
            <w:tcBorders>
              <w:top w:val="single" w:color="auto" w:sz="4" w:space="0"/>
              <w:tl2br w:val="nil"/>
              <w:tr2bl w:val="nil"/>
            </w:tcBorders>
            <w:vAlign w:val="center"/>
          </w:tcPr>
          <w:p w14:paraId="040A5216">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PPR</w:t>
            </w:r>
          </w:p>
        </w:tc>
      </w:tr>
      <w:tr w14:paraId="5103F0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1D08130E">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2</w:t>
            </w:r>
          </w:p>
        </w:tc>
        <w:tc>
          <w:tcPr>
            <w:tcW w:w="1399" w:type="dxa"/>
            <w:tcBorders>
              <w:tl2br w:val="nil"/>
              <w:tr2bl w:val="nil"/>
            </w:tcBorders>
            <w:vAlign w:val="center"/>
          </w:tcPr>
          <w:p w14:paraId="0CC97274">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PSRI</w:t>
            </w:r>
          </w:p>
        </w:tc>
        <w:tc>
          <w:tcPr>
            <w:tcW w:w="1399" w:type="dxa"/>
            <w:tcBorders>
              <w:tl2br w:val="nil"/>
              <w:tr2bl w:val="nil"/>
            </w:tcBorders>
            <w:vAlign w:val="center"/>
          </w:tcPr>
          <w:p w14:paraId="41833DB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PPR</w:t>
            </w:r>
          </w:p>
        </w:tc>
        <w:tc>
          <w:tcPr>
            <w:tcW w:w="1399" w:type="dxa"/>
            <w:tcBorders>
              <w:tl2br w:val="nil"/>
              <w:tr2bl w:val="nil"/>
            </w:tcBorders>
            <w:vAlign w:val="center"/>
          </w:tcPr>
          <w:p w14:paraId="7BB4446F">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TCARI</w:t>
            </w:r>
          </w:p>
        </w:tc>
        <w:tc>
          <w:tcPr>
            <w:tcW w:w="1399" w:type="dxa"/>
            <w:tcBorders>
              <w:tl2br w:val="nil"/>
              <w:tr2bl w:val="nil"/>
            </w:tcBorders>
            <w:vAlign w:val="center"/>
          </w:tcPr>
          <w:p w14:paraId="212F79F0">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NRCT</w:t>
            </w:r>
          </w:p>
        </w:tc>
        <w:tc>
          <w:tcPr>
            <w:tcW w:w="1399" w:type="dxa"/>
            <w:tcBorders>
              <w:tl2br w:val="nil"/>
              <w:tr2bl w:val="nil"/>
            </w:tcBorders>
            <w:vAlign w:val="center"/>
          </w:tcPr>
          <w:p w14:paraId="6EA0C4DF">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MSR</w:t>
            </w:r>
          </w:p>
        </w:tc>
        <w:tc>
          <w:tcPr>
            <w:tcW w:w="1399" w:type="dxa"/>
            <w:tcBorders>
              <w:tl2br w:val="nil"/>
              <w:tr2bl w:val="nil"/>
            </w:tcBorders>
            <w:vAlign w:val="center"/>
          </w:tcPr>
          <w:p w14:paraId="06D090CD">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TCARI</w:t>
            </w:r>
          </w:p>
        </w:tc>
      </w:tr>
      <w:tr w14:paraId="0EE2F4D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02C6A2D0">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3</w:t>
            </w:r>
          </w:p>
        </w:tc>
        <w:tc>
          <w:tcPr>
            <w:tcW w:w="1399" w:type="dxa"/>
            <w:tcBorders>
              <w:tl2br w:val="nil"/>
              <w:tr2bl w:val="nil"/>
            </w:tcBorders>
            <w:vAlign w:val="center"/>
          </w:tcPr>
          <w:p w14:paraId="31D61E33">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RDVI</w:t>
            </w:r>
          </w:p>
        </w:tc>
        <w:tc>
          <w:tcPr>
            <w:tcW w:w="1399" w:type="dxa"/>
            <w:tcBorders>
              <w:tl2br w:val="nil"/>
              <w:tr2bl w:val="nil"/>
            </w:tcBorders>
            <w:vAlign w:val="center"/>
          </w:tcPr>
          <w:p w14:paraId="14FC802E">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RDVI</w:t>
            </w:r>
          </w:p>
        </w:tc>
        <w:tc>
          <w:tcPr>
            <w:tcW w:w="1399" w:type="dxa"/>
            <w:tcBorders>
              <w:tl2br w:val="nil"/>
              <w:tr2bl w:val="nil"/>
            </w:tcBorders>
            <w:vAlign w:val="center"/>
          </w:tcPr>
          <w:p w14:paraId="35579309">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OSAVI</w:t>
            </w:r>
          </w:p>
        </w:tc>
        <w:tc>
          <w:tcPr>
            <w:tcW w:w="1399" w:type="dxa"/>
            <w:tcBorders>
              <w:tl2br w:val="nil"/>
              <w:tr2bl w:val="nil"/>
            </w:tcBorders>
            <w:vAlign w:val="center"/>
          </w:tcPr>
          <w:p w14:paraId="0A519FF0">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MSR</w:t>
            </w:r>
          </w:p>
        </w:tc>
        <w:tc>
          <w:tcPr>
            <w:tcW w:w="1399" w:type="dxa"/>
            <w:tcBorders>
              <w:tl2br w:val="nil"/>
              <w:tr2bl w:val="nil"/>
            </w:tcBorders>
            <w:vAlign w:val="center"/>
          </w:tcPr>
          <w:p w14:paraId="78B85A6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NRCT</w:t>
            </w:r>
          </w:p>
        </w:tc>
        <w:tc>
          <w:tcPr>
            <w:tcW w:w="1399" w:type="dxa"/>
            <w:tcBorders>
              <w:tl2br w:val="nil"/>
              <w:tr2bl w:val="nil"/>
            </w:tcBorders>
            <w:vAlign w:val="center"/>
          </w:tcPr>
          <w:p w14:paraId="1D6EA80F">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DVI</w:t>
            </w:r>
          </w:p>
        </w:tc>
      </w:tr>
      <w:tr w14:paraId="472A180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5E228A03">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4</w:t>
            </w:r>
          </w:p>
        </w:tc>
        <w:tc>
          <w:tcPr>
            <w:tcW w:w="1399" w:type="dxa"/>
            <w:tcBorders>
              <w:tl2br w:val="nil"/>
              <w:tr2bl w:val="nil"/>
            </w:tcBorders>
            <w:vAlign w:val="center"/>
          </w:tcPr>
          <w:p w14:paraId="489922B3">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DVI</w:t>
            </w:r>
          </w:p>
        </w:tc>
        <w:tc>
          <w:tcPr>
            <w:tcW w:w="1399" w:type="dxa"/>
            <w:tcBorders>
              <w:tl2br w:val="nil"/>
              <w:tr2bl w:val="nil"/>
            </w:tcBorders>
            <w:vAlign w:val="center"/>
          </w:tcPr>
          <w:p w14:paraId="54A07CA7">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DVI</w:t>
            </w:r>
          </w:p>
        </w:tc>
        <w:tc>
          <w:tcPr>
            <w:tcW w:w="1399" w:type="dxa"/>
            <w:tcBorders>
              <w:tl2br w:val="nil"/>
              <w:tr2bl w:val="nil"/>
            </w:tcBorders>
            <w:vAlign w:val="center"/>
          </w:tcPr>
          <w:p w14:paraId="601493A6">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SAVI</w:t>
            </w:r>
          </w:p>
        </w:tc>
        <w:tc>
          <w:tcPr>
            <w:tcW w:w="1399" w:type="dxa"/>
            <w:tcBorders>
              <w:tl2br w:val="nil"/>
              <w:tr2bl w:val="nil"/>
            </w:tcBorders>
            <w:vAlign w:val="center"/>
          </w:tcPr>
          <w:p w14:paraId="6A1E0B20">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TCARI</w:t>
            </w:r>
          </w:p>
        </w:tc>
        <w:tc>
          <w:tcPr>
            <w:tcW w:w="1399" w:type="dxa"/>
            <w:tcBorders>
              <w:tl2br w:val="nil"/>
              <w:tr2bl w:val="nil"/>
            </w:tcBorders>
            <w:vAlign w:val="center"/>
          </w:tcPr>
          <w:p w14:paraId="48608DEE">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NDVIRE</w:t>
            </w:r>
          </w:p>
        </w:tc>
        <w:tc>
          <w:tcPr>
            <w:tcW w:w="1399" w:type="dxa"/>
            <w:tcBorders>
              <w:tl2br w:val="nil"/>
              <w:tr2bl w:val="nil"/>
            </w:tcBorders>
            <w:vAlign w:val="center"/>
          </w:tcPr>
          <w:p w14:paraId="592B1228">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MCARI1</w:t>
            </w:r>
          </w:p>
        </w:tc>
      </w:tr>
      <w:tr w14:paraId="7B3C789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67D22521">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5</w:t>
            </w:r>
          </w:p>
        </w:tc>
        <w:tc>
          <w:tcPr>
            <w:tcW w:w="1399" w:type="dxa"/>
            <w:tcBorders>
              <w:tl2br w:val="nil"/>
              <w:tr2bl w:val="nil"/>
            </w:tcBorders>
            <w:vAlign w:val="center"/>
          </w:tcPr>
          <w:p w14:paraId="65964AA7">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EVI</w:t>
            </w:r>
          </w:p>
        </w:tc>
        <w:tc>
          <w:tcPr>
            <w:tcW w:w="1399" w:type="dxa"/>
            <w:tcBorders>
              <w:tl2br w:val="nil"/>
              <w:tr2bl w:val="nil"/>
            </w:tcBorders>
            <w:vAlign w:val="center"/>
          </w:tcPr>
          <w:p w14:paraId="016D77A7">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SAVI</w:t>
            </w:r>
          </w:p>
        </w:tc>
        <w:tc>
          <w:tcPr>
            <w:tcW w:w="1399" w:type="dxa"/>
            <w:tcBorders>
              <w:tl2br w:val="nil"/>
              <w:tr2bl w:val="nil"/>
            </w:tcBorders>
            <w:vAlign w:val="center"/>
          </w:tcPr>
          <w:p w14:paraId="6ED634DF">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RVI</w:t>
            </w:r>
          </w:p>
        </w:tc>
        <w:tc>
          <w:tcPr>
            <w:tcW w:w="1399" w:type="dxa"/>
            <w:tcBorders>
              <w:tl2br w:val="nil"/>
              <w:tr2bl w:val="nil"/>
            </w:tcBorders>
            <w:vAlign w:val="center"/>
          </w:tcPr>
          <w:p w14:paraId="3D3AB0DC">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TVI</w:t>
            </w:r>
          </w:p>
        </w:tc>
        <w:tc>
          <w:tcPr>
            <w:tcW w:w="1399" w:type="dxa"/>
            <w:tcBorders>
              <w:tl2br w:val="nil"/>
              <w:tr2bl w:val="nil"/>
            </w:tcBorders>
            <w:vAlign w:val="center"/>
          </w:tcPr>
          <w:p w14:paraId="33D32911">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CIRE</w:t>
            </w:r>
          </w:p>
        </w:tc>
        <w:tc>
          <w:tcPr>
            <w:tcW w:w="1399" w:type="dxa"/>
            <w:tcBorders>
              <w:tl2br w:val="nil"/>
              <w:tr2bl w:val="nil"/>
            </w:tcBorders>
            <w:vAlign w:val="center"/>
          </w:tcPr>
          <w:p w14:paraId="35185237">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NRCT</w:t>
            </w:r>
          </w:p>
        </w:tc>
      </w:tr>
      <w:tr w14:paraId="45FE3D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29D7C4C9">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6</w:t>
            </w:r>
          </w:p>
        </w:tc>
        <w:tc>
          <w:tcPr>
            <w:tcW w:w="1399" w:type="dxa"/>
            <w:tcBorders>
              <w:tl2br w:val="nil"/>
              <w:tr2bl w:val="nil"/>
            </w:tcBorders>
            <w:vAlign w:val="center"/>
          </w:tcPr>
          <w:p w14:paraId="3E9AE092">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TVI</w:t>
            </w:r>
          </w:p>
        </w:tc>
        <w:tc>
          <w:tcPr>
            <w:tcW w:w="1399" w:type="dxa"/>
            <w:tcBorders>
              <w:tl2br w:val="nil"/>
              <w:tr2bl w:val="nil"/>
            </w:tcBorders>
            <w:vAlign w:val="center"/>
          </w:tcPr>
          <w:p w14:paraId="66B2B6D1">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TVI</w:t>
            </w:r>
          </w:p>
        </w:tc>
        <w:tc>
          <w:tcPr>
            <w:tcW w:w="1399" w:type="dxa"/>
            <w:tcBorders>
              <w:tl2br w:val="nil"/>
              <w:tr2bl w:val="nil"/>
            </w:tcBorders>
            <w:vAlign w:val="center"/>
          </w:tcPr>
          <w:p w14:paraId="4A6BAF10">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RDVI</w:t>
            </w:r>
          </w:p>
        </w:tc>
        <w:tc>
          <w:tcPr>
            <w:tcW w:w="1399" w:type="dxa"/>
            <w:tcBorders>
              <w:tl2br w:val="nil"/>
              <w:tr2bl w:val="nil"/>
            </w:tcBorders>
            <w:vAlign w:val="center"/>
          </w:tcPr>
          <w:p w14:paraId="05C49F43">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DVI</w:t>
            </w:r>
          </w:p>
        </w:tc>
        <w:tc>
          <w:tcPr>
            <w:tcW w:w="1399" w:type="dxa"/>
            <w:tcBorders>
              <w:tl2br w:val="nil"/>
              <w:tr2bl w:val="nil"/>
            </w:tcBorders>
            <w:vAlign w:val="center"/>
          </w:tcPr>
          <w:p w14:paraId="55E7241B">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MTCI</w:t>
            </w:r>
          </w:p>
        </w:tc>
        <w:tc>
          <w:tcPr>
            <w:tcW w:w="1399" w:type="dxa"/>
            <w:tcBorders>
              <w:tl2br w:val="nil"/>
              <w:tr2bl w:val="nil"/>
            </w:tcBorders>
            <w:vAlign w:val="center"/>
          </w:tcPr>
          <w:p w14:paraId="29CEC23B">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CIRE</w:t>
            </w:r>
          </w:p>
        </w:tc>
      </w:tr>
      <w:tr w14:paraId="56A6C54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12E4ECEB">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7</w:t>
            </w:r>
          </w:p>
        </w:tc>
        <w:tc>
          <w:tcPr>
            <w:tcW w:w="1399" w:type="dxa"/>
            <w:tcBorders>
              <w:tl2br w:val="nil"/>
              <w:tr2bl w:val="nil"/>
            </w:tcBorders>
            <w:vAlign w:val="center"/>
          </w:tcPr>
          <w:p w14:paraId="6672D0C0">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SAVI</w:t>
            </w:r>
          </w:p>
        </w:tc>
        <w:tc>
          <w:tcPr>
            <w:tcW w:w="1399" w:type="dxa"/>
            <w:tcBorders>
              <w:tl2br w:val="nil"/>
              <w:tr2bl w:val="nil"/>
            </w:tcBorders>
            <w:vAlign w:val="center"/>
          </w:tcPr>
          <w:p w14:paraId="25569DF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EVI</w:t>
            </w:r>
          </w:p>
        </w:tc>
        <w:tc>
          <w:tcPr>
            <w:tcW w:w="1399" w:type="dxa"/>
            <w:tcBorders>
              <w:tl2br w:val="nil"/>
              <w:tr2bl w:val="nil"/>
            </w:tcBorders>
            <w:vAlign w:val="center"/>
          </w:tcPr>
          <w:p w14:paraId="676DB71D">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NRI</w:t>
            </w:r>
          </w:p>
        </w:tc>
        <w:tc>
          <w:tcPr>
            <w:tcW w:w="1399" w:type="dxa"/>
            <w:tcBorders>
              <w:tl2br w:val="nil"/>
              <w:tr2bl w:val="nil"/>
            </w:tcBorders>
            <w:vAlign w:val="center"/>
          </w:tcPr>
          <w:p w14:paraId="02835379">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CIRE</w:t>
            </w:r>
          </w:p>
        </w:tc>
        <w:tc>
          <w:tcPr>
            <w:tcW w:w="1399" w:type="dxa"/>
            <w:tcBorders>
              <w:tl2br w:val="nil"/>
              <w:tr2bl w:val="nil"/>
            </w:tcBorders>
            <w:vAlign w:val="center"/>
          </w:tcPr>
          <w:p w14:paraId="462676CF">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RVI</w:t>
            </w:r>
          </w:p>
        </w:tc>
        <w:tc>
          <w:tcPr>
            <w:tcW w:w="1399" w:type="dxa"/>
            <w:tcBorders>
              <w:tl2br w:val="nil"/>
              <w:tr2bl w:val="nil"/>
            </w:tcBorders>
            <w:vAlign w:val="center"/>
          </w:tcPr>
          <w:p w14:paraId="0FDECD19">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EVI</w:t>
            </w:r>
          </w:p>
        </w:tc>
      </w:tr>
      <w:tr w14:paraId="39F8505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66289E29">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8</w:t>
            </w:r>
          </w:p>
        </w:tc>
        <w:tc>
          <w:tcPr>
            <w:tcW w:w="1399" w:type="dxa"/>
            <w:tcBorders>
              <w:tl2br w:val="nil"/>
              <w:tr2bl w:val="nil"/>
            </w:tcBorders>
            <w:vAlign w:val="center"/>
          </w:tcPr>
          <w:p w14:paraId="72E5B0D6">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PPR</w:t>
            </w:r>
          </w:p>
        </w:tc>
        <w:tc>
          <w:tcPr>
            <w:tcW w:w="1399" w:type="dxa"/>
            <w:tcBorders>
              <w:tl2br w:val="nil"/>
              <w:tr2bl w:val="nil"/>
            </w:tcBorders>
            <w:vAlign w:val="center"/>
          </w:tcPr>
          <w:p w14:paraId="10FA6981">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MCARI1</w:t>
            </w:r>
          </w:p>
        </w:tc>
        <w:tc>
          <w:tcPr>
            <w:tcW w:w="1399" w:type="dxa"/>
            <w:tcBorders>
              <w:tl2br w:val="nil"/>
              <w:tr2bl w:val="nil"/>
            </w:tcBorders>
            <w:vAlign w:val="center"/>
          </w:tcPr>
          <w:p w14:paraId="02389613">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PPR</w:t>
            </w:r>
          </w:p>
        </w:tc>
        <w:tc>
          <w:tcPr>
            <w:tcW w:w="1399" w:type="dxa"/>
            <w:tcBorders>
              <w:tl2br w:val="nil"/>
              <w:tr2bl w:val="nil"/>
            </w:tcBorders>
            <w:vAlign w:val="center"/>
          </w:tcPr>
          <w:p w14:paraId="098C4A42">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EVI</w:t>
            </w:r>
          </w:p>
        </w:tc>
        <w:tc>
          <w:tcPr>
            <w:tcW w:w="1399" w:type="dxa"/>
            <w:tcBorders>
              <w:tl2br w:val="nil"/>
              <w:tr2bl w:val="nil"/>
            </w:tcBorders>
            <w:vAlign w:val="center"/>
          </w:tcPr>
          <w:p w14:paraId="4654955A">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DVI</w:t>
            </w:r>
          </w:p>
        </w:tc>
        <w:tc>
          <w:tcPr>
            <w:tcW w:w="1399" w:type="dxa"/>
            <w:tcBorders>
              <w:tl2br w:val="nil"/>
              <w:tr2bl w:val="nil"/>
            </w:tcBorders>
            <w:vAlign w:val="center"/>
          </w:tcPr>
          <w:p w14:paraId="2FAB4DC6">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RVI</w:t>
            </w:r>
          </w:p>
        </w:tc>
      </w:tr>
      <w:tr w14:paraId="20576F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4A87A827">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9</w:t>
            </w:r>
          </w:p>
        </w:tc>
        <w:tc>
          <w:tcPr>
            <w:tcW w:w="1399" w:type="dxa"/>
            <w:tcBorders>
              <w:tl2br w:val="nil"/>
              <w:tr2bl w:val="nil"/>
            </w:tcBorders>
            <w:vAlign w:val="center"/>
          </w:tcPr>
          <w:p w14:paraId="4AC96288">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OSAVI</w:t>
            </w:r>
          </w:p>
        </w:tc>
        <w:tc>
          <w:tcPr>
            <w:tcW w:w="1399" w:type="dxa"/>
            <w:tcBorders>
              <w:tl2br w:val="nil"/>
              <w:tr2bl w:val="nil"/>
            </w:tcBorders>
            <w:vAlign w:val="center"/>
          </w:tcPr>
          <w:p w14:paraId="49DD90A2">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PSRI</w:t>
            </w:r>
          </w:p>
        </w:tc>
        <w:tc>
          <w:tcPr>
            <w:tcW w:w="1399" w:type="dxa"/>
            <w:tcBorders>
              <w:tl2br w:val="nil"/>
              <w:tr2bl w:val="nil"/>
            </w:tcBorders>
            <w:vAlign w:val="center"/>
          </w:tcPr>
          <w:p w14:paraId="6E28BB12">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MSR</w:t>
            </w:r>
          </w:p>
        </w:tc>
        <w:tc>
          <w:tcPr>
            <w:tcW w:w="1399" w:type="dxa"/>
            <w:tcBorders>
              <w:tl2br w:val="nil"/>
              <w:tr2bl w:val="nil"/>
            </w:tcBorders>
            <w:vAlign w:val="center"/>
          </w:tcPr>
          <w:p w14:paraId="3E5D7FB4">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NRI</w:t>
            </w:r>
          </w:p>
        </w:tc>
        <w:tc>
          <w:tcPr>
            <w:tcW w:w="1399" w:type="dxa"/>
            <w:tcBorders>
              <w:tl2br w:val="nil"/>
              <w:tr2bl w:val="nil"/>
            </w:tcBorders>
            <w:vAlign w:val="center"/>
          </w:tcPr>
          <w:p w14:paraId="6E69EAEF">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MCARI1</w:t>
            </w:r>
          </w:p>
        </w:tc>
        <w:tc>
          <w:tcPr>
            <w:tcW w:w="1399" w:type="dxa"/>
            <w:tcBorders>
              <w:tl2br w:val="nil"/>
              <w:tr2bl w:val="nil"/>
            </w:tcBorders>
            <w:vAlign w:val="center"/>
          </w:tcPr>
          <w:p w14:paraId="624F62F7">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SAVI</w:t>
            </w:r>
          </w:p>
        </w:tc>
      </w:tr>
      <w:tr w14:paraId="1D2B396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43592C9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10</w:t>
            </w:r>
          </w:p>
        </w:tc>
        <w:tc>
          <w:tcPr>
            <w:tcW w:w="1399" w:type="dxa"/>
            <w:tcBorders>
              <w:tl2br w:val="nil"/>
              <w:tr2bl w:val="nil"/>
            </w:tcBorders>
            <w:vAlign w:val="center"/>
          </w:tcPr>
          <w:p w14:paraId="3CCC5A0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MCARI1</w:t>
            </w:r>
          </w:p>
        </w:tc>
        <w:tc>
          <w:tcPr>
            <w:tcW w:w="1399" w:type="dxa"/>
            <w:tcBorders>
              <w:tl2br w:val="nil"/>
              <w:tr2bl w:val="nil"/>
            </w:tcBorders>
            <w:vAlign w:val="center"/>
          </w:tcPr>
          <w:p w14:paraId="0857B9D2">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TCARI</w:t>
            </w:r>
          </w:p>
        </w:tc>
        <w:tc>
          <w:tcPr>
            <w:tcW w:w="1399" w:type="dxa"/>
            <w:tcBorders>
              <w:tl2br w:val="nil"/>
              <w:tr2bl w:val="nil"/>
            </w:tcBorders>
            <w:vAlign w:val="center"/>
          </w:tcPr>
          <w:p w14:paraId="01E8D9CE">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MTVI2</w:t>
            </w:r>
          </w:p>
        </w:tc>
        <w:tc>
          <w:tcPr>
            <w:tcW w:w="1399" w:type="dxa"/>
            <w:tcBorders>
              <w:tl2br w:val="nil"/>
              <w:tr2bl w:val="nil"/>
            </w:tcBorders>
            <w:vAlign w:val="center"/>
          </w:tcPr>
          <w:p w14:paraId="346DD194">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RDVI</w:t>
            </w:r>
          </w:p>
        </w:tc>
        <w:tc>
          <w:tcPr>
            <w:tcW w:w="1399" w:type="dxa"/>
            <w:tcBorders>
              <w:tl2br w:val="nil"/>
              <w:tr2bl w:val="nil"/>
            </w:tcBorders>
            <w:vAlign w:val="center"/>
          </w:tcPr>
          <w:p w14:paraId="0002368E">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TVI</w:t>
            </w:r>
          </w:p>
        </w:tc>
        <w:tc>
          <w:tcPr>
            <w:tcW w:w="1399" w:type="dxa"/>
            <w:tcBorders>
              <w:tl2br w:val="nil"/>
              <w:tr2bl w:val="nil"/>
            </w:tcBorders>
            <w:vAlign w:val="center"/>
          </w:tcPr>
          <w:p w14:paraId="482392B1">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RDVI</w:t>
            </w:r>
          </w:p>
        </w:tc>
      </w:tr>
      <w:tr w14:paraId="6CD71DD2">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10267ACB">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11</w:t>
            </w:r>
          </w:p>
        </w:tc>
        <w:tc>
          <w:tcPr>
            <w:tcW w:w="1399" w:type="dxa"/>
            <w:tcBorders>
              <w:tl2br w:val="nil"/>
              <w:tr2bl w:val="nil"/>
            </w:tcBorders>
            <w:vAlign w:val="center"/>
          </w:tcPr>
          <w:p w14:paraId="2BA77D19">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MTVI2</w:t>
            </w:r>
          </w:p>
        </w:tc>
        <w:tc>
          <w:tcPr>
            <w:tcW w:w="1399" w:type="dxa"/>
            <w:tcBorders>
              <w:tl2br w:val="nil"/>
              <w:tr2bl w:val="nil"/>
            </w:tcBorders>
            <w:vAlign w:val="center"/>
          </w:tcPr>
          <w:p w14:paraId="7778ED87">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NLI</w:t>
            </w:r>
          </w:p>
        </w:tc>
        <w:tc>
          <w:tcPr>
            <w:tcW w:w="1399" w:type="dxa"/>
            <w:tcBorders>
              <w:tl2br w:val="nil"/>
              <w:tr2bl w:val="nil"/>
            </w:tcBorders>
            <w:vAlign w:val="center"/>
          </w:tcPr>
          <w:p w14:paraId="7F434D0B">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EVI</w:t>
            </w:r>
          </w:p>
        </w:tc>
        <w:tc>
          <w:tcPr>
            <w:tcW w:w="1399" w:type="dxa"/>
            <w:tcBorders>
              <w:tl2br w:val="nil"/>
              <w:tr2bl w:val="nil"/>
            </w:tcBorders>
            <w:vAlign w:val="center"/>
          </w:tcPr>
          <w:p w14:paraId="2A370613">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SAVI</w:t>
            </w:r>
          </w:p>
        </w:tc>
        <w:tc>
          <w:tcPr>
            <w:tcW w:w="1399" w:type="dxa"/>
            <w:tcBorders>
              <w:tl2br w:val="nil"/>
              <w:tr2bl w:val="nil"/>
            </w:tcBorders>
            <w:vAlign w:val="center"/>
          </w:tcPr>
          <w:p w14:paraId="630704B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GNDVI</w:t>
            </w:r>
          </w:p>
        </w:tc>
        <w:tc>
          <w:tcPr>
            <w:tcW w:w="1399" w:type="dxa"/>
            <w:tcBorders>
              <w:tl2br w:val="nil"/>
              <w:tr2bl w:val="nil"/>
            </w:tcBorders>
            <w:vAlign w:val="center"/>
          </w:tcPr>
          <w:p w14:paraId="54FB739A">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MSR</w:t>
            </w:r>
          </w:p>
        </w:tc>
      </w:tr>
      <w:tr w14:paraId="6BFC57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4ED7F52B">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12</w:t>
            </w:r>
          </w:p>
        </w:tc>
        <w:tc>
          <w:tcPr>
            <w:tcW w:w="1399" w:type="dxa"/>
            <w:tcBorders>
              <w:tl2br w:val="nil"/>
              <w:tr2bl w:val="nil"/>
            </w:tcBorders>
            <w:vAlign w:val="center"/>
          </w:tcPr>
          <w:p w14:paraId="4D77C006">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TCARI</w:t>
            </w:r>
          </w:p>
        </w:tc>
        <w:tc>
          <w:tcPr>
            <w:tcW w:w="1399" w:type="dxa"/>
            <w:tcBorders>
              <w:tl2br w:val="nil"/>
              <w:tr2bl w:val="nil"/>
            </w:tcBorders>
            <w:vAlign w:val="center"/>
          </w:tcPr>
          <w:p w14:paraId="25FBA5EC">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OSAVI</w:t>
            </w:r>
          </w:p>
        </w:tc>
        <w:tc>
          <w:tcPr>
            <w:tcW w:w="1399" w:type="dxa"/>
            <w:tcBorders>
              <w:tl2br w:val="nil"/>
              <w:tr2bl w:val="nil"/>
            </w:tcBorders>
            <w:vAlign w:val="center"/>
          </w:tcPr>
          <w:p w14:paraId="44746943">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DVI</w:t>
            </w:r>
          </w:p>
        </w:tc>
        <w:tc>
          <w:tcPr>
            <w:tcW w:w="1399" w:type="dxa"/>
            <w:tcBorders>
              <w:tl2br w:val="nil"/>
              <w:tr2bl w:val="nil"/>
            </w:tcBorders>
            <w:vAlign w:val="center"/>
          </w:tcPr>
          <w:p w14:paraId="39D944F4">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MTCI</w:t>
            </w:r>
          </w:p>
        </w:tc>
        <w:tc>
          <w:tcPr>
            <w:tcW w:w="1399" w:type="dxa"/>
            <w:tcBorders>
              <w:tl2br w:val="nil"/>
              <w:tr2bl w:val="nil"/>
            </w:tcBorders>
            <w:vAlign w:val="center"/>
          </w:tcPr>
          <w:p w14:paraId="40BFC94E">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EVI</w:t>
            </w:r>
          </w:p>
        </w:tc>
        <w:tc>
          <w:tcPr>
            <w:tcW w:w="1399" w:type="dxa"/>
            <w:tcBorders>
              <w:tl2br w:val="nil"/>
              <w:tr2bl w:val="nil"/>
            </w:tcBorders>
            <w:vAlign w:val="center"/>
          </w:tcPr>
          <w:p w14:paraId="5129BD80">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GNDVI</w:t>
            </w:r>
          </w:p>
        </w:tc>
      </w:tr>
      <w:tr w14:paraId="68E297B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509FBF01">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13</w:t>
            </w:r>
          </w:p>
        </w:tc>
        <w:tc>
          <w:tcPr>
            <w:tcW w:w="1399" w:type="dxa"/>
            <w:tcBorders>
              <w:tl2br w:val="nil"/>
              <w:tr2bl w:val="nil"/>
            </w:tcBorders>
            <w:vAlign w:val="center"/>
          </w:tcPr>
          <w:p w14:paraId="4A620D20">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NLI</w:t>
            </w:r>
          </w:p>
        </w:tc>
        <w:tc>
          <w:tcPr>
            <w:tcW w:w="1399" w:type="dxa"/>
            <w:tcBorders>
              <w:tl2br w:val="nil"/>
              <w:tr2bl w:val="nil"/>
            </w:tcBorders>
            <w:vAlign w:val="center"/>
          </w:tcPr>
          <w:p w14:paraId="7D81C530">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SIPI</w:t>
            </w:r>
          </w:p>
        </w:tc>
        <w:tc>
          <w:tcPr>
            <w:tcW w:w="1399" w:type="dxa"/>
            <w:tcBorders>
              <w:tl2br w:val="nil"/>
              <w:tr2bl w:val="nil"/>
            </w:tcBorders>
            <w:vAlign w:val="center"/>
          </w:tcPr>
          <w:p w14:paraId="2152DE4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MCARI1</w:t>
            </w:r>
          </w:p>
        </w:tc>
        <w:tc>
          <w:tcPr>
            <w:tcW w:w="1399" w:type="dxa"/>
            <w:tcBorders>
              <w:tl2br w:val="nil"/>
              <w:tr2bl w:val="nil"/>
            </w:tcBorders>
            <w:vAlign w:val="center"/>
          </w:tcPr>
          <w:p w14:paraId="01F1A6B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NDVIRE</w:t>
            </w:r>
          </w:p>
        </w:tc>
        <w:tc>
          <w:tcPr>
            <w:tcW w:w="1399" w:type="dxa"/>
            <w:tcBorders>
              <w:tl2br w:val="nil"/>
              <w:tr2bl w:val="nil"/>
            </w:tcBorders>
            <w:vAlign w:val="center"/>
          </w:tcPr>
          <w:p w14:paraId="0F01E4D7">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MTVI2</w:t>
            </w:r>
          </w:p>
        </w:tc>
        <w:tc>
          <w:tcPr>
            <w:tcW w:w="1399" w:type="dxa"/>
            <w:tcBorders>
              <w:tl2br w:val="nil"/>
              <w:tr2bl w:val="nil"/>
            </w:tcBorders>
            <w:vAlign w:val="center"/>
          </w:tcPr>
          <w:p w14:paraId="1EF47AC4">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MTVI2</w:t>
            </w:r>
          </w:p>
        </w:tc>
      </w:tr>
      <w:tr w14:paraId="481832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6844E288">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14</w:t>
            </w:r>
          </w:p>
        </w:tc>
        <w:tc>
          <w:tcPr>
            <w:tcW w:w="1399" w:type="dxa"/>
            <w:tcBorders>
              <w:tl2br w:val="nil"/>
              <w:tr2bl w:val="nil"/>
            </w:tcBorders>
            <w:vAlign w:val="center"/>
          </w:tcPr>
          <w:p w14:paraId="508A128F">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NRI</w:t>
            </w:r>
          </w:p>
        </w:tc>
        <w:tc>
          <w:tcPr>
            <w:tcW w:w="1399" w:type="dxa"/>
            <w:tcBorders>
              <w:tl2br w:val="nil"/>
              <w:tr2bl w:val="nil"/>
            </w:tcBorders>
            <w:vAlign w:val="center"/>
          </w:tcPr>
          <w:p w14:paraId="7610E4DA">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NRI</w:t>
            </w:r>
          </w:p>
        </w:tc>
        <w:tc>
          <w:tcPr>
            <w:tcW w:w="1399" w:type="dxa"/>
            <w:tcBorders>
              <w:tl2br w:val="nil"/>
              <w:tr2bl w:val="nil"/>
            </w:tcBorders>
            <w:vAlign w:val="center"/>
          </w:tcPr>
          <w:p w14:paraId="72C5F149">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GNDVI</w:t>
            </w:r>
          </w:p>
        </w:tc>
        <w:tc>
          <w:tcPr>
            <w:tcW w:w="1399" w:type="dxa"/>
            <w:tcBorders>
              <w:tl2br w:val="nil"/>
              <w:tr2bl w:val="nil"/>
            </w:tcBorders>
            <w:vAlign w:val="center"/>
          </w:tcPr>
          <w:p w14:paraId="34F39CA8">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MTVI2</w:t>
            </w:r>
          </w:p>
        </w:tc>
        <w:tc>
          <w:tcPr>
            <w:tcW w:w="1399" w:type="dxa"/>
            <w:tcBorders>
              <w:tl2br w:val="nil"/>
              <w:tr2bl w:val="nil"/>
            </w:tcBorders>
            <w:vAlign w:val="center"/>
          </w:tcPr>
          <w:p w14:paraId="2ACA35B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SAVI</w:t>
            </w:r>
          </w:p>
        </w:tc>
        <w:tc>
          <w:tcPr>
            <w:tcW w:w="1399" w:type="dxa"/>
            <w:tcBorders>
              <w:tl2br w:val="nil"/>
              <w:tr2bl w:val="nil"/>
            </w:tcBorders>
            <w:vAlign w:val="center"/>
          </w:tcPr>
          <w:p w14:paraId="5260E608">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NDVIRE</w:t>
            </w:r>
          </w:p>
        </w:tc>
      </w:tr>
      <w:tr w14:paraId="7A9A31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1568B797">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15</w:t>
            </w:r>
          </w:p>
        </w:tc>
        <w:tc>
          <w:tcPr>
            <w:tcW w:w="1399" w:type="dxa"/>
            <w:tcBorders>
              <w:tl2br w:val="nil"/>
              <w:tr2bl w:val="nil"/>
            </w:tcBorders>
            <w:vAlign w:val="center"/>
          </w:tcPr>
          <w:p w14:paraId="29B8AA7A">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MTCI</w:t>
            </w:r>
          </w:p>
        </w:tc>
        <w:tc>
          <w:tcPr>
            <w:tcW w:w="1399" w:type="dxa"/>
            <w:tcBorders>
              <w:tl2br w:val="nil"/>
              <w:tr2bl w:val="nil"/>
            </w:tcBorders>
            <w:vAlign w:val="center"/>
          </w:tcPr>
          <w:p w14:paraId="70B64BCC">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MTCI</w:t>
            </w:r>
          </w:p>
        </w:tc>
        <w:tc>
          <w:tcPr>
            <w:tcW w:w="1399" w:type="dxa"/>
            <w:tcBorders>
              <w:tl2br w:val="nil"/>
              <w:tr2bl w:val="nil"/>
            </w:tcBorders>
            <w:vAlign w:val="center"/>
          </w:tcPr>
          <w:p w14:paraId="794DE43A">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TVI</w:t>
            </w:r>
          </w:p>
        </w:tc>
        <w:tc>
          <w:tcPr>
            <w:tcW w:w="1399" w:type="dxa"/>
            <w:tcBorders>
              <w:tl2br w:val="nil"/>
              <w:tr2bl w:val="nil"/>
            </w:tcBorders>
            <w:vAlign w:val="center"/>
          </w:tcPr>
          <w:p w14:paraId="2DFDFE0F">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GNDVI</w:t>
            </w:r>
          </w:p>
        </w:tc>
        <w:tc>
          <w:tcPr>
            <w:tcW w:w="1399" w:type="dxa"/>
            <w:tcBorders>
              <w:tl2br w:val="nil"/>
              <w:tr2bl w:val="nil"/>
            </w:tcBorders>
            <w:vAlign w:val="center"/>
          </w:tcPr>
          <w:p w14:paraId="14DDB1D6">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RDVI</w:t>
            </w:r>
          </w:p>
        </w:tc>
        <w:tc>
          <w:tcPr>
            <w:tcW w:w="1399" w:type="dxa"/>
            <w:tcBorders>
              <w:tl2br w:val="nil"/>
              <w:tr2bl w:val="nil"/>
            </w:tcBorders>
            <w:vAlign w:val="center"/>
          </w:tcPr>
          <w:p w14:paraId="5EE8087E">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MTCI</w:t>
            </w:r>
          </w:p>
        </w:tc>
      </w:tr>
      <w:tr w14:paraId="11B0475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328E2601">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16</w:t>
            </w:r>
          </w:p>
        </w:tc>
        <w:tc>
          <w:tcPr>
            <w:tcW w:w="1399" w:type="dxa"/>
            <w:tcBorders>
              <w:tl2br w:val="nil"/>
              <w:tr2bl w:val="nil"/>
            </w:tcBorders>
            <w:vAlign w:val="center"/>
          </w:tcPr>
          <w:p w14:paraId="5681EB92">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CIRE</w:t>
            </w:r>
          </w:p>
        </w:tc>
        <w:tc>
          <w:tcPr>
            <w:tcW w:w="1399" w:type="dxa"/>
            <w:tcBorders>
              <w:tl2br w:val="nil"/>
              <w:tr2bl w:val="nil"/>
            </w:tcBorders>
            <w:vAlign w:val="center"/>
          </w:tcPr>
          <w:p w14:paraId="06018414">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NDVI</w:t>
            </w:r>
          </w:p>
        </w:tc>
        <w:tc>
          <w:tcPr>
            <w:tcW w:w="1399" w:type="dxa"/>
            <w:tcBorders>
              <w:tl2br w:val="nil"/>
              <w:tr2bl w:val="nil"/>
            </w:tcBorders>
            <w:vAlign w:val="center"/>
          </w:tcPr>
          <w:p w14:paraId="7B43F77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NDVI</w:t>
            </w:r>
          </w:p>
        </w:tc>
        <w:tc>
          <w:tcPr>
            <w:tcW w:w="1399" w:type="dxa"/>
            <w:tcBorders>
              <w:tl2br w:val="nil"/>
              <w:tr2bl w:val="nil"/>
            </w:tcBorders>
            <w:vAlign w:val="center"/>
          </w:tcPr>
          <w:p w14:paraId="4668593F">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PPR</w:t>
            </w:r>
          </w:p>
        </w:tc>
        <w:tc>
          <w:tcPr>
            <w:tcW w:w="1399" w:type="dxa"/>
            <w:tcBorders>
              <w:tl2br w:val="nil"/>
              <w:tr2bl w:val="nil"/>
            </w:tcBorders>
            <w:vAlign w:val="center"/>
          </w:tcPr>
          <w:p w14:paraId="6BD40606">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PPR</w:t>
            </w:r>
          </w:p>
        </w:tc>
        <w:tc>
          <w:tcPr>
            <w:tcW w:w="1399" w:type="dxa"/>
            <w:tcBorders>
              <w:tl2br w:val="nil"/>
              <w:tr2bl w:val="nil"/>
            </w:tcBorders>
            <w:vAlign w:val="center"/>
          </w:tcPr>
          <w:p w14:paraId="5A81ABB1">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OSAVI</w:t>
            </w:r>
          </w:p>
        </w:tc>
      </w:tr>
      <w:tr w14:paraId="4FCC753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2FF17947">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17</w:t>
            </w:r>
          </w:p>
        </w:tc>
        <w:tc>
          <w:tcPr>
            <w:tcW w:w="1399" w:type="dxa"/>
            <w:tcBorders>
              <w:tl2br w:val="nil"/>
              <w:tr2bl w:val="nil"/>
            </w:tcBorders>
            <w:vAlign w:val="center"/>
          </w:tcPr>
          <w:p w14:paraId="50D595EE">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SIPI</w:t>
            </w:r>
          </w:p>
        </w:tc>
        <w:tc>
          <w:tcPr>
            <w:tcW w:w="1399" w:type="dxa"/>
            <w:tcBorders>
              <w:tl2br w:val="nil"/>
              <w:tr2bl w:val="nil"/>
            </w:tcBorders>
            <w:vAlign w:val="center"/>
          </w:tcPr>
          <w:p w14:paraId="44BAB168">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MSR</w:t>
            </w:r>
          </w:p>
        </w:tc>
        <w:tc>
          <w:tcPr>
            <w:tcW w:w="1399" w:type="dxa"/>
            <w:tcBorders>
              <w:tl2br w:val="nil"/>
              <w:tr2bl w:val="nil"/>
            </w:tcBorders>
            <w:vAlign w:val="center"/>
          </w:tcPr>
          <w:p w14:paraId="7DA9AEAD">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SIPI</w:t>
            </w:r>
          </w:p>
        </w:tc>
        <w:tc>
          <w:tcPr>
            <w:tcW w:w="1399" w:type="dxa"/>
            <w:tcBorders>
              <w:tl2br w:val="nil"/>
              <w:tr2bl w:val="nil"/>
            </w:tcBorders>
            <w:vAlign w:val="center"/>
          </w:tcPr>
          <w:p w14:paraId="0D7FE74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OSAVI</w:t>
            </w:r>
          </w:p>
        </w:tc>
        <w:tc>
          <w:tcPr>
            <w:tcW w:w="1399" w:type="dxa"/>
            <w:tcBorders>
              <w:tl2br w:val="nil"/>
              <w:tr2bl w:val="nil"/>
            </w:tcBorders>
            <w:vAlign w:val="center"/>
          </w:tcPr>
          <w:p w14:paraId="648603BF">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OSAVI</w:t>
            </w:r>
          </w:p>
        </w:tc>
        <w:tc>
          <w:tcPr>
            <w:tcW w:w="1399" w:type="dxa"/>
            <w:tcBorders>
              <w:tl2br w:val="nil"/>
              <w:tr2bl w:val="nil"/>
            </w:tcBorders>
            <w:vAlign w:val="center"/>
          </w:tcPr>
          <w:p w14:paraId="3972BFC6">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PSRI</w:t>
            </w:r>
          </w:p>
        </w:tc>
      </w:tr>
      <w:tr w14:paraId="15CD1D1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2B22310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18</w:t>
            </w:r>
          </w:p>
        </w:tc>
        <w:tc>
          <w:tcPr>
            <w:tcW w:w="1399" w:type="dxa"/>
            <w:tcBorders>
              <w:tl2br w:val="nil"/>
              <w:tr2bl w:val="nil"/>
            </w:tcBorders>
            <w:vAlign w:val="center"/>
          </w:tcPr>
          <w:p w14:paraId="64E657DF">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NDVIRE</w:t>
            </w:r>
          </w:p>
        </w:tc>
        <w:tc>
          <w:tcPr>
            <w:tcW w:w="1399" w:type="dxa"/>
            <w:tcBorders>
              <w:tl2br w:val="nil"/>
              <w:tr2bl w:val="nil"/>
            </w:tcBorders>
            <w:vAlign w:val="center"/>
          </w:tcPr>
          <w:p w14:paraId="0C9076FD">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CIRE</w:t>
            </w:r>
          </w:p>
        </w:tc>
        <w:tc>
          <w:tcPr>
            <w:tcW w:w="1399" w:type="dxa"/>
            <w:tcBorders>
              <w:tl2br w:val="nil"/>
              <w:tr2bl w:val="nil"/>
            </w:tcBorders>
            <w:vAlign w:val="center"/>
          </w:tcPr>
          <w:p w14:paraId="51BCB3A7">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NLI</w:t>
            </w:r>
          </w:p>
        </w:tc>
        <w:tc>
          <w:tcPr>
            <w:tcW w:w="1399" w:type="dxa"/>
            <w:tcBorders>
              <w:tl2br w:val="nil"/>
              <w:tr2bl w:val="nil"/>
            </w:tcBorders>
            <w:vAlign w:val="center"/>
          </w:tcPr>
          <w:p w14:paraId="0F7FF781">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NDVI</w:t>
            </w:r>
          </w:p>
        </w:tc>
        <w:tc>
          <w:tcPr>
            <w:tcW w:w="1399" w:type="dxa"/>
            <w:tcBorders>
              <w:tl2br w:val="nil"/>
              <w:tr2bl w:val="nil"/>
            </w:tcBorders>
            <w:vAlign w:val="center"/>
          </w:tcPr>
          <w:p w14:paraId="0C9D3BCA">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NRI</w:t>
            </w:r>
          </w:p>
        </w:tc>
        <w:tc>
          <w:tcPr>
            <w:tcW w:w="1399" w:type="dxa"/>
            <w:tcBorders>
              <w:tl2br w:val="nil"/>
              <w:tr2bl w:val="nil"/>
            </w:tcBorders>
            <w:vAlign w:val="center"/>
          </w:tcPr>
          <w:p w14:paraId="3253A91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NLI</w:t>
            </w:r>
          </w:p>
        </w:tc>
      </w:tr>
      <w:tr w14:paraId="7CADE2C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7F51A602">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19</w:t>
            </w:r>
          </w:p>
        </w:tc>
        <w:tc>
          <w:tcPr>
            <w:tcW w:w="1399" w:type="dxa"/>
            <w:tcBorders>
              <w:tl2br w:val="nil"/>
              <w:tr2bl w:val="nil"/>
            </w:tcBorders>
            <w:vAlign w:val="center"/>
          </w:tcPr>
          <w:p w14:paraId="47A84250">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GNDVI</w:t>
            </w:r>
          </w:p>
        </w:tc>
        <w:tc>
          <w:tcPr>
            <w:tcW w:w="1399" w:type="dxa"/>
            <w:tcBorders>
              <w:tl2br w:val="nil"/>
              <w:tr2bl w:val="nil"/>
            </w:tcBorders>
            <w:vAlign w:val="center"/>
          </w:tcPr>
          <w:p w14:paraId="2326602C">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MTVI2</w:t>
            </w:r>
          </w:p>
        </w:tc>
        <w:tc>
          <w:tcPr>
            <w:tcW w:w="1399" w:type="dxa"/>
            <w:tcBorders>
              <w:tl2br w:val="nil"/>
              <w:tr2bl w:val="nil"/>
            </w:tcBorders>
            <w:vAlign w:val="center"/>
          </w:tcPr>
          <w:p w14:paraId="55C737E9">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PSRI</w:t>
            </w:r>
          </w:p>
        </w:tc>
        <w:tc>
          <w:tcPr>
            <w:tcW w:w="1399" w:type="dxa"/>
            <w:tcBorders>
              <w:tl2br w:val="nil"/>
              <w:tr2bl w:val="nil"/>
            </w:tcBorders>
            <w:vAlign w:val="center"/>
          </w:tcPr>
          <w:p w14:paraId="43B0DBD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NLI</w:t>
            </w:r>
          </w:p>
        </w:tc>
        <w:tc>
          <w:tcPr>
            <w:tcW w:w="1399" w:type="dxa"/>
            <w:tcBorders>
              <w:tl2br w:val="nil"/>
              <w:tr2bl w:val="nil"/>
            </w:tcBorders>
            <w:vAlign w:val="center"/>
          </w:tcPr>
          <w:p w14:paraId="2F681CDF">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NLI</w:t>
            </w:r>
          </w:p>
        </w:tc>
        <w:tc>
          <w:tcPr>
            <w:tcW w:w="1399" w:type="dxa"/>
            <w:tcBorders>
              <w:tl2br w:val="nil"/>
              <w:tr2bl w:val="nil"/>
            </w:tcBorders>
            <w:vAlign w:val="center"/>
          </w:tcPr>
          <w:p w14:paraId="4C6E3E4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NDVI</w:t>
            </w:r>
          </w:p>
        </w:tc>
      </w:tr>
      <w:tr w14:paraId="19816C6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339A6354">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20</w:t>
            </w:r>
          </w:p>
        </w:tc>
        <w:tc>
          <w:tcPr>
            <w:tcW w:w="1399" w:type="dxa"/>
            <w:tcBorders>
              <w:tl2br w:val="nil"/>
              <w:tr2bl w:val="nil"/>
            </w:tcBorders>
            <w:vAlign w:val="center"/>
          </w:tcPr>
          <w:p w14:paraId="50C1FB28">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RVI</w:t>
            </w:r>
          </w:p>
        </w:tc>
        <w:tc>
          <w:tcPr>
            <w:tcW w:w="1399" w:type="dxa"/>
            <w:tcBorders>
              <w:tl2br w:val="nil"/>
              <w:tr2bl w:val="nil"/>
            </w:tcBorders>
            <w:vAlign w:val="center"/>
          </w:tcPr>
          <w:p w14:paraId="0AB052D5">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RVI</w:t>
            </w:r>
          </w:p>
        </w:tc>
        <w:tc>
          <w:tcPr>
            <w:tcW w:w="1399" w:type="dxa"/>
            <w:tcBorders>
              <w:tl2br w:val="nil"/>
              <w:tr2bl w:val="nil"/>
            </w:tcBorders>
            <w:vAlign w:val="center"/>
          </w:tcPr>
          <w:p w14:paraId="52B61E87">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NDVIRE</w:t>
            </w:r>
          </w:p>
        </w:tc>
        <w:tc>
          <w:tcPr>
            <w:tcW w:w="1399" w:type="dxa"/>
            <w:tcBorders>
              <w:tl2br w:val="nil"/>
              <w:tr2bl w:val="nil"/>
            </w:tcBorders>
            <w:vAlign w:val="center"/>
          </w:tcPr>
          <w:p w14:paraId="76FBB93F">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MCARI1</w:t>
            </w:r>
          </w:p>
        </w:tc>
        <w:tc>
          <w:tcPr>
            <w:tcW w:w="1399" w:type="dxa"/>
            <w:tcBorders>
              <w:tl2br w:val="nil"/>
              <w:tr2bl w:val="nil"/>
            </w:tcBorders>
            <w:vAlign w:val="center"/>
          </w:tcPr>
          <w:p w14:paraId="1DF9D7F0">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NDVI</w:t>
            </w:r>
          </w:p>
        </w:tc>
        <w:tc>
          <w:tcPr>
            <w:tcW w:w="1399" w:type="dxa"/>
            <w:tcBorders>
              <w:tl2br w:val="nil"/>
              <w:tr2bl w:val="nil"/>
            </w:tcBorders>
            <w:vAlign w:val="center"/>
          </w:tcPr>
          <w:p w14:paraId="7DF51933">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TVI</w:t>
            </w:r>
          </w:p>
        </w:tc>
      </w:tr>
      <w:tr w14:paraId="6A8F646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02162282">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21</w:t>
            </w:r>
          </w:p>
        </w:tc>
        <w:tc>
          <w:tcPr>
            <w:tcW w:w="1399" w:type="dxa"/>
            <w:tcBorders>
              <w:tl2br w:val="nil"/>
              <w:tr2bl w:val="nil"/>
            </w:tcBorders>
            <w:vAlign w:val="center"/>
          </w:tcPr>
          <w:p w14:paraId="285085EC">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MSR</w:t>
            </w:r>
          </w:p>
        </w:tc>
        <w:tc>
          <w:tcPr>
            <w:tcW w:w="1399" w:type="dxa"/>
            <w:tcBorders>
              <w:tl2br w:val="nil"/>
              <w:tr2bl w:val="nil"/>
            </w:tcBorders>
            <w:vAlign w:val="center"/>
          </w:tcPr>
          <w:p w14:paraId="68D82D91">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NDVIRE</w:t>
            </w:r>
          </w:p>
        </w:tc>
        <w:tc>
          <w:tcPr>
            <w:tcW w:w="1399" w:type="dxa"/>
            <w:tcBorders>
              <w:tl2br w:val="nil"/>
              <w:tr2bl w:val="nil"/>
            </w:tcBorders>
            <w:vAlign w:val="center"/>
          </w:tcPr>
          <w:p w14:paraId="0DF4564D">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CIRE</w:t>
            </w:r>
          </w:p>
        </w:tc>
        <w:tc>
          <w:tcPr>
            <w:tcW w:w="1399" w:type="dxa"/>
            <w:tcBorders>
              <w:tl2br w:val="nil"/>
              <w:tr2bl w:val="nil"/>
            </w:tcBorders>
            <w:vAlign w:val="center"/>
          </w:tcPr>
          <w:p w14:paraId="7FADA36E">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PSRI</w:t>
            </w:r>
          </w:p>
        </w:tc>
        <w:tc>
          <w:tcPr>
            <w:tcW w:w="1399" w:type="dxa"/>
            <w:tcBorders>
              <w:tl2br w:val="nil"/>
              <w:tr2bl w:val="nil"/>
            </w:tcBorders>
            <w:vAlign w:val="center"/>
          </w:tcPr>
          <w:p w14:paraId="2989313B">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SIPI</w:t>
            </w:r>
          </w:p>
        </w:tc>
        <w:tc>
          <w:tcPr>
            <w:tcW w:w="1399" w:type="dxa"/>
            <w:tcBorders>
              <w:tl2br w:val="nil"/>
              <w:tr2bl w:val="nil"/>
            </w:tcBorders>
            <w:vAlign w:val="center"/>
          </w:tcPr>
          <w:p w14:paraId="723CC374">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SIPI</w:t>
            </w:r>
          </w:p>
        </w:tc>
      </w:tr>
      <w:tr w14:paraId="28235F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9" w:type="dxa"/>
            <w:tcBorders>
              <w:tl2br w:val="nil"/>
              <w:tr2bl w:val="nil"/>
            </w:tcBorders>
            <w:vAlign w:val="center"/>
          </w:tcPr>
          <w:p w14:paraId="4DFC0622">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22</w:t>
            </w:r>
          </w:p>
        </w:tc>
        <w:tc>
          <w:tcPr>
            <w:tcW w:w="1399" w:type="dxa"/>
            <w:tcBorders>
              <w:tl2br w:val="nil"/>
              <w:tr2bl w:val="nil"/>
            </w:tcBorders>
            <w:vAlign w:val="center"/>
          </w:tcPr>
          <w:p w14:paraId="51F0E2FE">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NDVI</w:t>
            </w:r>
          </w:p>
        </w:tc>
        <w:tc>
          <w:tcPr>
            <w:tcW w:w="1399" w:type="dxa"/>
            <w:tcBorders>
              <w:tl2br w:val="nil"/>
              <w:tr2bl w:val="nil"/>
            </w:tcBorders>
            <w:vAlign w:val="center"/>
          </w:tcPr>
          <w:p w14:paraId="72DD1BDB">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GNDVI</w:t>
            </w:r>
          </w:p>
        </w:tc>
        <w:tc>
          <w:tcPr>
            <w:tcW w:w="1399" w:type="dxa"/>
            <w:tcBorders>
              <w:tl2br w:val="nil"/>
              <w:tr2bl w:val="nil"/>
            </w:tcBorders>
            <w:vAlign w:val="center"/>
          </w:tcPr>
          <w:p w14:paraId="47DE61FE">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MTCI</w:t>
            </w:r>
          </w:p>
        </w:tc>
        <w:tc>
          <w:tcPr>
            <w:tcW w:w="1399" w:type="dxa"/>
            <w:tcBorders>
              <w:tl2br w:val="nil"/>
              <w:tr2bl w:val="nil"/>
            </w:tcBorders>
            <w:vAlign w:val="center"/>
          </w:tcPr>
          <w:p w14:paraId="3A37FF53">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SIPI</w:t>
            </w:r>
          </w:p>
        </w:tc>
        <w:tc>
          <w:tcPr>
            <w:tcW w:w="1399" w:type="dxa"/>
            <w:tcBorders>
              <w:tl2br w:val="nil"/>
              <w:tr2bl w:val="nil"/>
            </w:tcBorders>
            <w:vAlign w:val="center"/>
          </w:tcPr>
          <w:p w14:paraId="0CA92DE6">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PSRI</w:t>
            </w:r>
          </w:p>
        </w:tc>
        <w:tc>
          <w:tcPr>
            <w:tcW w:w="1399" w:type="dxa"/>
            <w:tcBorders>
              <w:tl2br w:val="nil"/>
              <w:tr2bl w:val="nil"/>
            </w:tcBorders>
            <w:vAlign w:val="center"/>
          </w:tcPr>
          <w:p w14:paraId="6915B1FB">
            <w:pPr>
              <w:spacing w:after="0" w:line="240" w:lineRule="auto"/>
              <w:jc w:val="center"/>
              <w:rPr>
                <w:rFonts w:hint="default" w:ascii="Times New Roman" w:hAnsi="Times New Roman" w:cs="Times New Roman"/>
                <w:sz w:val="22"/>
                <w:szCs w:val="28"/>
              </w:rPr>
            </w:pPr>
            <w:r>
              <w:rPr>
                <w:rFonts w:hint="default" w:ascii="Times New Roman" w:hAnsi="Times New Roman" w:cs="Times New Roman"/>
                <w:b w:val="0"/>
                <w:sz w:val="15"/>
                <w:szCs w:val="28"/>
              </w:rPr>
              <w:t>NRI</w:t>
            </w:r>
          </w:p>
        </w:tc>
      </w:tr>
    </w:tbl>
    <w:p w14:paraId="235EA114">
      <w:pPr>
        <w:widowControl w:val="0"/>
        <w:numPr>
          <w:ilvl w:val="0"/>
          <w:numId w:val="0"/>
        </w:numPr>
        <w:jc w:val="both"/>
        <w:rPr>
          <w:rFonts w:hint="default" w:ascii="Times New Roman" w:hAnsi="Times New Roman" w:cs="Times New Roma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ionPro-Regular">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MinionPro-Bold">
    <w:altName w:val="Liberation Mono"/>
    <w:panose1 w:val="00000000000000000000"/>
    <w:charset w:val="00"/>
    <w:family w:val="auto"/>
    <w:pitch w:val="default"/>
    <w:sig w:usb0="00000000" w:usb1="00000000" w:usb2="00000000" w:usb3="00000000" w:csb0="00000000" w:csb1="00000000"/>
  </w:font>
  <w:font w:name="MinionPro-It">
    <w:altName w:val="Liberation Mono"/>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CC15DE"/>
    <w:multiLevelType w:val="singleLevel"/>
    <w:tmpl w:val="C2CC15DE"/>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80580F"/>
    <w:rsid w:val="00563274"/>
    <w:rsid w:val="005A0FB6"/>
    <w:rsid w:val="0089384B"/>
    <w:rsid w:val="00BA1A55"/>
    <w:rsid w:val="00C346E9"/>
    <w:rsid w:val="00DC7845"/>
    <w:rsid w:val="00F30178"/>
    <w:rsid w:val="01545A05"/>
    <w:rsid w:val="01973B44"/>
    <w:rsid w:val="01AC75F0"/>
    <w:rsid w:val="01E46D89"/>
    <w:rsid w:val="01F66ABD"/>
    <w:rsid w:val="024A0BB7"/>
    <w:rsid w:val="026E0D49"/>
    <w:rsid w:val="02A538E1"/>
    <w:rsid w:val="02B81FC4"/>
    <w:rsid w:val="02CD1F13"/>
    <w:rsid w:val="02D212D8"/>
    <w:rsid w:val="02DA1F3A"/>
    <w:rsid w:val="02F32FFC"/>
    <w:rsid w:val="034321D6"/>
    <w:rsid w:val="035A42CC"/>
    <w:rsid w:val="035E2B6B"/>
    <w:rsid w:val="03722553"/>
    <w:rsid w:val="03876C1E"/>
    <w:rsid w:val="03AC66BF"/>
    <w:rsid w:val="03E06657"/>
    <w:rsid w:val="03F37758"/>
    <w:rsid w:val="04001E75"/>
    <w:rsid w:val="04035C87"/>
    <w:rsid w:val="040E27E3"/>
    <w:rsid w:val="0471630E"/>
    <w:rsid w:val="04820ADC"/>
    <w:rsid w:val="048331C3"/>
    <w:rsid w:val="049036F7"/>
    <w:rsid w:val="04966335"/>
    <w:rsid w:val="04A74F4D"/>
    <w:rsid w:val="04C2570D"/>
    <w:rsid w:val="04C9670A"/>
    <w:rsid w:val="04D330E5"/>
    <w:rsid w:val="04D408FB"/>
    <w:rsid w:val="04E50427"/>
    <w:rsid w:val="04FA2D68"/>
    <w:rsid w:val="050140F6"/>
    <w:rsid w:val="051C683A"/>
    <w:rsid w:val="052851DF"/>
    <w:rsid w:val="05363229"/>
    <w:rsid w:val="05373674"/>
    <w:rsid w:val="0563225E"/>
    <w:rsid w:val="05AA02C7"/>
    <w:rsid w:val="05AC7BC5"/>
    <w:rsid w:val="061B54F3"/>
    <w:rsid w:val="065A3ABE"/>
    <w:rsid w:val="06783F44"/>
    <w:rsid w:val="06824DC3"/>
    <w:rsid w:val="06AD2C56"/>
    <w:rsid w:val="06FF13BC"/>
    <w:rsid w:val="073C1416"/>
    <w:rsid w:val="07591FEF"/>
    <w:rsid w:val="075C73C2"/>
    <w:rsid w:val="07610E7C"/>
    <w:rsid w:val="07C66F31"/>
    <w:rsid w:val="08000695"/>
    <w:rsid w:val="081163FE"/>
    <w:rsid w:val="081B102B"/>
    <w:rsid w:val="081D1247"/>
    <w:rsid w:val="08580887"/>
    <w:rsid w:val="08607386"/>
    <w:rsid w:val="08A2174C"/>
    <w:rsid w:val="08C96CD9"/>
    <w:rsid w:val="092C7268"/>
    <w:rsid w:val="096114AF"/>
    <w:rsid w:val="09FC4E8C"/>
    <w:rsid w:val="0A1421D6"/>
    <w:rsid w:val="0A3E36F7"/>
    <w:rsid w:val="0A886720"/>
    <w:rsid w:val="0AB94B2B"/>
    <w:rsid w:val="0BBC48D3"/>
    <w:rsid w:val="0BCB4B16"/>
    <w:rsid w:val="0C0D3DBC"/>
    <w:rsid w:val="0C403756"/>
    <w:rsid w:val="0C635D0F"/>
    <w:rsid w:val="0C70405A"/>
    <w:rsid w:val="0CB11F5E"/>
    <w:rsid w:val="0CCF0046"/>
    <w:rsid w:val="0CDF1CB3"/>
    <w:rsid w:val="0CF85DDF"/>
    <w:rsid w:val="0CFD51A3"/>
    <w:rsid w:val="0D0E5602"/>
    <w:rsid w:val="0D531267"/>
    <w:rsid w:val="0D58062B"/>
    <w:rsid w:val="0D892267"/>
    <w:rsid w:val="0D9A6E96"/>
    <w:rsid w:val="0E124C7E"/>
    <w:rsid w:val="0E5928AD"/>
    <w:rsid w:val="0E680D42"/>
    <w:rsid w:val="0E8076CD"/>
    <w:rsid w:val="0EAF24CD"/>
    <w:rsid w:val="0F030974"/>
    <w:rsid w:val="0F1D38DB"/>
    <w:rsid w:val="0F234C69"/>
    <w:rsid w:val="0F2B249C"/>
    <w:rsid w:val="0F4075C9"/>
    <w:rsid w:val="0F801AB6"/>
    <w:rsid w:val="0FB56209"/>
    <w:rsid w:val="0FD3668F"/>
    <w:rsid w:val="10260C26"/>
    <w:rsid w:val="10352EA6"/>
    <w:rsid w:val="104355C3"/>
    <w:rsid w:val="10533984"/>
    <w:rsid w:val="106F0166"/>
    <w:rsid w:val="107C19E5"/>
    <w:rsid w:val="10B57FE7"/>
    <w:rsid w:val="10BC7123"/>
    <w:rsid w:val="10CF32FA"/>
    <w:rsid w:val="10E80C88"/>
    <w:rsid w:val="113E1296"/>
    <w:rsid w:val="115F3764"/>
    <w:rsid w:val="11665A0D"/>
    <w:rsid w:val="118714DF"/>
    <w:rsid w:val="12192A7F"/>
    <w:rsid w:val="12411FD6"/>
    <w:rsid w:val="128D3DF0"/>
    <w:rsid w:val="12FB5EF9"/>
    <w:rsid w:val="13433B2C"/>
    <w:rsid w:val="134578A4"/>
    <w:rsid w:val="13517FF7"/>
    <w:rsid w:val="13B3480E"/>
    <w:rsid w:val="13D6674E"/>
    <w:rsid w:val="14237BE5"/>
    <w:rsid w:val="142704F1"/>
    <w:rsid w:val="144162BD"/>
    <w:rsid w:val="148937C0"/>
    <w:rsid w:val="1489456F"/>
    <w:rsid w:val="148F44D2"/>
    <w:rsid w:val="14B22D17"/>
    <w:rsid w:val="14C60571"/>
    <w:rsid w:val="153B2D0D"/>
    <w:rsid w:val="15510782"/>
    <w:rsid w:val="1568787A"/>
    <w:rsid w:val="157306F8"/>
    <w:rsid w:val="15785F83"/>
    <w:rsid w:val="158F12AA"/>
    <w:rsid w:val="159468C1"/>
    <w:rsid w:val="15DA0777"/>
    <w:rsid w:val="165C73DE"/>
    <w:rsid w:val="165D6CB3"/>
    <w:rsid w:val="167D7355"/>
    <w:rsid w:val="16CA07EC"/>
    <w:rsid w:val="17035AAC"/>
    <w:rsid w:val="179B7A92"/>
    <w:rsid w:val="17CF1E32"/>
    <w:rsid w:val="17CF598E"/>
    <w:rsid w:val="17E458DD"/>
    <w:rsid w:val="17FC336F"/>
    <w:rsid w:val="18047D2E"/>
    <w:rsid w:val="184C3483"/>
    <w:rsid w:val="184E6C88"/>
    <w:rsid w:val="18736C61"/>
    <w:rsid w:val="1874625D"/>
    <w:rsid w:val="18AE1A47"/>
    <w:rsid w:val="18E84F59"/>
    <w:rsid w:val="19116380"/>
    <w:rsid w:val="19121FD6"/>
    <w:rsid w:val="191C10A7"/>
    <w:rsid w:val="193C52A5"/>
    <w:rsid w:val="193E101D"/>
    <w:rsid w:val="19BB441C"/>
    <w:rsid w:val="19C57049"/>
    <w:rsid w:val="19E576EB"/>
    <w:rsid w:val="19EA4D01"/>
    <w:rsid w:val="19FA13E8"/>
    <w:rsid w:val="1A0758B3"/>
    <w:rsid w:val="1A0D4AD8"/>
    <w:rsid w:val="1A3A5D92"/>
    <w:rsid w:val="1A3F6472"/>
    <w:rsid w:val="1A4008BB"/>
    <w:rsid w:val="1A444411"/>
    <w:rsid w:val="1A646862"/>
    <w:rsid w:val="1A845156"/>
    <w:rsid w:val="1A976C37"/>
    <w:rsid w:val="1AD255F6"/>
    <w:rsid w:val="1B2B3823"/>
    <w:rsid w:val="1B516D3B"/>
    <w:rsid w:val="1B8B6070"/>
    <w:rsid w:val="1BE834C2"/>
    <w:rsid w:val="1C321CE3"/>
    <w:rsid w:val="1C3243D6"/>
    <w:rsid w:val="1C6046AC"/>
    <w:rsid w:val="1C737230"/>
    <w:rsid w:val="1C850D11"/>
    <w:rsid w:val="1C8651B5"/>
    <w:rsid w:val="1CE343B6"/>
    <w:rsid w:val="1CE63B1B"/>
    <w:rsid w:val="1CFE1E89"/>
    <w:rsid w:val="1D3C1D18"/>
    <w:rsid w:val="1D524C10"/>
    <w:rsid w:val="1D6B6159"/>
    <w:rsid w:val="1D9A7265"/>
    <w:rsid w:val="1DB16276"/>
    <w:rsid w:val="1DC67833"/>
    <w:rsid w:val="1DCA7323"/>
    <w:rsid w:val="1DDC2BB3"/>
    <w:rsid w:val="1DE81558"/>
    <w:rsid w:val="1DF3687A"/>
    <w:rsid w:val="1E285DF8"/>
    <w:rsid w:val="1E5B61CE"/>
    <w:rsid w:val="1E632DE0"/>
    <w:rsid w:val="1E650DFA"/>
    <w:rsid w:val="1E7B23CC"/>
    <w:rsid w:val="1E9D0594"/>
    <w:rsid w:val="1E9D55C9"/>
    <w:rsid w:val="1EAD6AC7"/>
    <w:rsid w:val="1EE514B6"/>
    <w:rsid w:val="1F1F544D"/>
    <w:rsid w:val="1F3F3802"/>
    <w:rsid w:val="1F4A28B3"/>
    <w:rsid w:val="1F6E1F30"/>
    <w:rsid w:val="1FAF67D1"/>
    <w:rsid w:val="1FBB456B"/>
    <w:rsid w:val="1FCD6C57"/>
    <w:rsid w:val="2029725D"/>
    <w:rsid w:val="205D447F"/>
    <w:rsid w:val="21063FA6"/>
    <w:rsid w:val="212D20A3"/>
    <w:rsid w:val="213C4961"/>
    <w:rsid w:val="217D645B"/>
    <w:rsid w:val="218B501C"/>
    <w:rsid w:val="219519F6"/>
    <w:rsid w:val="22162B37"/>
    <w:rsid w:val="2217065D"/>
    <w:rsid w:val="222B2CCD"/>
    <w:rsid w:val="22484CBB"/>
    <w:rsid w:val="225418B2"/>
    <w:rsid w:val="2288155B"/>
    <w:rsid w:val="228A52D3"/>
    <w:rsid w:val="228D6B72"/>
    <w:rsid w:val="22A77C33"/>
    <w:rsid w:val="22BD2FB3"/>
    <w:rsid w:val="22D8603F"/>
    <w:rsid w:val="22E11B80"/>
    <w:rsid w:val="23603C82"/>
    <w:rsid w:val="2369138D"/>
    <w:rsid w:val="2375388E"/>
    <w:rsid w:val="23827E47"/>
    <w:rsid w:val="238735C1"/>
    <w:rsid w:val="23A85CF5"/>
    <w:rsid w:val="23E243A7"/>
    <w:rsid w:val="23FF474C"/>
    <w:rsid w:val="24062738"/>
    <w:rsid w:val="24373239"/>
    <w:rsid w:val="245B0CD5"/>
    <w:rsid w:val="24A22F52"/>
    <w:rsid w:val="24CD14A7"/>
    <w:rsid w:val="24EF7670"/>
    <w:rsid w:val="24F353B2"/>
    <w:rsid w:val="25861231"/>
    <w:rsid w:val="25B12B77"/>
    <w:rsid w:val="25E35426"/>
    <w:rsid w:val="25E44CFA"/>
    <w:rsid w:val="25F3318F"/>
    <w:rsid w:val="262B0B7B"/>
    <w:rsid w:val="26461511"/>
    <w:rsid w:val="26934B1B"/>
    <w:rsid w:val="26BC58A5"/>
    <w:rsid w:val="26F71B89"/>
    <w:rsid w:val="271909D4"/>
    <w:rsid w:val="271F69C2"/>
    <w:rsid w:val="27231852"/>
    <w:rsid w:val="27337CE7"/>
    <w:rsid w:val="275859A0"/>
    <w:rsid w:val="277D0F63"/>
    <w:rsid w:val="27A26C1B"/>
    <w:rsid w:val="288E0F4E"/>
    <w:rsid w:val="29037B8D"/>
    <w:rsid w:val="29226266"/>
    <w:rsid w:val="296879F1"/>
    <w:rsid w:val="2987256D"/>
    <w:rsid w:val="298F3DBD"/>
    <w:rsid w:val="29A0362E"/>
    <w:rsid w:val="29A857CC"/>
    <w:rsid w:val="29D15E68"/>
    <w:rsid w:val="29D470E3"/>
    <w:rsid w:val="2A473AAA"/>
    <w:rsid w:val="2A571F3F"/>
    <w:rsid w:val="2A944F41"/>
    <w:rsid w:val="2AA131BA"/>
    <w:rsid w:val="2AC33130"/>
    <w:rsid w:val="2AC86999"/>
    <w:rsid w:val="2B131725"/>
    <w:rsid w:val="2B381FB0"/>
    <w:rsid w:val="2B4019A6"/>
    <w:rsid w:val="2B886128"/>
    <w:rsid w:val="2BCC070B"/>
    <w:rsid w:val="2BD31A99"/>
    <w:rsid w:val="2BE64D82"/>
    <w:rsid w:val="2BE710A1"/>
    <w:rsid w:val="2BF80C12"/>
    <w:rsid w:val="2C2C73FB"/>
    <w:rsid w:val="2C3C1B09"/>
    <w:rsid w:val="2C491D5B"/>
    <w:rsid w:val="2C5460E7"/>
    <w:rsid w:val="2C8D2853"/>
    <w:rsid w:val="2C937E06"/>
    <w:rsid w:val="2CFC5020"/>
    <w:rsid w:val="2D485B6F"/>
    <w:rsid w:val="2D7C3A6A"/>
    <w:rsid w:val="2DE53D06"/>
    <w:rsid w:val="2E0221C2"/>
    <w:rsid w:val="2E530C6F"/>
    <w:rsid w:val="2E5549E7"/>
    <w:rsid w:val="2E5B7B24"/>
    <w:rsid w:val="2F05640D"/>
    <w:rsid w:val="2F2701B6"/>
    <w:rsid w:val="2F2B3F7D"/>
    <w:rsid w:val="2F5C3B54"/>
    <w:rsid w:val="2F794705"/>
    <w:rsid w:val="2FD656B4"/>
    <w:rsid w:val="2FF63FA8"/>
    <w:rsid w:val="301D7787"/>
    <w:rsid w:val="310D15A9"/>
    <w:rsid w:val="31360A48"/>
    <w:rsid w:val="31BE28A4"/>
    <w:rsid w:val="31C32EBE"/>
    <w:rsid w:val="3200110E"/>
    <w:rsid w:val="32911D66"/>
    <w:rsid w:val="32935ADE"/>
    <w:rsid w:val="32B55A55"/>
    <w:rsid w:val="32F04CDF"/>
    <w:rsid w:val="32F522F5"/>
    <w:rsid w:val="33100861"/>
    <w:rsid w:val="33122EA7"/>
    <w:rsid w:val="335F1E64"/>
    <w:rsid w:val="33661445"/>
    <w:rsid w:val="337A0A4C"/>
    <w:rsid w:val="33B757FC"/>
    <w:rsid w:val="340622E0"/>
    <w:rsid w:val="34316ACF"/>
    <w:rsid w:val="344057F2"/>
    <w:rsid w:val="344D7F0F"/>
    <w:rsid w:val="344F3C87"/>
    <w:rsid w:val="34527549"/>
    <w:rsid w:val="345474EF"/>
    <w:rsid w:val="345C12B5"/>
    <w:rsid w:val="345E036E"/>
    <w:rsid w:val="346314E0"/>
    <w:rsid w:val="34936269"/>
    <w:rsid w:val="35134CB4"/>
    <w:rsid w:val="354D02E4"/>
    <w:rsid w:val="35B71AE4"/>
    <w:rsid w:val="35BB3831"/>
    <w:rsid w:val="35CB36F8"/>
    <w:rsid w:val="35EF1676"/>
    <w:rsid w:val="36064819"/>
    <w:rsid w:val="36107446"/>
    <w:rsid w:val="361B1921"/>
    <w:rsid w:val="36486BE0"/>
    <w:rsid w:val="36632192"/>
    <w:rsid w:val="368045CB"/>
    <w:rsid w:val="369B7657"/>
    <w:rsid w:val="36DA1F2E"/>
    <w:rsid w:val="3701395E"/>
    <w:rsid w:val="370301B9"/>
    <w:rsid w:val="37144D14"/>
    <w:rsid w:val="37704640"/>
    <w:rsid w:val="37802DC5"/>
    <w:rsid w:val="3790083E"/>
    <w:rsid w:val="37A75B88"/>
    <w:rsid w:val="37C87FD8"/>
    <w:rsid w:val="37CB1876"/>
    <w:rsid w:val="37F54B45"/>
    <w:rsid w:val="383E029A"/>
    <w:rsid w:val="384652FD"/>
    <w:rsid w:val="386F48F8"/>
    <w:rsid w:val="38966328"/>
    <w:rsid w:val="389D76B7"/>
    <w:rsid w:val="38A81BB8"/>
    <w:rsid w:val="38B44A00"/>
    <w:rsid w:val="38C369F1"/>
    <w:rsid w:val="39186D3D"/>
    <w:rsid w:val="39B06F76"/>
    <w:rsid w:val="39C81811"/>
    <w:rsid w:val="39CD5D7A"/>
    <w:rsid w:val="39D81656"/>
    <w:rsid w:val="39EB6200"/>
    <w:rsid w:val="39FA4695"/>
    <w:rsid w:val="3A2944D4"/>
    <w:rsid w:val="3A2B0CF2"/>
    <w:rsid w:val="3A2C746D"/>
    <w:rsid w:val="3A386910"/>
    <w:rsid w:val="3A477746"/>
    <w:rsid w:val="3A6164C2"/>
    <w:rsid w:val="3A8328DC"/>
    <w:rsid w:val="3AC23405"/>
    <w:rsid w:val="3AC52EF5"/>
    <w:rsid w:val="3ADD4291"/>
    <w:rsid w:val="3AFD268F"/>
    <w:rsid w:val="3B0A6B5A"/>
    <w:rsid w:val="3B1A3241"/>
    <w:rsid w:val="3B1C0294"/>
    <w:rsid w:val="3B245E6D"/>
    <w:rsid w:val="3B2F65C0"/>
    <w:rsid w:val="3B5E2A01"/>
    <w:rsid w:val="3B614C7B"/>
    <w:rsid w:val="3B7F12F6"/>
    <w:rsid w:val="3B90705F"/>
    <w:rsid w:val="3B954675"/>
    <w:rsid w:val="3BC1190E"/>
    <w:rsid w:val="3BF56022"/>
    <w:rsid w:val="3C0B3A7C"/>
    <w:rsid w:val="3C0D6901"/>
    <w:rsid w:val="3C357C06"/>
    <w:rsid w:val="3C7A386B"/>
    <w:rsid w:val="3C9506A5"/>
    <w:rsid w:val="3CC05722"/>
    <w:rsid w:val="3CD76F0F"/>
    <w:rsid w:val="3CF11D7F"/>
    <w:rsid w:val="3D163594"/>
    <w:rsid w:val="3D257C7B"/>
    <w:rsid w:val="3D3539BB"/>
    <w:rsid w:val="3D436353"/>
    <w:rsid w:val="3D446D65"/>
    <w:rsid w:val="3D8A5E81"/>
    <w:rsid w:val="3DAE1A1E"/>
    <w:rsid w:val="3DDA0BD5"/>
    <w:rsid w:val="3DFA2EB5"/>
    <w:rsid w:val="3DFF04CC"/>
    <w:rsid w:val="3E1D4DF6"/>
    <w:rsid w:val="3E2C3159"/>
    <w:rsid w:val="3E432AAE"/>
    <w:rsid w:val="3E554590"/>
    <w:rsid w:val="3E5A3954"/>
    <w:rsid w:val="3E8D6B2E"/>
    <w:rsid w:val="3EBE3EE3"/>
    <w:rsid w:val="3EC77AB5"/>
    <w:rsid w:val="3ECB4852"/>
    <w:rsid w:val="3F593C0C"/>
    <w:rsid w:val="3F765522"/>
    <w:rsid w:val="3FDF2363"/>
    <w:rsid w:val="3FEA0D08"/>
    <w:rsid w:val="400718BA"/>
    <w:rsid w:val="409C0254"/>
    <w:rsid w:val="40A9471F"/>
    <w:rsid w:val="40CF7C17"/>
    <w:rsid w:val="40E439A9"/>
    <w:rsid w:val="40F938F8"/>
    <w:rsid w:val="412A0D98"/>
    <w:rsid w:val="412C782A"/>
    <w:rsid w:val="41391F47"/>
    <w:rsid w:val="414B1AB2"/>
    <w:rsid w:val="41630D72"/>
    <w:rsid w:val="416965B3"/>
    <w:rsid w:val="417F285B"/>
    <w:rsid w:val="419B050B"/>
    <w:rsid w:val="41A81D32"/>
    <w:rsid w:val="41BE4262"/>
    <w:rsid w:val="421309EA"/>
    <w:rsid w:val="42312C1E"/>
    <w:rsid w:val="426B6130"/>
    <w:rsid w:val="42764AD5"/>
    <w:rsid w:val="42AC04F6"/>
    <w:rsid w:val="42E8477A"/>
    <w:rsid w:val="433E55F2"/>
    <w:rsid w:val="4352109E"/>
    <w:rsid w:val="43727992"/>
    <w:rsid w:val="438374A9"/>
    <w:rsid w:val="43860D47"/>
    <w:rsid w:val="43DB5537"/>
    <w:rsid w:val="43EC32A0"/>
    <w:rsid w:val="43FD725B"/>
    <w:rsid w:val="441822E7"/>
    <w:rsid w:val="441E71D2"/>
    <w:rsid w:val="443D3AFC"/>
    <w:rsid w:val="44803B69"/>
    <w:rsid w:val="44A8366B"/>
    <w:rsid w:val="44B26298"/>
    <w:rsid w:val="44E03886"/>
    <w:rsid w:val="44EA30F8"/>
    <w:rsid w:val="44FC5765"/>
    <w:rsid w:val="452B7DF8"/>
    <w:rsid w:val="45356EC9"/>
    <w:rsid w:val="45684BA8"/>
    <w:rsid w:val="45C1250B"/>
    <w:rsid w:val="45C85647"/>
    <w:rsid w:val="45CC3389"/>
    <w:rsid w:val="45ED51BC"/>
    <w:rsid w:val="46184820"/>
    <w:rsid w:val="463715EE"/>
    <w:rsid w:val="471A45C8"/>
    <w:rsid w:val="472B0583"/>
    <w:rsid w:val="47317A9B"/>
    <w:rsid w:val="473C009B"/>
    <w:rsid w:val="47451645"/>
    <w:rsid w:val="475278BE"/>
    <w:rsid w:val="476D46F8"/>
    <w:rsid w:val="477A7EB5"/>
    <w:rsid w:val="47863A0C"/>
    <w:rsid w:val="479954ED"/>
    <w:rsid w:val="47B4109C"/>
    <w:rsid w:val="47BA2C79"/>
    <w:rsid w:val="47C51615"/>
    <w:rsid w:val="47E36768"/>
    <w:rsid w:val="47E726FC"/>
    <w:rsid w:val="482E20D9"/>
    <w:rsid w:val="483B65A4"/>
    <w:rsid w:val="483D45DA"/>
    <w:rsid w:val="484511D1"/>
    <w:rsid w:val="48455675"/>
    <w:rsid w:val="48B325DE"/>
    <w:rsid w:val="48C77E38"/>
    <w:rsid w:val="48FD5D7A"/>
    <w:rsid w:val="495042D1"/>
    <w:rsid w:val="497D499A"/>
    <w:rsid w:val="49B06B1E"/>
    <w:rsid w:val="49E05655"/>
    <w:rsid w:val="49E113CD"/>
    <w:rsid w:val="4A606796"/>
    <w:rsid w:val="4B481704"/>
    <w:rsid w:val="4B59552C"/>
    <w:rsid w:val="4BAD1567"/>
    <w:rsid w:val="4BAF3531"/>
    <w:rsid w:val="4BEF1B80"/>
    <w:rsid w:val="4BF76C86"/>
    <w:rsid w:val="4C3752D5"/>
    <w:rsid w:val="4C4F35BC"/>
    <w:rsid w:val="4C681932"/>
    <w:rsid w:val="4CF43964"/>
    <w:rsid w:val="4D001B6A"/>
    <w:rsid w:val="4D090A1F"/>
    <w:rsid w:val="4D4952BF"/>
    <w:rsid w:val="4D5123C6"/>
    <w:rsid w:val="4D7402E1"/>
    <w:rsid w:val="4D9F3131"/>
    <w:rsid w:val="4DE47469"/>
    <w:rsid w:val="4E0C2ABC"/>
    <w:rsid w:val="4E1753BE"/>
    <w:rsid w:val="4E575062"/>
    <w:rsid w:val="4E760C3B"/>
    <w:rsid w:val="4EE51018"/>
    <w:rsid w:val="4F7F6C87"/>
    <w:rsid w:val="4F840831"/>
    <w:rsid w:val="4FB530E0"/>
    <w:rsid w:val="4FEE214E"/>
    <w:rsid w:val="50175B49"/>
    <w:rsid w:val="50521F46"/>
    <w:rsid w:val="505B3C87"/>
    <w:rsid w:val="508B122D"/>
    <w:rsid w:val="50926F7D"/>
    <w:rsid w:val="513F0D1B"/>
    <w:rsid w:val="51441FBC"/>
    <w:rsid w:val="514A5AAA"/>
    <w:rsid w:val="514F30C0"/>
    <w:rsid w:val="5156444F"/>
    <w:rsid w:val="51621046"/>
    <w:rsid w:val="51EB2DE9"/>
    <w:rsid w:val="521265C8"/>
    <w:rsid w:val="521E31BF"/>
    <w:rsid w:val="524331A6"/>
    <w:rsid w:val="52C673B2"/>
    <w:rsid w:val="52D47D21"/>
    <w:rsid w:val="52D95337"/>
    <w:rsid w:val="52D970E6"/>
    <w:rsid w:val="52F932E4"/>
    <w:rsid w:val="53195734"/>
    <w:rsid w:val="532C5467"/>
    <w:rsid w:val="53430A03"/>
    <w:rsid w:val="536A5F90"/>
    <w:rsid w:val="53852D75"/>
    <w:rsid w:val="53A56FC8"/>
    <w:rsid w:val="541F321E"/>
    <w:rsid w:val="549E4143"/>
    <w:rsid w:val="54A13C33"/>
    <w:rsid w:val="54A92AE8"/>
    <w:rsid w:val="54C33BA9"/>
    <w:rsid w:val="551B39E5"/>
    <w:rsid w:val="55346855"/>
    <w:rsid w:val="555A336D"/>
    <w:rsid w:val="5560589C"/>
    <w:rsid w:val="55676C2B"/>
    <w:rsid w:val="5588094F"/>
    <w:rsid w:val="55AE4859"/>
    <w:rsid w:val="55CE4439"/>
    <w:rsid w:val="55CF0B80"/>
    <w:rsid w:val="55E262B1"/>
    <w:rsid w:val="55F81F79"/>
    <w:rsid w:val="55FA527D"/>
    <w:rsid w:val="561D378D"/>
    <w:rsid w:val="56384123"/>
    <w:rsid w:val="564B1F53"/>
    <w:rsid w:val="565D3B8A"/>
    <w:rsid w:val="566E223B"/>
    <w:rsid w:val="567315FF"/>
    <w:rsid w:val="56911ADB"/>
    <w:rsid w:val="5697353F"/>
    <w:rsid w:val="56C43C09"/>
    <w:rsid w:val="56D57BC4"/>
    <w:rsid w:val="56FA762A"/>
    <w:rsid w:val="57601B83"/>
    <w:rsid w:val="576D604E"/>
    <w:rsid w:val="578B6BE8"/>
    <w:rsid w:val="57B55DF9"/>
    <w:rsid w:val="57BB500C"/>
    <w:rsid w:val="58070251"/>
    <w:rsid w:val="587A4EC7"/>
    <w:rsid w:val="587D6765"/>
    <w:rsid w:val="588B0E82"/>
    <w:rsid w:val="588E44CE"/>
    <w:rsid w:val="58EF1411"/>
    <w:rsid w:val="59142C25"/>
    <w:rsid w:val="591C5F7E"/>
    <w:rsid w:val="592B7F6F"/>
    <w:rsid w:val="593C03CE"/>
    <w:rsid w:val="5946528D"/>
    <w:rsid w:val="596671F9"/>
    <w:rsid w:val="59A0095D"/>
    <w:rsid w:val="59B144D1"/>
    <w:rsid w:val="59B27EAA"/>
    <w:rsid w:val="59B61F2F"/>
    <w:rsid w:val="59CD1026"/>
    <w:rsid w:val="59DB3743"/>
    <w:rsid w:val="59DD205E"/>
    <w:rsid w:val="59EA31D2"/>
    <w:rsid w:val="5A0A04CC"/>
    <w:rsid w:val="5A0C1B4F"/>
    <w:rsid w:val="5A0E3B19"/>
    <w:rsid w:val="5A7D0C9E"/>
    <w:rsid w:val="5A8913F1"/>
    <w:rsid w:val="5A902780"/>
    <w:rsid w:val="5A912133"/>
    <w:rsid w:val="5A92474A"/>
    <w:rsid w:val="5AAE2C06"/>
    <w:rsid w:val="5AE96334"/>
    <w:rsid w:val="5B01367D"/>
    <w:rsid w:val="5B152C85"/>
    <w:rsid w:val="5B6219E0"/>
    <w:rsid w:val="5BBB1571"/>
    <w:rsid w:val="5BC30933"/>
    <w:rsid w:val="5C03363F"/>
    <w:rsid w:val="5C0F2E1E"/>
    <w:rsid w:val="5C2E04A2"/>
    <w:rsid w:val="5C5B0B6B"/>
    <w:rsid w:val="5C744E01"/>
    <w:rsid w:val="5C7D4F86"/>
    <w:rsid w:val="5C8320B0"/>
    <w:rsid w:val="5CB84210"/>
    <w:rsid w:val="5CF214D0"/>
    <w:rsid w:val="5CF54B1C"/>
    <w:rsid w:val="5CF83777"/>
    <w:rsid w:val="5D177188"/>
    <w:rsid w:val="5D2D23B6"/>
    <w:rsid w:val="5DB03139"/>
    <w:rsid w:val="5DC0337C"/>
    <w:rsid w:val="5DDA18BF"/>
    <w:rsid w:val="5E0A2849"/>
    <w:rsid w:val="5E4044BD"/>
    <w:rsid w:val="5E897C12"/>
    <w:rsid w:val="5E916AC6"/>
    <w:rsid w:val="5ED02B1C"/>
    <w:rsid w:val="5F0B7D72"/>
    <w:rsid w:val="5F166FCB"/>
    <w:rsid w:val="5FCF3D4A"/>
    <w:rsid w:val="6065020A"/>
    <w:rsid w:val="60A6305A"/>
    <w:rsid w:val="60C50CA9"/>
    <w:rsid w:val="60D04B86"/>
    <w:rsid w:val="60D25143"/>
    <w:rsid w:val="611D2893"/>
    <w:rsid w:val="61447E20"/>
    <w:rsid w:val="615B2E7E"/>
    <w:rsid w:val="61BD395C"/>
    <w:rsid w:val="61E97A82"/>
    <w:rsid w:val="61F25ACE"/>
    <w:rsid w:val="61F335F4"/>
    <w:rsid w:val="621E2D67"/>
    <w:rsid w:val="627209BD"/>
    <w:rsid w:val="629506A5"/>
    <w:rsid w:val="629E7A04"/>
    <w:rsid w:val="62B334AF"/>
    <w:rsid w:val="62C351CA"/>
    <w:rsid w:val="62D90A3C"/>
    <w:rsid w:val="633D0FCB"/>
    <w:rsid w:val="63536A40"/>
    <w:rsid w:val="63A252D2"/>
    <w:rsid w:val="63A728E8"/>
    <w:rsid w:val="63B03E93"/>
    <w:rsid w:val="63E61662"/>
    <w:rsid w:val="640146EE"/>
    <w:rsid w:val="64191A38"/>
    <w:rsid w:val="641A7AF6"/>
    <w:rsid w:val="641C6E32"/>
    <w:rsid w:val="64487CD5"/>
    <w:rsid w:val="6453662C"/>
    <w:rsid w:val="64801AB7"/>
    <w:rsid w:val="64AA2690"/>
    <w:rsid w:val="65605444"/>
    <w:rsid w:val="659770B8"/>
    <w:rsid w:val="65A94671"/>
    <w:rsid w:val="65AE7F5E"/>
    <w:rsid w:val="65B431E5"/>
    <w:rsid w:val="66097669"/>
    <w:rsid w:val="662B7800"/>
    <w:rsid w:val="662D5327"/>
    <w:rsid w:val="66F95B50"/>
    <w:rsid w:val="67050051"/>
    <w:rsid w:val="674C1F87"/>
    <w:rsid w:val="67B37AAD"/>
    <w:rsid w:val="67B83316"/>
    <w:rsid w:val="67BD3CBF"/>
    <w:rsid w:val="67C24194"/>
    <w:rsid w:val="67DB7004"/>
    <w:rsid w:val="67F325A0"/>
    <w:rsid w:val="68224C33"/>
    <w:rsid w:val="6865349E"/>
    <w:rsid w:val="68666C30"/>
    <w:rsid w:val="68AB69D7"/>
    <w:rsid w:val="68F16ADF"/>
    <w:rsid w:val="690347A6"/>
    <w:rsid w:val="693115D2"/>
    <w:rsid w:val="693A5826"/>
    <w:rsid w:val="69BE2739"/>
    <w:rsid w:val="6A16635A"/>
    <w:rsid w:val="6A4E526C"/>
    <w:rsid w:val="6A5C61DA"/>
    <w:rsid w:val="6AB16D4F"/>
    <w:rsid w:val="6ADB7A47"/>
    <w:rsid w:val="6B014FD4"/>
    <w:rsid w:val="6B0E3445"/>
    <w:rsid w:val="6B182A49"/>
    <w:rsid w:val="6B4078AA"/>
    <w:rsid w:val="6B9D6AAA"/>
    <w:rsid w:val="6BA50055"/>
    <w:rsid w:val="6BD61E2E"/>
    <w:rsid w:val="6C0C363E"/>
    <w:rsid w:val="6C1672C1"/>
    <w:rsid w:val="6C272818"/>
    <w:rsid w:val="6C73229B"/>
    <w:rsid w:val="6C8F6BC2"/>
    <w:rsid w:val="6CAE6A95"/>
    <w:rsid w:val="6CD96208"/>
    <w:rsid w:val="6D082649"/>
    <w:rsid w:val="6D1C6D87"/>
    <w:rsid w:val="6D4F0278"/>
    <w:rsid w:val="6D6B6F58"/>
    <w:rsid w:val="6D7952F5"/>
    <w:rsid w:val="6D82064E"/>
    <w:rsid w:val="6D9D7236"/>
    <w:rsid w:val="6DC04CD2"/>
    <w:rsid w:val="6DEA1D4F"/>
    <w:rsid w:val="6DF42BCE"/>
    <w:rsid w:val="6E2C05BA"/>
    <w:rsid w:val="6E8757F0"/>
    <w:rsid w:val="6EAE0FCF"/>
    <w:rsid w:val="6F437969"/>
    <w:rsid w:val="6F4E5D12"/>
    <w:rsid w:val="6F5222A2"/>
    <w:rsid w:val="6F6454C9"/>
    <w:rsid w:val="6F683873"/>
    <w:rsid w:val="6F8D27C3"/>
    <w:rsid w:val="6FA56875"/>
    <w:rsid w:val="6FBD596D"/>
    <w:rsid w:val="6FC7059A"/>
    <w:rsid w:val="70223A22"/>
    <w:rsid w:val="7036127C"/>
    <w:rsid w:val="7080580F"/>
    <w:rsid w:val="709F0A11"/>
    <w:rsid w:val="70B054D2"/>
    <w:rsid w:val="70DE203F"/>
    <w:rsid w:val="70F133F4"/>
    <w:rsid w:val="70F84783"/>
    <w:rsid w:val="71FD64F5"/>
    <w:rsid w:val="720C498A"/>
    <w:rsid w:val="72247F25"/>
    <w:rsid w:val="72B648F6"/>
    <w:rsid w:val="72E17BC5"/>
    <w:rsid w:val="7300671A"/>
    <w:rsid w:val="73012015"/>
    <w:rsid w:val="733028FA"/>
    <w:rsid w:val="73337CF4"/>
    <w:rsid w:val="734C02A3"/>
    <w:rsid w:val="735760D9"/>
    <w:rsid w:val="735D2FC3"/>
    <w:rsid w:val="73702CF6"/>
    <w:rsid w:val="73DB2866"/>
    <w:rsid w:val="742E508B"/>
    <w:rsid w:val="744A74A4"/>
    <w:rsid w:val="746A1E3C"/>
    <w:rsid w:val="748D6B9A"/>
    <w:rsid w:val="749018A2"/>
    <w:rsid w:val="74DD616A"/>
    <w:rsid w:val="750E6C6B"/>
    <w:rsid w:val="7530098F"/>
    <w:rsid w:val="755469EE"/>
    <w:rsid w:val="75B72E5F"/>
    <w:rsid w:val="75D21089"/>
    <w:rsid w:val="75E748B4"/>
    <w:rsid w:val="75F95225"/>
    <w:rsid w:val="76045978"/>
    <w:rsid w:val="7627284F"/>
    <w:rsid w:val="763E70DC"/>
    <w:rsid w:val="76A92DB6"/>
    <w:rsid w:val="76B5566B"/>
    <w:rsid w:val="76DF08BF"/>
    <w:rsid w:val="771D4F43"/>
    <w:rsid w:val="77536BB7"/>
    <w:rsid w:val="775F730A"/>
    <w:rsid w:val="77620166"/>
    <w:rsid w:val="777D59E2"/>
    <w:rsid w:val="78146346"/>
    <w:rsid w:val="787B0173"/>
    <w:rsid w:val="78886D34"/>
    <w:rsid w:val="789B6A68"/>
    <w:rsid w:val="78A3591C"/>
    <w:rsid w:val="78A771BA"/>
    <w:rsid w:val="78A91184"/>
    <w:rsid w:val="78B95140"/>
    <w:rsid w:val="78D15FE5"/>
    <w:rsid w:val="79444A09"/>
    <w:rsid w:val="79501600"/>
    <w:rsid w:val="79556C16"/>
    <w:rsid w:val="79955265"/>
    <w:rsid w:val="79AE27CB"/>
    <w:rsid w:val="79D0629D"/>
    <w:rsid w:val="7A17211E"/>
    <w:rsid w:val="7A2B7977"/>
    <w:rsid w:val="7A612377"/>
    <w:rsid w:val="7AA03EC1"/>
    <w:rsid w:val="7AAF2356"/>
    <w:rsid w:val="7AE446F6"/>
    <w:rsid w:val="7B09415C"/>
    <w:rsid w:val="7B512CCA"/>
    <w:rsid w:val="7B707D38"/>
    <w:rsid w:val="7BB0282A"/>
    <w:rsid w:val="7BB87930"/>
    <w:rsid w:val="7BC2255D"/>
    <w:rsid w:val="7BED1F16"/>
    <w:rsid w:val="7C2A5360"/>
    <w:rsid w:val="7C5326C5"/>
    <w:rsid w:val="7C6E2130"/>
    <w:rsid w:val="7CD82038"/>
    <w:rsid w:val="7CDB38D7"/>
    <w:rsid w:val="7D1E78A7"/>
    <w:rsid w:val="7D23702C"/>
    <w:rsid w:val="7D4F6073"/>
    <w:rsid w:val="7DBE6BE3"/>
    <w:rsid w:val="7DEB7B49"/>
    <w:rsid w:val="7E0672CB"/>
    <w:rsid w:val="7E097FCF"/>
    <w:rsid w:val="7E127E42"/>
    <w:rsid w:val="7E2748F9"/>
    <w:rsid w:val="7E7062A0"/>
    <w:rsid w:val="7E98191C"/>
    <w:rsid w:val="7EAA7A04"/>
    <w:rsid w:val="7EC81C39"/>
    <w:rsid w:val="7F1255AA"/>
    <w:rsid w:val="7F1B445E"/>
    <w:rsid w:val="7F2826D7"/>
    <w:rsid w:val="7F405C73"/>
    <w:rsid w:val="7F453289"/>
    <w:rsid w:val="7F6F6558"/>
    <w:rsid w:val="7F802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680"/>
        <w:tab w:val="right" w:pos="9360"/>
      </w:tabs>
      <w:spacing w:after="0" w:line="240" w:lineRule="auto"/>
    </w:pPr>
  </w:style>
  <w:style w:type="table" w:styleId="4">
    <w:name w:val="Table Grid"/>
    <w:basedOn w:val="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2451</Words>
  <Characters>12985</Characters>
  <Lines>0</Lines>
  <Paragraphs>0</Paragraphs>
  <TotalTime>23</TotalTime>
  <ScaleCrop>false</ScaleCrop>
  <LinksUpToDate>false</LinksUpToDate>
  <CharactersWithSpaces>15233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2026-07-14T11:27:00Z</dcterms:created>
  <dc:creator>Fei</dc:creator>
  <cp:lastModifiedBy>Fei</cp:lastModifiedBy>
  <dcterms:modified xsi:type="dcterms:W3CDTF">2026-07-17T07:38:39Z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F155A00433B049989FE4FC5B66E75F59_11</vt:lpwstr>
  </property>
  <property fmtid="{D5CDD505-2E9C-101B-9397-08002B2CF9AE}" pid="4" name="KSOTemplateDocerSaveRecord">
    <vt:lpwstr>eyJoZGlkIjoiYzk5ZGIwODEyNGM0NWU1Mjc4YWVlZDA2N2NmOWVlNzUiLCJ1c2VySWQiOiIyOTA3OTYxMjYifQ==</vt:lpwstr>
  </property>
</Properties>
</file>