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40F6" w14:textId="77777777" w:rsidR="00F52884" w:rsidRPr="00EC64EE" w:rsidRDefault="00F52884" w:rsidP="00F52884">
      <w:pPr>
        <w:pStyle w:val="h1-titlepage"/>
        <w:rPr>
          <w:rFonts w:cs="Times New Roman"/>
        </w:rPr>
      </w:pPr>
      <w:r w:rsidRPr="00EC64EE">
        <w:rPr>
          <w:rFonts w:cs="Times New Roman"/>
        </w:rPr>
        <w:t xml:space="preserve">Influence of Daytime Short-Wavelength Dominant Electric Light Exposure on Human Alertness </w:t>
      </w:r>
      <w:proofErr w:type="gramStart"/>
      <w:r w:rsidRPr="00EC64EE">
        <w:rPr>
          <w:rFonts w:cs="Times New Roman"/>
        </w:rPr>
        <w:t>And</w:t>
      </w:r>
      <w:proofErr w:type="gramEnd"/>
      <w:r w:rsidRPr="00EC64EE">
        <w:rPr>
          <w:rFonts w:cs="Times New Roman"/>
        </w:rPr>
        <w:t xml:space="preserve"> Higher Cognitive Functions: A CIE S026-Based Pilot Study.</w:t>
      </w:r>
    </w:p>
    <w:p w14:paraId="599ED144" w14:textId="77777777" w:rsidR="00AE363D" w:rsidRPr="00EC64EE" w:rsidRDefault="00000000">
      <w:pPr>
        <w:pStyle w:val="Author"/>
        <w:rPr>
          <w:rFonts w:cs="Times New Roman"/>
        </w:rPr>
      </w:pPr>
      <w:r w:rsidRPr="00EC64EE">
        <w:rPr>
          <w:rFonts w:cs="Times New Roman"/>
        </w:rPr>
        <w:t>Mushfiqul Anwar Siraji</w:t>
      </w:r>
      <w:r w:rsidRPr="00EC64EE">
        <w:rPr>
          <w:rFonts w:cs="Times New Roman"/>
          <w:vertAlign w:val="superscript"/>
        </w:rPr>
        <w:t>1</w:t>
      </w:r>
      <w:r w:rsidRPr="00EC64EE">
        <w:rPr>
          <w:rFonts w:cs="Times New Roman"/>
        </w:rPr>
        <w:t>, Yi Jiau Saw</w:t>
      </w:r>
      <w:r w:rsidRPr="00EC64EE">
        <w:rPr>
          <w:rFonts w:cs="Times New Roman"/>
          <w:vertAlign w:val="superscript"/>
        </w:rPr>
        <w:t>2</w:t>
      </w:r>
      <w:r w:rsidRPr="00EC64EE">
        <w:rPr>
          <w:rFonts w:cs="Times New Roman"/>
        </w:rPr>
        <w:t>, Vineetha Kalavally</w:t>
      </w:r>
      <w:r w:rsidRPr="00EC64EE">
        <w:rPr>
          <w:rFonts w:cs="Times New Roman"/>
          <w:vertAlign w:val="superscript"/>
        </w:rPr>
        <w:t>2</w:t>
      </w:r>
      <w:r w:rsidRPr="00EC64EE">
        <w:rPr>
          <w:rFonts w:cs="Times New Roman"/>
        </w:rPr>
        <w:t>, &amp; Shamsul Haque</w:t>
      </w:r>
      <w:r w:rsidRPr="00EC64EE">
        <w:rPr>
          <w:rFonts w:cs="Times New Roman"/>
          <w:vertAlign w:val="superscript"/>
        </w:rPr>
        <w:t>1</w:t>
      </w:r>
    </w:p>
    <w:p w14:paraId="599ED145" w14:textId="77777777" w:rsidR="00AE363D" w:rsidRPr="00EC64EE" w:rsidRDefault="00000000">
      <w:pPr>
        <w:pStyle w:val="Author"/>
        <w:rPr>
          <w:rFonts w:cs="Times New Roman"/>
        </w:rPr>
      </w:pPr>
      <w:r w:rsidRPr="00EC64EE">
        <w:rPr>
          <w:rFonts w:cs="Times New Roman"/>
          <w:vertAlign w:val="superscript"/>
        </w:rPr>
        <w:t>1</w:t>
      </w:r>
      <w:r w:rsidRPr="00EC64EE">
        <w:rPr>
          <w:rFonts w:cs="Times New Roman"/>
        </w:rPr>
        <w:t xml:space="preserve"> Monash University, Department of Psychology, Jeffrey Cheah School of Medicine and Health Sciences, Malaysia</w:t>
      </w:r>
    </w:p>
    <w:p w14:paraId="599ED146" w14:textId="76D2E6D7" w:rsidR="00AE363D" w:rsidRPr="00EC64EE" w:rsidRDefault="00000000">
      <w:pPr>
        <w:pStyle w:val="Author"/>
        <w:rPr>
          <w:rFonts w:cs="Times New Roman"/>
        </w:rPr>
      </w:pPr>
      <w:r w:rsidRPr="00EC64EE">
        <w:rPr>
          <w:rFonts w:cs="Times New Roman"/>
          <w:vertAlign w:val="superscript"/>
        </w:rPr>
        <w:t>2</w:t>
      </w:r>
      <w:r w:rsidRPr="00EC64EE">
        <w:rPr>
          <w:rFonts w:cs="Times New Roman"/>
        </w:rPr>
        <w:t xml:space="preserve"> Monash University, Department of Electrical and Computer Systems Engineering, Malaysia, Selangor, Malaysia</w:t>
      </w:r>
    </w:p>
    <w:p w14:paraId="599ED147" w14:textId="46264FFE" w:rsidR="00AE363D" w:rsidRPr="00EC64EE" w:rsidRDefault="00C31C81" w:rsidP="00EC64EE">
      <w:pPr>
        <w:pStyle w:val="BodyText"/>
        <w:ind w:firstLine="0"/>
        <w:rPr>
          <w:rFonts w:cs="Times New Roman"/>
        </w:rPr>
      </w:pPr>
      <w:r w:rsidRPr="00EC64EE">
        <w:rPr>
          <w:rFonts w:cs="Times New Roman"/>
        </w:rPr>
        <w:t>Correspondence concerning this article should be addressed to Mr</w:t>
      </w:r>
      <w:r w:rsidR="005E71B3">
        <w:rPr>
          <w:rFonts w:cs="Times New Roman"/>
        </w:rPr>
        <w:t>.</w:t>
      </w:r>
      <w:r w:rsidRPr="00EC64EE">
        <w:rPr>
          <w:rFonts w:cs="Times New Roman"/>
        </w:rPr>
        <w:t xml:space="preserve"> Mushfiqul Anwar Siraji</w:t>
      </w:r>
      <w:r w:rsidR="00E8099E" w:rsidRPr="00EC64EE">
        <w:rPr>
          <w:rFonts w:cs="Times New Roman"/>
        </w:rPr>
        <w:t xml:space="preserve">. </w:t>
      </w:r>
      <w:r w:rsidRPr="00EC64EE">
        <w:rPr>
          <w:rFonts w:cs="Times New Roman"/>
        </w:rPr>
        <w:t xml:space="preserve"> </w:t>
      </w:r>
      <w:proofErr w:type="gramStart"/>
      <w:r w:rsidRPr="00EC64EE">
        <w:rPr>
          <w:rFonts w:cs="Times New Roman"/>
        </w:rPr>
        <w:t>E-mail:</w:t>
      </w:r>
      <w:r w:rsidR="00EC64EE" w:rsidRPr="00EC64EE">
        <w:rPr>
          <w:rFonts w:cs="Times New Roman"/>
        </w:rPr>
        <w:t>m</w:t>
      </w:r>
      <w:r w:rsidRPr="00EC64EE">
        <w:rPr>
          <w:rFonts w:cs="Times New Roman"/>
        </w:rPr>
        <w:t>ushfiqul.anwarsiraji@monash.ed</w:t>
      </w:r>
      <w:r w:rsidR="00EC64EE" w:rsidRPr="00EC64EE">
        <w:rPr>
          <w:rFonts w:cs="Times New Roman"/>
        </w:rPr>
        <w:t>u</w:t>
      </w:r>
      <w:proofErr w:type="gramEnd"/>
      <w:r w:rsidRPr="00EC64EE">
        <w:rPr>
          <w:rFonts w:cs="Times New Roma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99ED148" w14:textId="77777777" w:rsidR="00AE363D" w:rsidRPr="00EC64EE" w:rsidRDefault="00000000">
      <w:pPr>
        <w:pStyle w:val="BodyText"/>
        <w:rPr>
          <w:rFonts w:cs="Times New Roman"/>
        </w:rPr>
      </w:pPr>
      <w:r w:rsidRPr="00EC64EE">
        <w:rPr>
          <w:rFonts w:cs="Times New Roman"/>
        </w:rPr>
        <w:t> </w:t>
      </w:r>
    </w:p>
    <w:p w14:paraId="599ED149" w14:textId="77777777" w:rsidR="00AE363D" w:rsidRPr="00EC64EE" w:rsidRDefault="00000000">
      <w:pPr>
        <w:pStyle w:val="BodyText"/>
        <w:rPr>
          <w:rFonts w:cs="Times New Roman"/>
        </w:rPr>
      </w:pPr>
      <w:r w:rsidRPr="00EC64EE">
        <w:rPr>
          <w:rFonts w:cs="Times New Roman"/>
        </w:rPr>
        <w:t> </w:t>
      </w:r>
    </w:p>
    <w:p w14:paraId="599ED14A" w14:textId="77777777" w:rsidR="00AE363D" w:rsidRPr="00EC64EE" w:rsidRDefault="00000000">
      <w:pPr>
        <w:pStyle w:val="BodyText"/>
        <w:rPr>
          <w:rFonts w:cs="Times New Roman"/>
        </w:rPr>
      </w:pPr>
      <w:r w:rsidRPr="00EC64EE">
        <w:rPr>
          <w:rFonts w:cs="Times New Roman"/>
        </w:rPr>
        <w:t> </w:t>
      </w:r>
    </w:p>
    <w:p w14:paraId="599ED14B" w14:textId="77777777" w:rsidR="00AE363D" w:rsidRPr="00EC64EE" w:rsidRDefault="00000000">
      <w:pPr>
        <w:pStyle w:val="BodyText"/>
        <w:rPr>
          <w:rFonts w:cs="Times New Roman"/>
        </w:rPr>
      </w:pPr>
      <w:r w:rsidRPr="00EC64EE">
        <w:rPr>
          <w:rFonts w:cs="Times New Roman"/>
        </w:rPr>
        <w:t> </w:t>
      </w:r>
    </w:p>
    <w:p w14:paraId="599ED14C" w14:textId="77777777" w:rsidR="00AE363D" w:rsidRPr="00EC64EE" w:rsidRDefault="00000000">
      <w:pPr>
        <w:pStyle w:val="BodyText"/>
        <w:rPr>
          <w:rFonts w:cs="Times New Roman"/>
        </w:rPr>
      </w:pPr>
      <w:r w:rsidRPr="00EC64EE">
        <w:rPr>
          <w:rFonts w:cs="Times New Roman"/>
        </w:rPr>
        <w:t> </w:t>
      </w:r>
    </w:p>
    <w:p w14:paraId="599ED14D" w14:textId="77777777" w:rsidR="00AE363D" w:rsidRPr="00EC64EE" w:rsidRDefault="00000000">
      <w:pPr>
        <w:pStyle w:val="BodyText"/>
        <w:rPr>
          <w:rFonts w:cs="Times New Roman"/>
        </w:rPr>
      </w:pPr>
      <w:r w:rsidRPr="00EC64EE">
        <w:rPr>
          <w:rFonts w:cs="Times New Roman"/>
        </w:rPr>
        <w:t> </w:t>
      </w:r>
    </w:p>
    <w:p w14:paraId="599ED153" w14:textId="77777777" w:rsidR="00AE363D" w:rsidRPr="00EC64EE" w:rsidRDefault="00000000">
      <w:pPr>
        <w:pStyle w:val="h1-pagebreak"/>
        <w:rPr>
          <w:rFonts w:cs="Times New Roman"/>
          <w:b/>
          <w:bCs w:val="0"/>
        </w:rPr>
      </w:pPr>
      <w:r w:rsidRPr="00EC64EE">
        <w:rPr>
          <w:rFonts w:cs="Times New Roman"/>
          <w:b/>
          <w:bCs w:val="0"/>
        </w:rPr>
        <w:lastRenderedPageBreak/>
        <w:t>Abstract</w:t>
      </w:r>
    </w:p>
    <w:p w14:paraId="5EAA8177" w14:textId="55DA13D1" w:rsidR="005A0DF1" w:rsidRPr="00EC64EE" w:rsidRDefault="005A0DF1" w:rsidP="005A0DF1">
      <w:pPr>
        <w:jc w:val="both"/>
        <w:rPr>
          <w:rFonts w:cs="Times New Roman"/>
        </w:rPr>
      </w:pPr>
      <w:r w:rsidRPr="00EC64EE">
        <w:rPr>
          <w:rFonts w:cs="Times New Roman"/>
        </w:rPr>
        <w:t xml:space="preserve">We tested the effect of daytime short-wavelength dominant light exposure on alertness and higher cognitive functions among university students using spectrally tunable lights. Participants (n = 24; mean age ± SD = 23.96 ± 2.42 years; 8 F) were randomized to a two-hour daytime exposure to one of three light conditions with photopic illuminance maintained at </w:t>
      </w:r>
      <w:r w:rsidR="006360D5">
        <w:rPr>
          <w:rFonts w:cs="Times New Roman"/>
        </w:rPr>
        <w:t>XXX</w:t>
      </w:r>
      <w:r w:rsidRPr="00EC64EE">
        <w:rPr>
          <w:rFonts w:cs="Times New Roman"/>
        </w:rPr>
        <w:t xml:space="preserve"> lx; measured at horizontal plane at </w:t>
      </w:r>
      <w:r w:rsidR="006360D5">
        <w:rPr>
          <w:rFonts w:cs="Times New Roman"/>
        </w:rPr>
        <w:t>XX</w:t>
      </w:r>
      <w:r w:rsidRPr="00EC64EE">
        <w:rPr>
          <w:rFonts w:cs="Times New Roman"/>
        </w:rPr>
        <w:t xml:space="preserve"> and </w:t>
      </w:r>
      <w:r w:rsidR="006360D5">
        <w:rPr>
          <w:rFonts w:cs="Times New Roman"/>
        </w:rPr>
        <w:t>XX</w:t>
      </w:r>
      <w:r w:rsidRPr="00EC64EE">
        <w:rPr>
          <w:rFonts w:cs="Times New Roman"/>
        </w:rPr>
        <w:t xml:space="preserve"> lx measured at eye level vertical plane at </w:t>
      </w:r>
      <w:r w:rsidR="006360D5">
        <w:rPr>
          <w:rFonts w:cs="Times New Roman"/>
        </w:rPr>
        <w:t>XX</w:t>
      </w:r>
      <w:r w:rsidRPr="00EC64EE">
        <w:rPr>
          <w:rFonts w:cs="Times New Roman"/>
        </w:rPr>
        <w:t xml:space="preserve"> with three different melanopic daylight efficacy ratio (MDER; High: </w:t>
      </w:r>
      <w:r w:rsidR="006360D5">
        <w:rPr>
          <w:rFonts w:cs="Times New Roman"/>
        </w:rPr>
        <w:t>XX</w:t>
      </w:r>
      <w:r w:rsidRPr="00EC64EE">
        <w:rPr>
          <w:rFonts w:cs="Times New Roman"/>
        </w:rPr>
        <w:t xml:space="preserve"> MDER, </w:t>
      </w:r>
      <w:r w:rsidR="006360D5">
        <w:rPr>
          <w:rFonts w:cs="Times New Roman"/>
        </w:rPr>
        <w:t>XX</w:t>
      </w:r>
      <w:r w:rsidRPr="00EC64EE">
        <w:rPr>
          <w:rFonts w:cs="Times New Roman"/>
        </w:rPr>
        <w:t xml:space="preserve"> MEDI, </w:t>
      </w:r>
      <w:r w:rsidR="006360D5">
        <w:rPr>
          <w:rFonts w:cs="Times New Roman"/>
        </w:rPr>
        <w:t>XX</w:t>
      </w:r>
      <w:r w:rsidRPr="00EC64EE">
        <w:rPr>
          <w:rFonts w:cs="Times New Roman"/>
        </w:rPr>
        <w:t xml:space="preserve"> K; Neutral: </w:t>
      </w:r>
      <w:r w:rsidR="006360D5">
        <w:rPr>
          <w:rFonts w:cs="Times New Roman"/>
        </w:rPr>
        <w:t>XX</w:t>
      </w:r>
      <w:r w:rsidRPr="00EC64EE">
        <w:rPr>
          <w:rFonts w:cs="Times New Roman"/>
        </w:rPr>
        <w:t xml:space="preserve"> MDER, </w:t>
      </w:r>
      <w:r w:rsidR="00B43908">
        <w:rPr>
          <w:rFonts w:cs="Times New Roman"/>
        </w:rPr>
        <w:t>XX</w:t>
      </w:r>
      <w:r w:rsidRPr="00EC64EE">
        <w:rPr>
          <w:rFonts w:cs="Times New Roman"/>
        </w:rPr>
        <w:t xml:space="preserve"> MEDI, </w:t>
      </w:r>
      <w:r w:rsidR="00B43908">
        <w:rPr>
          <w:rFonts w:cs="Times New Roman"/>
        </w:rPr>
        <w:t>XX</w:t>
      </w:r>
      <w:r w:rsidRPr="00EC64EE">
        <w:rPr>
          <w:rFonts w:cs="Times New Roman"/>
        </w:rPr>
        <w:t xml:space="preserve">, Low: </w:t>
      </w:r>
      <w:r w:rsidR="00B43908">
        <w:rPr>
          <w:rFonts w:cs="Times New Roman"/>
        </w:rPr>
        <w:t>XX</w:t>
      </w:r>
      <w:r w:rsidRPr="00EC64EE">
        <w:rPr>
          <w:rFonts w:cs="Times New Roman"/>
        </w:rPr>
        <w:t xml:space="preserve"> MDER,</w:t>
      </w:r>
      <w:r w:rsidR="00B43908">
        <w:rPr>
          <w:rFonts w:cs="Times New Roman"/>
        </w:rPr>
        <w:t xml:space="preserve"> XX</w:t>
      </w:r>
      <w:r w:rsidRPr="00EC64EE">
        <w:rPr>
          <w:rFonts w:cs="Times New Roman"/>
        </w:rPr>
        <w:t xml:space="preserve"> MEDI, </w:t>
      </w:r>
      <w:r w:rsidR="00B43908">
        <w:rPr>
          <w:rFonts w:cs="Times New Roman"/>
        </w:rPr>
        <w:t>XX</w:t>
      </w:r>
      <w:r w:rsidRPr="00EC64EE">
        <w:rPr>
          <w:rFonts w:cs="Times New Roman"/>
        </w:rPr>
        <w:t xml:space="preserve"> CCT).  Along with subjective measures of alertness, a robust cognitive battery including auditory psychomotor vigilance task (</w:t>
      </w:r>
      <w:proofErr w:type="spellStart"/>
      <w:r w:rsidRPr="00EC64EE">
        <w:rPr>
          <w:rFonts w:cs="Times New Roman"/>
        </w:rPr>
        <w:t>aPVT</w:t>
      </w:r>
      <w:proofErr w:type="spellEnd"/>
      <w:r w:rsidRPr="00EC64EE">
        <w:rPr>
          <w:rFonts w:cs="Times New Roman"/>
        </w:rPr>
        <w:t xml:space="preserve">), N-back task, digit-span, and tower of London were administered to measure attention and higher cognitive functions. A significant main effect of light exposure (p =0.01, </w:t>
      </w:r>
      <w:r w:rsidRPr="00EC64EE">
        <w:rPr>
          <w:rFonts w:cs="Times New Roman"/>
          <w:lang w:val="el-GR"/>
        </w:rPr>
        <w:t>η</w:t>
      </w:r>
      <w:r w:rsidRPr="00EC64EE">
        <w:rPr>
          <w:rFonts w:cs="Times New Roman"/>
          <w:vertAlign w:val="superscript"/>
          <w:lang w:val="el-GR"/>
        </w:rPr>
        <w:t>2</w:t>
      </w:r>
      <w:r w:rsidRPr="00EC64EE">
        <w:rPr>
          <w:rFonts w:cs="Times New Roman"/>
        </w:rPr>
        <w:t xml:space="preserve">=0.35.) on subjective alertness was observed where participants reported higher subjective alertness under high MDER light settings in comparison to neutral (p =.02) and low (p=.04) MEDI light settings. No main effect of light exposure was observed in the performance of </w:t>
      </w:r>
      <w:proofErr w:type="spellStart"/>
      <w:r w:rsidRPr="00EC64EE">
        <w:rPr>
          <w:rFonts w:cs="Times New Roman"/>
        </w:rPr>
        <w:t>aPVT</w:t>
      </w:r>
      <w:proofErr w:type="spellEnd"/>
      <w:r w:rsidRPr="00EC64EE">
        <w:rPr>
          <w:rFonts w:cs="Times New Roman"/>
        </w:rPr>
        <w:t xml:space="preserve">, N-back task (accuracy, reaction time), Tower of London (efficiency, planning time, execution time), and digit span task (forward, </w:t>
      </w:r>
      <w:proofErr w:type="gramStart"/>
      <w:r w:rsidRPr="00EC64EE">
        <w:rPr>
          <w:rFonts w:cs="Times New Roman"/>
        </w:rPr>
        <w:t>backward</w:t>
      </w:r>
      <w:proofErr w:type="gramEnd"/>
      <w:r w:rsidRPr="00EC64EE">
        <w:rPr>
          <w:rFonts w:cs="Times New Roman"/>
        </w:rPr>
        <w:t xml:space="preserve"> and sequential). These results demonstrate that exposure to high-MDER (short wavelength-enriched) light improves subjective alertness. However, further investigation is required to understand the possible influence of short-wavelength dominant light on higher cognitive functions.</w:t>
      </w:r>
    </w:p>
    <w:p w14:paraId="4E35A5FF" w14:textId="77777777" w:rsidR="005A0DF1" w:rsidRPr="00EC64EE" w:rsidRDefault="005A0DF1" w:rsidP="005A0DF1">
      <w:pPr>
        <w:rPr>
          <w:rFonts w:cs="Times New Roman"/>
        </w:rPr>
      </w:pPr>
    </w:p>
    <w:p w14:paraId="7B2E0A77" w14:textId="77777777" w:rsidR="005A0DF1" w:rsidRPr="00EC64EE" w:rsidRDefault="005A0DF1" w:rsidP="005A0DF1">
      <w:pPr>
        <w:rPr>
          <w:rFonts w:cs="Times New Roman"/>
        </w:rPr>
      </w:pPr>
      <w:r w:rsidRPr="00EC64EE">
        <w:rPr>
          <w:rFonts w:cs="Times New Roman"/>
          <w:i/>
          <w:iCs/>
        </w:rPr>
        <w:t>Keywords:</w:t>
      </w:r>
      <w:r w:rsidRPr="00EC64EE">
        <w:rPr>
          <w:rFonts w:cs="Times New Roman"/>
        </w:rPr>
        <w:t xml:space="preserve"> light exposure, non-visual effects of light, alertness, cognition.</w:t>
      </w:r>
    </w:p>
    <w:p w14:paraId="599ED15D" w14:textId="77777777" w:rsidR="00AE363D" w:rsidRPr="00EC64EE" w:rsidRDefault="00000000">
      <w:pPr>
        <w:pStyle w:val="h1-pagebreak"/>
        <w:rPr>
          <w:rFonts w:cs="Times New Roman"/>
        </w:rPr>
      </w:pPr>
      <w:r w:rsidRPr="00EC64EE">
        <w:rPr>
          <w:rFonts w:cs="Times New Roman"/>
        </w:rPr>
        <w:lastRenderedPageBreak/>
        <w:t>The title</w:t>
      </w:r>
    </w:p>
    <w:p w14:paraId="599ED15E" w14:textId="77777777" w:rsidR="00AE363D" w:rsidRPr="00EC64EE" w:rsidRDefault="00000000">
      <w:pPr>
        <w:pStyle w:val="Heading1"/>
        <w:rPr>
          <w:rFonts w:cs="Times New Roman"/>
        </w:rPr>
      </w:pPr>
      <w:bookmarkStart w:id="0" w:name="methods"/>
      <w:r w:rsidRPr="00EC64EE">
        <w:rPr>
          <w:rFonts w:cs="Times New Roman"/>
        </w:rPr>
        <w:t>Methods</w:t>
      </w:r>
    </w:p>
    <w:p w14:paraId="599ED160" w14:textId="77777777" w:rsidR="00AE363D" w:rsidRPr="00EC64EE" w:rsidRDefault="00000000">
      <w:pPr>
        <w:pStyle w:val="Heading2"/>
        <w:rPr>
          <w:rFonts w:cs="Times New Roman"/>
        </w:rPr>
      </w:pPr>
      <w:bookmarkStart w:id="1" w:name="participants"/>
      <w:r w:rsidRPr="00EC64EE">
        <w:rPr>
          <w:rFonts w:cs="Times New Roman"/>
        </w:rPr>
        <w:t>Participants</w:t>
      </w:r>
    </w:p>
    <w:p w14:paraId="599ED161" w14:textId="2D59005D" w:rsidR="00AE363D" w:rsidRPr="00EC64EE" w:rsidRDefault="00611747">
      <w:pPr>
        <w:pStyle w:val="FirstParagraph"/>
        <w:rPr>
          <w:rFonts w:cs="Times New Roman"/>
        </w:rPr>
      </w:pPr>
      <w:r>
        <w:rPr>
          <w:rFonts w:cs="Times New Roman"/>
        </w:rPr>
        <w:t>Twenty-four</w:t>
      </w:r>
      <w:r w:rsidRPr="00EC64EE">
        <w:rPr>
          <w:rFonts w:cs="Times New Roman"/>
        </w:rPr>
        <w:t xml:space="preserve"> healthy university students age ranging between 20-29</w:t>
      </w:r>
      <w:r>
        <w:rPr>
          <w:rFonts w:cs="Times New Roman"/>
        </w:rPr>
        <w:t xml:space="preserve"> </w:t>
      </w:r>
      <w:r w:rsidRPr="00EC64EE">
        <w:rPr>
          <w:rFonts w:cs="Times New Roman"/>
        </w:rPr>
        <w:t>(mean age ± SD:</w:t>
      </w:r>
      <w:r>
        <w:rPr>
          <w:rFonts w:cs="Times New Roman"/>
        </w:rPr>
        <w:t xml:space="preserve"> </w:t>
      </w:r>
      <w:r w:rsidRPr="00EC64EE">
        <w:rPr>
          <w:rFonts w:cs="Times New Roman"/>
        </w:rPr>
        <w:t>23.96</w:t>
      </w:r>
      <w:r>
        <w:rPr>
          <w:rFonts w:cs="Times New Roman"/>
        </w:rPr>
        <w:t xml:space="preserve"> </w:t>
      </w:r>
      <w:r w:rsidRPr="00EC64EE">
        <w:rPr>
          <w:rFonts w:cs="Times New Roman"/>
        </w:rPr>
        <w:t>±</w:t>
      </w:r>
      <w:r>
        <w:rPr>
          <w:rFonts w:cs="Times New Roman"/>
        </w:rPr>
        <w:t xml:space="preserve"> </w:t>
      </w:r>
      <w:r w:rsidRPr="00EC64EE">
        <w:rPr>
          <w:rFonts w:cs="Times New Roman"/>
        </w:rPr>
        <w:t xml:space="preserve">2.42)- 16 females (Mean age ± SD = 23.88±2.64) and 8 males (Mean age ± SD = 24.00±2.39) </w:t>
      </w:r>
      <w:r>
        <w:rPr>
          <w:rFonts w:cs="Times New Roman"/>
        </w:rPr>
        <w:t>were studied</w:t>
      </w:r>
      <w:r w:rsidRPr="00EC64EE">
        <w:rPr>
          <w:rFonts w:cs="Times New Roman"/>
        </w:rPr>
        <w:t xml:space="preserve"> in the Intelligent Lighting Lab at Monash University Malaysia. The study obtained ethics clearance from the Monash University Human Research Ethics Committee (Project ID: 14786)</w:t>
      </w:r>
      <w:r>
        <w:rPr>
          <w:rFonts w:cs="Times New Roman"/>
        </w:rPr>
        <w:t>,</w:t>
      </w:r>
      <w:r w:rsidRPr="00EC64EE">
        <w:rPr>
          <w:rFonts w:cs="Times New Roman"/>
        </w:rPr>
        <w:t xml:space="preserve"> and participants provided written informed consent prior to </w:t>
      </w:r>
      <w:r>
        <w:rPr>
          <w:rFonts w:cs="Times New Roman"/>
        </w:rPr>
        <w:t xml:space="preserve">the </w:t>
      </w:r>
      <w:r w:rsidRPr="00EC64EE">
        <w:rPr>
          <w:rFonts w:cs="Times New Roman"/>
        </w:rPr>
        <w:t xml:space="preserve">study. All participants reported to be free from </w:t>
      </w:r>
      <w:r>
        <w:rPr>
          <w:rFonts w:cs="Times New Roman"/>
        </w:rPr>
        <w:t>medical</w:t>
      </w:r>
      <w:r w:rsidRPr="00EC64EE">
        <w:rPr>
          <w:rFonts w:cs="Times New Roman"/>
        </w:rPr>
        <w:t xml:space="preserve"> and psychological conditions and had no color blindness </w:t>
      </w:r>
      <w:r w:rsidR="00AA787D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&lt;EndNote&gt;&lt;Cite&gt;&lt;Author&gt;Clark&lt;/Author&gt;&lt;Year&gt;1924&lt;/Year&gt;&lt;RecNum&gt;2207&lt;/RecNum&gt;&lt;Prefix&gt;tested by Ishihara Blindness Test`; &lt;/Prefix&gt;&lt;DisplayText&gt;(tested by Ishihara Blindness Test; Clark, 1924)&lt;/DisplayText&gt;&lt;record&gt;&lt;rec-number&gt;2207&lt;/rec-number&gt;&lt;foreign-keys&gt;&lt;key app="EN" db-id="5fa5wf9ac5ffz6eefsqvear65avdrepps9zf" timestamp="1672921827"&gt;2207&lt;/key&gt;&lt;/foreign-keys&gt;&lt;ref-type name="Journal Article"&gt;17&lt;/ref-type&gt;&lt;contributors&gt;&lt;authors&gt;&lt;author&gt;Clark, JH&lt;/author&gt;&lt;/authors&gt;&lt;/contributors&gt;&lt;titles&gt;&lt;title&gt;The Ishihara test for color blindness&lt;/title&gt;&lt;secondary-title&gt;American Journal of Physiological Optics&lt;/secondary-title&gt;&lt;/titles&gt;&lt;dates&gt;&lt;year&gt;1924&lt;/year&gt;&lt;/dates&gt;&lt;urls&gt;&lt;/urls&gt;&lt;/record&gt;&lt;/Cite&gt;&lt;/EndNote&gt;</w:instrText>
      </w:r>
      <w:r w:rsidR="00AA787D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(tested by Ishihara Blindness Test; Clark, 1924)</w:t>
      </w:r>
      <w:r w:rsidR="00AA787D">
        <w:rPr>
          <w:rFonts w:cs="Times New Roman"/>
        </w:rPr>
        <w:fldChar w:fldCharType="end"/>
      </w:r>
      <w:r w:rsidRPr="00EC64EE">
        <w:rPr>
          <w:rFonts w:cs="Times New Roman"/>
        </w:rPr>
        <w:t xml:space="preserve">. </w:t>
      </w:r>
      <w:r>
        <w:rPr>
          <w:rFonts w:cs="Times New Roman"/>
        </w:rPr>
        <w:t>Most of</w:t>
      </w:r>
      <w:r w:rsidRPr="00EC64EE">
        <w:rPr>
          <w:rFonts w:cs="Times New Roman"/>
        </w:rPr>
        <w:t xml:space="preserve"> them were poor </w:t>
      </w:r>
      <w:r>
        <w:rPr>
          <w:rFonts w:cs="Times New Roman"/>
        </w:rPr>
        <w:t>sleepers</w:t>
      </w:r>
      <w:r w:rsidRPr="00EC64EE">
        <w:rPr>
          <w:rFonts w:cs="Times New Roman"/>
        </w:rPr>
        <w:t xml:space="preserve"> (62%) and had intermediate </w:t>
      </w:r>
      <w:r w:rsidR="00D16E23">
        <w:rPr>
          <w:rFonts w:cs="Times New Roman"/>
        </w:rPr>
        <w:t>chronotypes</w:t>
      </w:r>
      <w:r w:rsidRPr="00EC64EE">
        <w:rPr>
          <w:rFonts w:cs="Times New Roman"/>
        </w:rPr>
        <w:t xml:space="preserve"> (71%).</w:t>
      </w:r>
    </w:p>
    <w:p w14:paraId="599ED162" w14:textId="77777777" w:rsidR="00AE363D" w:rsidRPr="00EC64EE" w:rsidRDefault="00000000" w:rsidP="006140C8">
      <w:pPr>
        <w:pStyle w:val="BodyText"/>
        <w:ind w:firstLine="0"/>
        <w:rPr>
          <w:rFonts w:cs="Times New Roman"/>
        </w:rPr>
      </w:pPr>
      <w:r w:rsidRPr="00EC64EE">
        <w:rPr>
          <w:rFonts w:cs="Times New Roman"/>
        </w:rPr>
        <w:t>Table 1: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7"/>
        <w:gridCol w:w="2061"/>
        <w:gridCol w:w="1586"/>
        <w:gridCol w:w="1946"/>
        <w:gridCol w:w="1772"/>
      </w:tblGrid>
      <w:tr w:rsidR="008C7FD0" w:rsidRPr="006140C8" w14:paraId="599ED16A" w14:textId="77777777" w:rsidTr="00614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73" w:type="pct"/>
          </w:tcPr>
          <w:p w14:paraId="599ED165" w14:textId="07C94553" w:rsidR="008C7FD0" w:rsidRPr="006140C8" w:rsidRDefault="008C7FD0" w:rsidP="006140C8">
            <w:pPr>
              <w:pStyle w:val="Compact"/>
              <w:spacing w:before="0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071" w:type="pct"/>
          </w:tcPr>
          <w:p w14:paraId="599ED166" w14:textId="5ECCD241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  <w:vertAlign w:val="superscript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Overall</w:t>
            </w:r>
            <w:r w:rsidR="006140C8" w:rsidRPr="006140C8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1</w:t>
            </w:r>
            <w:r w:rsidRPr="006140C8">
              <w:rPr>
                <w:rFonts w:cs="Times New Roman"/>
                <w:sz w:val="20"/>
                <w:szCs w:val="20"/>
              </w:rPr>
              <w:t>, N = 24</w:t>
            </w:r>
          </w:p>
        </w:tc>
        <w:tc>
          <w:tcPr>
            <w:tcW w:w="824" w:type="pct"/>
          </w:tcPr>
          <w:p w14:paraId="599ED167" w14:textId="72AAFED2" w:rsidR="008C7FD0" w:rsidRPr="006140C8" w:rsidRDefault="006140C8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Low</w:t>
            </w:r>
            <w:r w:rsidRPr="006140C8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1</w:t>
            </w:r>
            <w:r w:rsidR="008C7FD0" w:rsidRPr="006140C8">
              <w:rPr>
                <w:rFonts w:cs="Times New Roman"/>
                <w:sz w:val="20"/>
                <w:szCs w:val="20"/>
              </w:rPr>
              <w:t>, N = 7</w:t>
            </w:r>
          </w:p>
        </w:tc>
        <w:tc>
          <w:tcPr>
            <w:tcW w:w="1011" w:type="pct"/>
          </w:tcPr>
          <w:p w14:paraId="599ED168" w14:textId="24FEBE1E" w:rsidR="008C7FD0" w:rsidRPr="006140C8" w:rsidRDefault="006140C8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Neutral</w:t>
            </w:r>
            <w:r w:rsidRPr="006140C8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1</w:t>
            </w:r>
            <w:r w:rsidR="008C7FD0" w:rsidRPr="006140C8">
              <w:rPr>
                <w:rFonts w:cs="Times New Roman"/>
                <w:sz w:val="20"/>
                <w:szCs w:val="20"/>
              </w:rPr>
              <w:t>, N = 7</w:t>
            </w:r>
          </w:p>
        </w:tc>
        <w:tc>
          <w:tcPr>
            <w:tcW w:w="921" w:type="pct"/>
          </w:tcPr>
          <w:p w14:paraId="599ED169" w14:textId="5BD05A3E" w:rsidR="008C7FD0" w:rsidRPr="006140C8" w:rsidRDefault="006140C8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High</w:t>
            </w:r>
            <w:r w:rsidRPr="006140C8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1</w:t>
            </w:r>
            <w:r w:rsidR="008C7FD0" w:rsidRPr="006140C8">
              <w:rPr>
                <w:rFonts w:cs="Times New Roman"/>
                <w:sz w:val="20"/>
                <w:szCs w:val="20"/>
              </w:rPr>
              <w:t>, N = 10</w:t>
            </w:r>
          </w:p>
        </w:tc>
      </w:tr>
      <w:tr w:rsidR="008C7FD0" w:rsidRPr="006140C8" w14:paraId="599ED178" w14:textId="77777777" w:rsidTr="006140C8">
        <w:tc>
          <w:tcPr>
            <w:tcW w:w="1173" w:type="pct"/>
          </w:tcPr>
          <w:p w14:paraId="599ED173" w14:textId="77777777" w:rsidR="008C7FD0" w:rsidRPr="006140C8" w:rsidRDefault="008C7FD0" w:rsidP="006140C8">
            <w:pPr>
              <w:pStyle w:val="Compact"/>
              <w:spacing w:before="0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Age</w:t>
            </w:r>
          </w:p>
        </w:tc>
        <w:tc>
          <w:tcPr>
            <w:tcW w:w="1071" w:type="pct"/>
          </w:tcPr>
          <w:p w14:paraId="599ED174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23.96 (2.42)</w:t>
            </w:r>
          </w:p>
        </w:tc>
        <w:tc>
          <w:tcPr>
            <w:tcW w:w="824" w:type="pct"/>
          </w:tcPr>
          <w:p w14:paraId="599ED175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25.00 (2.52)</w:t>
            </w:r>
          </w:p>
        </w:tc>
        <w:tc>
          <w:tcPr>
            <w:tcW w:w="1011" w:type="pct"/>
          </w:tcPr>
          <w:p w14:paraId="599ED176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23.29 (2.87)</w:t>
            </w:r>
          </w:p>
        </w:tc>
        <w:tc>
          <w:tcPr>
            <w:tcW w:w="921" w:type="pct"/>
          </w:tcPr>
          <w:p w14:paraId="599ED177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23.70 (2.00)</w:t>
            </w:r>
          </w:p>
        </w:tc>
      </w:tr>
      <w:tr w:rsidR="008C7FD0" w:rsidRPr="006140C8" w14:paraId="599ED17F" w14:textId="77777777" w:rsidTr="006140C8">
        <w:tc>
          <w:tcPr>
            <w:tcW w:w="1173" w:type="pct"/>
          </w:tcPr>
          <w:p w14:paraId="599ED17A" w14:textId="77777777" w:rsidR="008C7FD0" w:rsidRPr="006140C8" w:rsidRDefault="008C7FD0" w:rsidP="006140C8">
            <w:pPr>
              <w:pStyle w:val="Compact"/>
              <w:spacing w:before="0"/>
              <w:rPr>
                <w:rFonts w:cs="Times New Roman"/>
                <w:b/>
                <w:bCs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071" w:type="pct"/>
          </w:tcPr>
          <w:p w14:paraId="599ED17B" w14:textId="4BFD37DC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24" w:type="pct"/>
          </w:tcPr>
          <w:p w14:paraId="599ED17C" w14:textId="1726F121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11" w:type="pct"/>
          </w:tcPr>
          <w:p w14:paraId="599ED17D" w14:textId="49E2A6D4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1" w:type="pct"/>
          </w:tcPr>
          <w:p w14:paraId="599ED17E" w14:textId="6322D21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C7FD0" w:rsidRPr="006140C8" w14:paraId="599ED186" w14:textId="77777777" w:rsidTr="006140C8">
        <w:tc>
          <w:tcPr>
            <w:tcW w:w="1173" w:type="pct"/>
          </w:tcPr>
          <w:p w14:paraId="599ED181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Female</w:t>
            </w:r>
          </w:p>
        </w:tc>
        <w:tc>
          <w:tcPr>
            <w:tcW w:w="1071" w:type="pct"/>
          </w:tcPr>
          <w:p w14:paraId="599ED182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8 (33%)</w:t>
            </w:r>
          </w:p>
        </w:tc>
        <w:tc>
          <w:tcPr>
            <w:tcW w:w="824" w:type="pct"/>
          </w:tcPr>
          <w:p w14:paraId="599ED183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 (14%)</w:t>
            </w:r>
          </w:p>
        </w:tc>
        <w:tc>
          <w:tcPr>
            <w:tcW w:w="1011" w:type="pct"/>
          </w:tcPr>
          <w:p w14:paraId="599ED184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4 (57%)</w:t>
            </w:r>
          </w:p>
        </w:tc>
        <w:tc>
          <w:tcPr>
            <w:tcW w:w="921" w:type="pct"/>
          </w:tcPr>
          <w:p w14:paraId="599ED185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3 (30%)</w:t>
            </w:r>
          </w:p>
        </w:tc>
      </w:tr>
      <w:tr w:rsidR="008C7FD0" w:rsidRPr="006140C8" w14:paraId="599ED18D" w14:textId="77777777" w:rsidTr="006140C8">
        <w:tc>
          <w:tcPr>
            <w:tcW w:w="1173" w:type="pct"/>
          </w:tcPr>
          <w:p w14:paraId="599ED188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1071" w:type="pct"/>
          </w:tcPr>
          <w:p w14:paraId="599ED189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16 (67%)</w:t>
            </w:r>
          </w:p>
        </w:tc>
        <w:tc>
          <w:tcPr>
            <w:tcW w:w="824" w:type="pct"/>
          </w:tcPr>
          <w:p w14:paraId="599ED18A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6 (86%)</w:t>
            </w:r>
          </w:p>
        </w:tc>
        <w:tc>
          <w:tcPr>
            <w:tcW w:w="1011" w:type="pct"/>
          </w:tcPr>
          <w:p w14:paraId="599ED18B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3 (43%)</w:t>
            </w:r>
          </w:p>
        </w:tc>
        <w:tc>
          <w:tcPr>
            <w:tcW w:w="921" w:type="pct"/>
          </w:tcPr>
          <w:p w14:paraId="599ED18C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7 (70%)</w:t>
            </w:r>
          </w:p>
        </w:tc>
      </w:tr>
      <w:tr w:rsidR="008C7FD0" w:rsidRPr="006140C8" w14:paraId="599ED194" w14:textId="77777777" w:rsidTr="006140C8">
        <w:tc>
          <w:tcPr>
            <w:tcW w:w="1173" w:type="pct"/>
          </w:tcPr>
          <w:p w14:paraId="599ED18F" w14:textId="77777777" w:rsidR="008C7FD0" w:rsidRPr="006140C8" w:rsidRDefault="008C7FD0" w:rsidP="006140C8">
            <w:pPr>
              <w:pStyle w:val="Compact"/>
              <w:spacing w:before="0"/>
              <w:rPr>
                <w:rFonts w:cs="Times New Roman"/>
                <w:b/>
                <w:bCs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1071" w:type="pct"/>
          </w:tcPr>
          <w:p w14:paraId="599ED190" w14:textId="1F30ACA2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24" w:type="pct"/>
          </w:tcPr>
          <w:p w14:paraId="599ED191" w14:textId="7A36B0FC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11" w:type="pct"/>
          </w:tcPr>
          <w:p w14:paraId="599ED192" w14:textId="0877E271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1" w:type="pct"/>
          </w:tcPr>
          <w:p w14:paraId="599ED193" w14:textId="18F4F56C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C7FD0" w:rsidRPr="006140C8" w14:paraId="599ED19B" w14:textId="77777777" w:rsidTr="006140C8">
        <w:tc>
          <w:tcPr>
            <w:tcW w:w="1173" w:type="pct"/>
          </w:tcPr>
          <w:p w14:paraId="599ED196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Single</w:t>
            </w:r>
          </w:p>
        </w:tc>
        <w:tc>
          <w:tcPr>
            <w:tcW w:w="1071" w:type="pct"/>
          </w:tcPr>
          <w:p w14:paraId="599ED197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24 (100%)</w:t>
            </w:r>
          </w:p>
        </w:tc>
        <w:tc>
          <w:tcPr>
            <w:tcW w:w="824" w:type="pct"/>
          </w:tcPr>
          <w:p w14:paraId="599ED198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7 (100%)</w:t>
            </w:r>
          </w:p>
        </w:tc>
        <w:tc>
          <w:tcPr>
            <w:tcW w:w="1011" w:type="pct"/>
          </w:tcPr>
          <w:p w14:paraId="599ED199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7 (100%)</w:t>
            </w:r>
          </w:p>
        </w:tc>
        <w:tc>
          <w:tcPr>
            <w:tcW w:w="921" w:type="pct"/>
          </w:tcPr>
          <w:p w14:paraId="599ED19A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10 (100%)</w:t>
            </w:r>
          </w:p>
        </w:tc>
      </w:tr>
      <w:tr w:rsidR="008C7FD0" w:rsidRPr="006140C8" w14:paraId="599ED1A2" w14:textId="77777777" w:rsidTr="006140C8">
        <w:tc>
          <w:tcPr>
            <w:tcW w:w="1173" w:type="pct"/>
          </w:tcPr>
          <w:p w14:paraId="599ED19D" w14:textId="77777777" w:rsidR="008C7FD0" w:rsidRPr="006140C8" w:rsidRDefault="008C7FD0" w:rsidP="006140C8">
            <w:pPr>
              <w:pStyle w:val="Compact"/>
              <w:spacing w:before="0"/>
              <w:rPr>
                <w:rFonts w:cs="Times New Roman"/>
                <w:b/>
                <w:bCs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1071" w:type="pct"/>
          </w:tcPr>
          <w:p w14:paraId="599ED19E" w14:textId="11B96265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24" w:type="pct"/>
          </w:tcPr>
          <w:p w14:paraId="599ED19F" w14:textId="6C7CFB16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11" w:type="pct"/>
          </w:tcPr>
          <w:p w14:paraId="599ED1A0" w14:textId="37E52303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1" w:type="pct"/>
          </w:tcPr>
          <w:p w14:paraId="599ED1A1" w14:textId="295B8AB6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C7FD0" w:rsidRPr="006140C8" w14:paraId="599ED1A9" w14:textId="77777777" w:rsidTr="006140C8">
        <w:tc>
          <w:tcPr>
            <w:tcW w:w="1173" w:type="pct"/>
          </w:tcPr>
          <w:p w14:paraId="599ED1A4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Bachelor’s Degree</w:t>
            </w:r>
          </w:p>
        </w:tc>
        <w:tc>
          <w:tcPr>
            <w:tcW w:w="1071" w:type="pct"/>
          </w:tcPr>
          <w:p w14:paraId="599ED1A5" w14:textId="77777777" w:rsidR="008C7FD0" w:rsidRPr="006140C8" w:rsidRDefault="008C7FD0" w:rsidP="00611747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22 (92%)</w:t>
            </w:r>
          </w:p>
        </w:tc>
        <w:tc>
          <w:tcPr>
            <w:tcW w:w="824" w:type="pct"/>
          </w:tcPr>
          <w:p w14:paraId="599ED1A6" w14:textId="77777777" w:rsidR="008C7FD0" w:rsidRPr="006140C8" w:rsidRDefault="008C7FD0" w:rsidP="00611747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7 (100%)</w:t>
            </w:r>
          </w:p>
        </w:tc>
        <w:tc>
          <w:tcPr>
            <w:tcW w:w="1011" w:type="pct"/>
          </w:tcPr>
          <w:p w14:paraId="599ED1A7" w14:textId="77777777" w:rsidR="008C7FD0" w:rsidRPr="006140C8" w:rsidRDefault="008C7FD0" w:rsidP="00611747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5 (71%)</w:t>
            </w:r>
          </w:p>
        </w:tc>
        <w:tc>
          <w:tcPr>
            <w:tcW w:w="921" w:type="pct"/>
          </w:tcPr>
          <w:p w14:paraId="599ED1A8" w14:textId="77777777" w:rsidR="008C7FD0" w:rsidRPr="006140C8" w:rsidRDefault="008C7FD0" w:rsidP="00611747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10 (100%)</w:t>
            </w:r>
          </w:p>
        </w:tc>
      </w:tr>
      <w:tr w:rsidR="008C7FD0" w:rsidRPr="006140C8" w14:paraId="599ED1B0" w14:textId="77777777" w:rsidTr="006140C8">
        <w:tc>
          <w:tcPr>
            <w:tcW w:w="1173" w:type="pct"/>
          </w:tcPr>
          <w:p w14:paraId="599ED1AB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Master’s Degree</w:t>
            </w:r>
          </w:p>
        </w:tc>
        <w:tc>
          <w:tcPr>
            <w:tcW w:w="1071" w:type="pct"/>
          </w:tcPr>
          <w:p w14:paraId="599ED1AC" w14:textId="77777777" w:rsidR="008C7FD0" w:rsidRPr="006140C8" w:rsidRDefault="008C7FD0" w:rsidP="00611747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 (8.3%)</w:t>
            </w:r>
          </w:p>
        </w:tc>
        <w:tc>
          <w:tcPr>
            <w:tcW w:w="824" w:type="pct"/>
          </w:tcPr>
          <w:p w14:paraId="599ED1AD" w14:textId="77777777" w:rsidR="008C7FD0" w:rsidRPr="006140C8" w:rsidRDefault="008C7FD0" w:rsidP="00611747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1011" w:type="pct"/>
          </w:tcPr>
          <w:p w14:paraId="599ED1AE" w14:textId="77777777" w:rsidR="008C7FD0" w:rsidRPr="006140C8" w:rsidRDefault="008C7FD0" w:rsidP="00611747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21" w:type="pct"/>
          </w:tcPr>
          <w:p w14:paraId="599ED1AF" w14:textId="77777777" w:rsidR="008C7FD0" w:rsidRPr="006140C8" w:rsidRDefault="008C7FD0" w:rsidP="00611747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0 (0%)</w:t>
            </w:r>
          </w:p>
        </w:tc>
      </w:tr>
      <w:tr w:rsidR="008C7FD0" w:rsidRPr="006140C8" w14:paraId="599ED1B7" w14:textId="77777777" w:rsidTr="006140C8">
        <w:tc>
          <w:tcPr>
            <w:tcW w:w="1173" w:type="pct"/>
          </w:tcPr>
          <w:p w14:paraId="599ED1B2" w14:textId="77777777" w:rsidR="008C7FD0" w:rsidRPr="006140C8" w:rsidRDefault="008C7FD0" w:rsidP="006140C8">
            <w:pPr>
              <w:pStyle w:val="Compact"/>
              <w:spacing w:before="0"/>
              <w:rPr>
                <w:rFonts w:cs="Times New Roman"/>
                <w:b/>
                <w:bCs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Sleep Quality</w:t>
            </w:r>
          </w:p>
        </w:tc>
        <w:tc>
          <w:tcPr>
            <w:tcW w:w="1071" w:type="pct"/>
          </w:tcPr>
          <w:p w14:paraId="599ED1B3" w14:textId="569C8974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24" w:type="pct"/>
          </w:tcPr>
          <w:p w14:paraId="599ED1B4" w14:textId="35960076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11" w:type="pct"/>
          </w:tcPr>
          <w:p w14:paraId="599ED1B5" w14:textId="7FAD4752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1" w:type="pct"/>
          </w:tcPr>
          <w:p w14:paraId="599ED1B6" w14:textId="100089A5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C7FD0" w:rsidRPr="006140C8" w14:paraId="599ED1BE" w14:textId="77777777" w:rsidTr="006140C8">
        <w:tc>
          <w:tcPr>
            <w:tcW w:w="1173" w:type="pct"/>
          </w:tcPr>
          <w:p w14:paraId="599ED1B9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Good</w:t>
            </w:r>
          </w:p>
        </w:tc>
        <w:tc>
          <w:tcPr>
            <w:tcW w:w="1071" w:type="pct"/>
          </w:tcPr>
          <w:p w14:paraId="599ED1BA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9 (38%)</w:t>
            </w:r>
          </w:p>
        </w:tc>
        <w:tc>
          <w:tcPr>
            <w:tcW w:w="824" w:type="pct"/>
          </w:tcPr>
          <w:p w14:paraId="599ED1BB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3 (43%)</w:t>
            </w:r>
          </w:p>
        </w:tc>
        <w:tc>
          <w:tcPr>
            <w:tcW w:w="1011" w:type="pct"/>
          </w:tcPr>
          <w:p w14:paraId="599ED1BC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3 (43%)</w:t>
            </w:r>
          </w:p>
        </w:tc>
        <w:tc>
          <w:tcPr>
            <w:tcW w:w="921" w:type="pct"/>
          </w:tcPr>
          <w:p w14:paraId="599ED1BD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3 (30%)</w:t>
            </w:r>
          </w:p>
        </w:tc>
      </w:tr>
      <w:tr w:rsidR="008C7FD0" w:rsidRPr="006140C8" w14:paraId="599ED1C5" w14:textId="77777777" w:rsidTr="006140C8">
        <w:tc>
          <w:tcPr>
            <w:tcW w:w="1173" w:type="pct"/>
          </w:tcPr>
          <w:p w14:paraId="599ED1C0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lastRenderedPageBreak/>
              <w:t>Poor</w:t>
            </w:r>
          </w:p>
        </w:tc>
        <w:tc>
          <w:tcPr>
            <w:tcW w:w="1071" w:type="pct"/>
          </w:tcPr>
          <w:p w14:paraId="599ED1C1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15 (62%)</w:t>
            </w:r>
          </w:p>
        </w:tc>
        <w:tc>
          <w:tcPr>
            <w:tcW w:w="824" w:type="pct"/>
          </w:tcPr>
          <w:p w14:paraId="599ED1C2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4 (57%)</w:t>
            </w:r>
          </w:p>
        </w:tc>
        <w:tc>
          <w:tcPr>
            <w:tcW w:w="1011" w:type="pct"/>
          </w:tcPr>
          <w:p w14:paraId="599ED1C3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4 (57%)</w:t>
            </w:r>
          </w:p>
        </w:tc>
        <w:tc>
          <w:tcPr>
            <w:tcW w:w="921" w:type="pct"/>
          </w:tcPr>
          <w:p w14:paraId="599ED1C4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7 (70%)</w:t>
            </w:r>
          </w:p>
        </w:tc>
      </w:tr>
      <w:tr w:rsidR="008C7FD0" w:rsidRPr="006140C8" w14:paraId="599ED1CC" w14:textId="77777777" w:rsidTr="006140C8">
        <w:tc>
          <w:tcPr>
            <w:tcW w:w="1173" w:type="pct"/>
          </w:tcPr>
          <w:p w14:paraId="599ED1C7" w14:textId="77777777" w:rsidR="008C7FD0" w:rsidRPr="006140C8" w:rsidRDefault="008C7FD0" w:rsidP="006140C8">
            <w:pPr>
              <w:pStyle w:val="Compact"/>
              <w:spacing w:before="0"/>
              <w:rPr>
                <w:rFonts w:cs="Times New Roman"/>
                <w:b/>
                <w:bCs/>
                <w:sz w:val="20"/>
                <w:szCs w:val="20"/>
              </w:rPr>
            </w:pPr>
            <w:r w:rsidRPr="006140C8">
              <w:rPr>
                <w:rFonts w:cs="Times New Roman"/>
                <w:b/>
                <w:bCs/>
                <w:sz w:val="20"/>
                <w:szCs w:val="20"/>
              </w:rPr>
              <w:t>Chronotype</w:t>
            </w:r>
          </w:p>
        </w:tc>
        <w:tc>
          <w:tcPr>
            <w:tcW w:w="1071" w:type="pct"/>
          </w:tcPr>
          <w:p w14:paraId="599ED1C8" w14:textId="34D27B79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24" w:type="pct"/>
          </w:tcPr>
          <w:p w14:paraId="599ED1C9" w14:textId="7ACA0FF1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11" w:type="pct"/>
          </w:tcPr>
          <w:p w14:paraId="599ED1CA" w14:textId="3CD9637A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1" w:type="pct"/>
          </w:tcPr>
          <w:p w14:paraId="599ED1CB" w14:textId="508942ED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C7FD0" w:rsidRPr="006140C8" w14:paraId="599ED1D3" w14:textId="77777777" w:rsidTr="006140C8">
        <w:tc>
          <w:tcPr>
            <w:tcW w:w="1173" w:type="pct"/>
          </w:tcPr>
          <w:p w14:paraId="599ED1CE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Definite Evening</w:t>
            </w:r>
          </w:p>
        </w:tc>
        <w:tc>
          <w:tcPr>
            <w:tcW w:w="1071" w:type="pct"/>
          </w:tcPr>
          <w:p w14:paraId="599ED1CF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 (4.2%)</w:t>
            </w:r>
          </w:p>
        </w:tc>
        <w:tc>
          <w:tcPr>
            <w:tcW w:w="824" w:type="pct"/>
          </w:tcPr>
          <w:p w14:paraId="599ED1D0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1011" w:type="pct"/>
          </w:tcPr>
          <w:p w14:paraId="599ED1D1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21" w:type="pct"/>
          </w:tcPr>
          <w:p w14:paraId="599ED1D2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 (10%)</w:t>
            </w:r>
          </w:p>
        </w:tc>
      </w:tr>
      <w:tr w:rsidR="008C7FD0" w:rsidRPr="006140C8" w14:paraId="599ED1DA" w14:textId="77777777" w:rsidTr="006140C8">
        <w:tc>
          <w:tcPr>
            <w:tcW w:w="1173" w:type="pct"/>
          </w:tcPr>
          <w:p w14:paraId="599ED1D5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1071" w:type="pct"/>
          </w:tcPr>
          <w:p w14:paraId="599ED1D6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17 (71%)</w:t>
            </w:r>
          </w:p>
        </w:tc>
        <w:tc>
          <w:tcPr>
            <w:tcW w:w="824" w:type="pct"/>
          </w:tcPr>
          <w:p w14:paraId="599ED1D7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6 (86%)</w:t>
            </w:r>
          </w:p>
        </w:tc>
        <w:tc>
          <w:tcPr>
            <w:tcW w:w="1011" w:type="pct"/>
          </w:tcPr>
          <w:p w14:paraId="599ED1D8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5 (71%)</w:t>
            </w:r>
          </w:p>
        </w:tc>
        <w:tc>
          <w:tcPr>
            <w:tcW w:w="921" w:type="pct"/>
          </w:tcPr>
          <w:p w14:paraId="599ED1D9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6 (60%)</w:t>
            </w:r>
          </w:p>
        </w:tc>
      </w:tr>
      <w:tr w:rsidR="008C7FD0" w:rsidRPr="006140C8" w14:paraId="599ED1E1" w14:textId="77777777" w:rsidTr="006140C8">
        <w:tc>
          <w:tcPr>
            <w:tcW w:w="1173" w:type="pct"/>
          </w:tcPr>
          <w:p w14:paraId="599ED1DC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Moderate Evening</w:t>
            </w:r>
          </w:p>
        </w:tc>
        <w:tc>
          <w:tcPr>
            <w:tcW w:w="1071" w:type="pct"/>
          </w:tcPr>
          <w:p w14:paraId="599ED1DD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5 (21%)</w:t>
            </w:r>
          </w:p>
        </w:tc>
        <w:tc>
          <w:tcPr>
            <w:tcW w:w="824" w:type="pct"/>
          </w:tcPr>
          <w:p w14:paraId="599ED1DE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 (14%)</w:t>
            </w:r>
          </w:p>
        </w:tc>
        <w:tc>
          <w:tcPr>
            <w:tcW w:w="1011" w:type="pct"/>
          </w:tcPr>
          <w:p w14:paraId="599ED1DF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21" w:type="pct"/>
          </w:tcPr>
          <w:p w14:paraId="599ED1E0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2 (20%)</w:t>
            </w:r>
          </w:p>
        </w:tc>
      </w:tr>
      <w:tr w:rsidR="008C7FD0" w:rsidRPr="006140C8" w14:paraId="599ED1E8" w14:textId="77777777" w:rsidTr="006140C8">
        <w:tc>
          <w:tcPr>
            <w:tcW w:w="1173" w:type="pct"/>
          </w:tcPr>
          <w:p w14:paraId="599ED1E3" w14:textId="77777777" w:rsidR="008C7FD0" w:rsidRPr="006140C8" w:rsidRDefault="008C7FD0" w:rsidP="006140C8">
            <w:pPr>
              <w:pStyle w:val="Compact"/>
              <w:spacing w:before="0"/>
              <w:ind w:firstLine="284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Moderate Morning</w:t>
            </w:r>
          </w:p>
        </w:tc>
        <w:tc>
          <w:tcPr>
            <w:tcW w:w="1071" w:type="pct"/>
          </w:tcPr>
          <w:p w14:paraId="599ED1E4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 (4.2%)</w:t>
            </w:r>
          </w:p>
        </w:tc>
        <w:tc>
          <w:tcPr>
            <w:tcW w:w="824" w:type="pct"/>
          </w:tcPr>
          <w:p w14:paraId="599ED1E5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1011" w:type="pct"/>
          </w:tcPr>
          <w:p w14:paraId="599ED1E6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21" w:type="pct"/>
          </w:tcPr>
          <w:p w14:paraId="599ED1E7" w14:textId="77777777" w:rsidR="008C7FD0" w:rsidRPr="006140C8" w:rsidRDefault="008C7FD0" w:rsidP="006140C8">
            <w:pPr>
              <w:pStyle w:val="Compact"/>
              <w:spacing w:before="0"/>
              <w:jc w:val="center"/>
              <w:rPr>
                <w:rFonts w:cs="Times New Roman"/>
                <w:sz w:val="20"/>
                <w:szCs w:val="20"/>
              </w:rPr>
            </w:pPr>
            <w:r w:rsidRPr="006140C8">
              <w:rPr>
                <w:rFonts w:cs="Times New Roman"/>
                <w:sz w:val="20"/>
                <w:szCs w:val="20"/>
              </w:rPr>
              <w:t>1 (10%)</w:t>
            </w:r>
          </w:p>
        </w:tc>
      </w:tr>
    </w:tbl>
    <w:p w14:paraId="4120FB2A" w14:textId="0A32AF32" w:rsidR="008C7FD0" w:rsidRPr="008C7FD0" w:rsidRDefault="008C7FD0">
      <w:pPr>
        <w:pStyle w:val="Heading2"/>
        <w:rPr>
          <w:rFonts w:cs="Times New Roman"/>
          <w:b w:val="0"/>
          <w:bCs/>
          <w:vertAlign w:val="superscript"/>
        </w:rPr>
      </w:pPr>
      <w:bookmarkStart w:id="2" w:name="light-exposure-conditions"/>
      <w:bookmarkEnd w:id="1"/>
      <w:r w:rsidRPr="008C7FD0">
        <w:rPr>
          <w:rFonts w:cs="Times New Roman"/>
          <w:b w:val="0"/>
          <w:bCs/>
          <w:vertAlign w:val="superscript"/>
        </w:rPr>
        <w:t>1Mean (SD); n (%)</w:t>
      </w:r>
    </w:p>
    <w:p w14:paraId="599ED1F0" w14:textId="65E29953" w:rsidR="00AE363D" w:rsidRPr="00EC64EE" w:rsidRDefault="00000000">
      <w:pPr>
        <w:pStyle w:val="Heading2"/>
        <w:rPr>
          <w:rFonts w:cs="Times New Roman"/>
        </w:rPr>
      </w:pPr>
      <w:r w:rsidRPr="00EC64EE">
        <w:rPr>
          <w:rFonts w:cs="Times New Roman"/>
        </w:rPr>
        <w:t>Light Exposure Conditions</w:t>
      </w:r>
    </w:p>
    <w:p w14:paraId="599ED1F1" w14:textId="009A13C9" w:rsidR="00AE363D" w:rsidRDefault="00000000">
      <w:pPr>
        <w:pStyle w:val="FirstParagraph"/>
        <w:rPr>
          <w:rFonts w:cs="Times New Roman"/>
        </w:rPr>
      </w:pPr>
      <w:r w:rsidRPr="00EC64EE">
        <w:rPr>
          <w:rFonts w:cs="Times New Roman"/>
        </w:rPr>
        <w:t xml:space="preserve">The experimental site was at Intelligent Light Lab, Monash University Malaysia (length x width x height; xx m by xx m by xx m). The lab was furnished with one </w:t>
      </w:r>
      <w:r w:rsidR="009D5069">
        <w:rPr>
          <w:rFonts w:cs="Times New Roman"/>
        </w:rPr>
        <w:t>rectangular</w:t>
      </w:r>
      <w:r w:rsidRPr="00EC64EE">
        <w:rPr>
          <w:rFonts w:cs="Times New Roman"/>
        </w:rPr>
        <w:t xml:space="preserve"> working desk with three chairs. The walls of the lab </w:t>
      </w:r>
      <w:r w:rsidR="009D5069">
        <w:rPr>
          <w:rFonts w:cs="Times New Roman"/>
        </w:rPr>
        <w:t>were</w:t>
      </w:r>
      <w:r w:rsidRPr="00EC64EE">
        <w:rPr>
          <w:rFonts w:cs="Times New Roman"/>
        </w:rPr>
        <w:t xml:space="preserve"> covered with grey </w:t>
      </w:r>
      <w:r w:rsidR="009D5069">
        <w:rPr>
          <w:rFonts w:cs="Times New Roman"/>
        </w:rPr>
        <w:t>curtains</w:t>
      </w:r>
      <w:r w:rsidRPr="00EC64EE">
        <w:rPr>
          <w:rFonts w:cs="Times New Roman"/>
        </w:rPr>
        <w:t xml:space="preserve"> and all glass windows were covered by blackout blinds. The room temperature was set to 25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 w:rsidRPr="00EC64EE">
        <w:rPr>
          <w:rFonts w:cs="Times New Roman"/>
        </w:rPr>
        <w:t xml:space="preserve"> C. The three light conditions were generated using 12 Phillips </w:t>
      </w:r>
      <w:proofErr w:type="spellStart"/>
      <w:r w:rsidRPr="00EC64EE">
        <w:rPr>
          <w:rFonts w:cs="Times New Roman"/>
        </w:rPr>
        <w:t>tuneable</w:t>
      </w:r>
      <w:proofErr w:type="spellEnd"/>
      <w:r w:rsidRPr="00EC64EE">
        <w:rPr>
          <w:rFonts w:cs="Times New Roman"/>
        </w:rPr>
        <w:t xml:space="preserve"> LED </w:t>
      </w:r>
      <w:r w:rsidR="009D5069">
        <w:rPr>
          <w:rFonts w:cs="Times New Roman"/>
        </w:rPr>
        <w:t>ceiling-mounted</w:t>
      </w:r>
      <w:r w:rsidRPr="00EC64EE">
        <w:rPr>
          <w:rFonts w:cs="Times New Roman"/>
        </w:rPr>
        <w:t xml:space="preserve"> luminaries.</w:t>
      </w:r>
      <w:r w:rsidR="00DC20A7">
        <w:rPr>
          <w:rFonts w:cs="Times New Roman"/>
        </w:rPr>
        <w:t xml:space="preserve"> Figure 1 (A-B) de</w:t>
      </w:r>
      <w:r w:rsidR="001812FF">
        <w:rPr>
          <w:rFonts w:cs="Times New Roman"/>
        </w:rPr>
        <w:t xml:space="preserve">picts the luminaire arrangement of the lab. </w:t>
      </w:r>
      <w:r w:rsidRPr="00EC64EE">
        <w:rPr>
          <w:rFonts w:cs="Times New Roman"/>
        </w:rPr>
        <w:t xml:space="preserve"> We measured the light sources at the horizontal plane at desk level (80 cm) and the vertical plane at eye level of the participants seated at the desk (122 cm). Figure </w:t>
      </w:r>
      <w:r w:rsidR="009D5069">
        <w:rPr>
          <w:rFonts w:cs="Times New Roman"/>
        </w:rPr>
        <w:t>1-C</w:t>
      </w:r>
      <w:r w:rsidRPr="00EC64EE">
        <w:rPr>
          <w:rFonts w:cs="Times New Roman"/>
        </w:rPr>
        <w:t xml:space="preserve"> depicts the spectral composition of the three light conditions. </w:t>
      </w:r>
    </w:p>
    <w:p w14:paraId="6B068BA3" w14:textId="13CE82DA" w:rsidR="004206AD" w:rsidRPr="004206AD" w:rsidRDefault="004206AD" w:rsidP="004206AD">
      <w:pPr>
        <w:pStyle w:val="BodyText"/>
        <w:ind w:firstLine="0"/>
      </w:pPr>
      <w:r>
        <w:rPr>
          <w:noProof/>
        </w:rPr>
        <w:lastRenderedPageBreak/>
        <w:drawing>
          <wp:inline distT="0" distB="0" distL="0" distR="0" wp14:anchorId="747E9539" wp14:editId="1D35968C">
            <wp:extent cx="5972810" cy="398907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0510" w14:textId="78A6FBD6" w:rsidR="00E9438C" w:rsidRDefault="00E9438C" w:rsidP="009B2D90">
      <w:pPr>
        <w:pStyle w:val="FirstParagraph"/>
        <w:rPr>
          <w:rFonts w:cs="Times New Roman"/>
        </w:rPr>
      </w:pPr>
      <w:r w:rsidRPr="00EC64EE">
        <w:rPr>
          <w:rFonts w:cs="Times New Roman"/>
        </w:rPr>
        <w:t xml:space="preserve">Table </w:t>
      </w:r>
      <w:r w:rsidR="00B044E8">
        <w:rPr>
          <w:rFonts w:cs="Times New Roman"/>
        </w:rPr>
        <w:t>2</w:t>
      </w:r>
      <w:r w:rsidRPr="00EC64EE">
        <w:rPr>
          <w:rFonts w:cs="Times New Roman"/>
        </w:rPr>
        <w:t xml:space="preserve"> presents </w:t>
      </w:r>
      <w:r w:rsidR="00672630">
        <w:rPr>
          <w:rFonts w:cs="Times New Roman"/>
          <w:lang w:val="el-GR"/>
        </w:rPr>
        <w:t>α</w:t>
      </w:r>
      <w:r w:rsidRPr="00EC64EE">
        <w:rPr>
          <w:rFonts w:cs="Times New Roman"/>
        </w:rPr>
        <w:t>-</w:t>
      </w:r>
      <w:proofErr w:type="spellStart"/>
      <w:r w:rsidRPr="00EC64EE">
        <w:rPr>
          <w:rFonts w:cs="Times New Roman"/>
        </w:rPr>
        <w:t>opic</w:t>
      </w:r>
      <w:proofErr w:type="spellEnd"/>
      <w:r w:rsidRPr="00EC64EE">
        <w:rPr>
          <w:rFonts w:cs="Times New Roman"/>
        </w:rPr>
        <w:t xml:space="preserve"> melanopic equivalent daylight illuminances (Melanopic EDI)</w:t>
      </w:r>
      <w:r w:rsidR="009D5069">
        <w:rPr>
          <w:rFonts w:cs="Times New Roman"/>
        </w:rPr>
        <w:t>,</w:t>
      </w:r>
      <w:r w:rsidRPr="00EC64EE">
        <w:rPr>
          <w:rFonts w:cs="Times New Roman"/>
        </w:rPr>
        <w:t xml:space="preserve"> and melanopic daylight efficacy ratio (MDER) values both at </w:t>
      </w:r>
      <w:r w:rsidR="00672630">
        <w:rPr>
          <w:rFonts w:cs="Times New Roman"/>
        </w:rPr>
        <w:t xml:space="preserve">the </w:t>
      </w:r>
      <w:r w:rsidRPr="00EC64EE">
        <w:rPr>
          <w:rFonts w:cs="Times New Roman"/>
        </w:rPr>
        <w:t>desk</w:t>
      </w:r>
      <w:r w:rsidR="00672630">
        <w:rPr>
          <w:rFonts w:cs="Times New Roman"/>
        </w:rPr>
        <w:t xml:space="preserve"> (80 cm)</w:t>
      </w:r>
      <w:r w:rsidRPr="00EC64EE">
        <w:rPr>
          <w:rFonts w:cs="Times New Roman"/>
        </w:rPr>
        <w:t xml:space="preserve"> and </w:t>
      </w:r>
      <w:r w:rsidR="00210A1B">
        <w:rPr>
          <w:rFonts w:cs="Times New Roman"/>
        </w:rPr>
        <w:t>eye level</w:t>
      </w:r>
      <w:r w:rsidR="00672630">
        <w:rPr>
          <w:rFonts w:cs="Times New Roman"/>
        </w:rPr>
        <w:t xml:space="preserve"> (120 cm)</w:t>
      </w:r>
      <w:r w:rsidRPr="00EC64EE">
        <w:rPr>
          <w:rFonts w:cs="Times New Roman"/>
        </w:rPr>
        <w:t xml:space="preserve"> for the three light conditions: (a) high MDER light settings (HM):</w:t>
      </w:r>
      <w:r w:rsidR="00672630">
        <w:rPr>
          <w:rFonts w:cs="Times New Roman"/>
        </w:rPr>
        <w:t xml:space="preserve"> </w:t>
      </w:r>
      <w:r w:rsidRPr="00EC64EE">
        <w:rPr>
          <w:rFonts w:cs="Times New Roman"/>
        </w:rPr>
        <w:t>0.85 MDER, 210.93 MEDI, 6381 K; (b) neutral MDER light settings (NM):</w:t>
      </w:r>
      <w:r w:rsidR="00672630">
        <w:rPr>
          <w:rFonts w:cs="Times New Roman"/>
        </w:rPr>
        <w:t xml:space="preserve"> </w:t>
      </w:r>
      <w:r w:rsidRPr="00EC64EE">
        <w:rPr>
          <w:rFonts w:cs="Times New Roman"/>
        </w:rPr>
        <w:t xml:space="preserve">0.6 MDER, 156.09 MEDI, 3875 K; and (c) low MDER light settings (LM): 0.43 MDER, 90.57 MEDI, 2648 K. </w:t>
      </w:r>
      <w:r w:rsidR="00262397">
        <w:rPr>
          <w:rFonts w:cs="Times New Roman"/>
        </w:rPr>
        <w:t>T</w:t>
      </w:r>
      <w:r w:rsidR="00262397" w:rsidRPr="00EC64EE">
        <w:rPr>
          <w:rFonts w:cs="Times New Roman"/>
        </w:rPr>
        <w:t xml:space="preserve">he photopic lx of three light settings </w:t>
      </w:r>
      <w:r w:rsidR="00262397">
        <w:rPr>
          <w:rFonts w:cs="Times New Roman"/>
        </w:rPr>
        <w:t>was</w:t>
      </w:r>
      <w:r w:rsidR="00262397" w:rsidRPr="00EC64EE">
        <w:rPr>
          <w:rFonts w:cs="Times New Roman"/>
        </w:rPr>
        <w:t xml:space="preserve"> kept </w:t>
      </w:r>
      <w:r w:rsidR="001604F8">
        <w:rPr>
          <w:rFonts w:cs="Times New Roman"/>
        </w:rPr>
        <w:t xml:space="preserve">at </w:t>
      </w:r>
      <w:r w:rsidR="00262397" w:rsidRPr="00EC64EE">
        <w:rPr>
          <w:rFonts w:cs="Times New Roman"/>
        </w:rPr>
        <w:t xml:space="preserve">~250 lx </w:t>
      </w:r>
      <w:r w:rsidR="001604F8">
        <w:rPr>
          <w:rFonts w:cs="Times New Roman"/>
        </w:rPr>
        <w:t>in</w:t>
      </w:r>
      <w:r w:rsidR="00262397" w:rsidRPr="00EC64EE">
        <w:rPr>
          <w:rFonts w:cs="Times New Roman"/>
        </w:rPr>
        <w:t xml:space="preserve"> </w:t>
      </w:r>
      <w:r w:rsidR="00262397">
        <w:rPr>
          <w:rFonts w:cs="Times New Roman"/>
        </w:rPr>
        <w:t>the horizontal plane</w:t>
      </w:r>
      <w:r w:rsidR="00262397" w:rsidRPr="00EC64EE">
        <w:rPr>
          <w:rFonts w:cs="Times New Roman"/>
        </w:rPr>
        <w:t xml:space="preserve"> (</w:t>
      </w:r>
      <w:r w:rsidR="00262397">
        <w:rPr>
          <w:rFonts w:cs="Times New Roman"/>
        </w:rPr>
        <w:t>mean</w:t>
      </w:r>
      <w:r w:rsidR="0028789E">
        <w:rPr>
          <w:rFonts w:cs="Times New Roman"/>
        </w:rPr>
        <w:t>=</w:t>
      </w:r>
      <w:r w:rsidR="00262397" w:rsidRPr="00EC64EE">
        <w:rPr>
          <w:rFonts w:cs="Times New Roman"/>
        </w:rPr>
        <w:t>238.12</w:t>
      </w:r>
      <w:r w:rsidR="0028789E">
        <w:rPr>
          <w:rFonts w:cs="Times New Roman"/>
        </w:rPr>
        <w:t>;</w:t>
      </w:r>
      <w:r w:rsidR="00262397" w:rsidRPr="00EC64EE">
        <w:rPr>
          <w:rFonts w:cs="Times New Roman"/>
        </w:rPr>
        <w:t xml:space="preserve"> SD=±13.11)</w:t>
      </w:r>
      <w:r w:rsidR="0028789E">
        <w:rPr>
          <w:rFonts w:cs="Times New Roman"/>
        </w:rPr>
        <w:t xml:space="preserve"> and ~2</w:t>
      </w:r>
      <w:r w:rsidR="00767C74">
        <w:rPr>
          <w:rFonts w:cs="Times New Roman"/>
        </w:rPr>
        <w:t>30</w:t>
      </w:r>
      <w:r w:rsidR="0028789E">
        <w:rPr>
          <w:rFonts w:cs="Times New Roman"/>
        </w:rPr>
        <w:t xml:space="preserve"> lx</w:t>
      </w:r>
      <w:r w:rsidR="00262397" w:rsidRPr="00EC64EE">
        <w:rPr>
          <w:rFonts w:cs="Times New Roman"/>
        </w:rPr>
        <w:t xml:space="preserve"> </w:t>
      </w:r>
      <w:r w:rsidR="00767C74">
        <w:rPr>
          <w:rFonts w:cs="Times New Roman"/>
        </w:rPr>
        <w:t>i</w:t>
      </w:r>
      <w:r w:rsidR="00262397" w:rsidRPr="00EC64EE">
        <w:rPr>
          <w:rFonts w:cs="Times New Roman"/>
        </w:rPr>
        <w:t xml:space="preserve">n </w:t>
      </w:r>
      <w:r w:rsidR="00767C74">
        <w:rPr>
          <w:rFonts w:cs="Times New Roman"/>
        </w:rPr>
        <w:t xml:space="preserve">the </w:t>
      </w:r>
      <w:r w:rsidR="00262397" w:rsidRPr="00EC64EE">
        <w:rPr>
          <w:rFonts w:cs="Times New Roman"/>
        </w:rPr>
        <w:t xml:space="preserve">vertical plane </w:t>
      </w:r>
      <w:r w:rsidR="00767C74">
        <w:rPr>
          <w:rFonts w:cs="Times New Roman"/>
        </w:rPr>
        <w:t>(mean=</w:t>
      </w:r>
      <w:r w:rsidR="00262397" w:rsidRPr="00EC64EE">
        <w:rPr>
          <w:rFonts w:cs="Times New Roman"/>
        </w:rPr>
        <w:t>238.12</w:t>
      </w:r>
      <w:r w:rsidR="00767C74">
        <w:rPr>
          <w:rFonts w:cs="Times New Roman"/>
        </w:rPr>
        <w:t xml:space="preserve">; </w:t>
      </w:r>
      <w:r w:rsidR="00262397" w:rsidRPr="00EC64EE">
        <w:rPr>
          <w:rFonts w:cs="Times New Roman"/>
        </w:rPr>
        <w:t>SD=±13.11).</w:t>
      </w:r>
      <w:r w:rsidR="009B2D90">
        <w:rPr>
          <w:rFonts w:cs="Times New Roman"/>
        </w:rPr>
        <w:t xml:space="preserve"> Each experimental session started with a 30-minute adaption period, during which </w:t>
      </w:r>
      <w:r w:rsidRPr="00EC64EE">
        <w:rPr>
          <w:rFonts w:cs="Times New Roman"/>
        </w:rPr>
        <w:t>the</w:t>
      </w:r>
      <w:r w:rsidR="00FD1E8C">
        <w:rPr>
          <w:rFonts w:cs="Times New Roman"/>
        </w:rPr>
        <w:t xml:space="preserve"> MDER was 0.60 with</w:t>
      </w:r>
      <w:r w:rsidRPr="00EC64EE">
        <w:rPr>
          <w:rFonts w:cs="Times New Roman"/>
        </w:rPr>
        <w:t xml:space="preserve"> 250</w:t>
      </w:r>
      <w:r w:rsidR="00FD1E8C">
        <w:rPr>
          <w:rFonts w:cs="Times New Roman"/>
        </w:rPr>
        <w:t xml:space="preserve"> photopic</w:t>
      </w:r>
      <w:r w:rsidR="009B2D90">
        <w:rPr>
          <w:rFonts w:cs="Times New Roman"/>
        </w:rPr>
        <w:t xml:space="preserve"> lx</w:t>
      </w:r>
      <w:r w:rsidRPr="00EC64EE">
        <w:rPr>
          <w:rFonts w:cs="Times New Roman"/>
        </w:rPr>
        <w:t xml:space="preserve"> </w:t>
      </w:r>
      <w:r w:rsidR="00204964">
        <w:rPr>
          <w:rFonts w:cs="Times New Roman"/>
        </w:rPr>
        <w:t>in</w:t>
      </w:r>
      <w:r w:rsidRPr="00EC64EE">
        <w:rPr>
          <w:rFonts w:cs="Times New Roman"/>
        </w:rPr>
        <w:t xml:space="preserve"> the horizontal plane (79.23 </w:t>
      </w:r>
      <w:proofErr w:type="spellStart"/>
      <w:r w:rsidRPr="00EC64EE">
        <w:rPr>
          <w:rFonts w:cs="Times New Roman"/>
        </w:rPr>
        <w:t>μW</w:t>
      </w:r>
      <w:proofErr w:type="spellEnd"/>
      <w:r w:rsidRPr="00EC64EE">
        <w:rPr>
          <w:rFonts w:cs="Times New Roman"/>
        </w:rPr>
        <w:t>/cm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EC64EE">
        <w:rPr>
          <w:rFonts w:cs="Times New Roman"/>
        </w:rPr>
        <w:t xml:space="preserve">) and 139 </w:t>
      </w:r>
      <w:r w:rsidR="00FD1E8C">
        <w:rPr>
          <w:rFonts w:cs="Times New Roman"/>
        </w:rPr>
        <w:t xml:space="preserve">photopic </w:t>
      </w:r>
      <w:r w:rsidRPr="00EC64EE">
        <w:rPr>
          <w:rFonts w:cs="Times New Roman"/>
        </w:rPr>
        <w:t xml:space="preserve">lx (42.79 </w:t>
      </w:r>
      <w:proofErr w:type="spellStart"/>
      <w:r w:rsidRPr="00EC64EE">
        <w:rPr>
          <w:rFonts w:cs="Times New Roman"/>
        </w:rPr>
        <w:t>μW</w:t>
      </w:r>
      <w:proofErr w:type="spellEnd"/>
      <w:r w:rsidRPr="00EC64EE">
        <w:rPr>
          <w:rFonts w:cs="Times New Roman"/>
        </w:rPr>
        <w:t>/cm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​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EC64EE">
        <w:rPr>
          <w:rFonts w:cs="Times New Roman"/>
        </w:rPr>
        <w:t>)</w:t>
      </w:r>
      <w:r w:rsidR="009B2D90">
        <w:rPr>
          <w:rFonts w:cs="Times New Roman"/>
        </w:rPr>
        <w:t xml:space="preserve"> in the vertical plane</w:t>
      </w:r>
      <w:r w:rsidRPr="00EC64EE">
        <w:rPr>
          <w:rFonts w:cs="Times New Roman"/>
        </w:rPr>
        <w:t>. The α-</w:t>
      </w:r>
      <w:proofErr w:type="spellStart"/>
      <w:r w:rsidRPr="00EC64EE">
        <w:rPr>
          <w:rFonts w:cs="Times New Roman"/>
        </w:rPr>
        <w:t>opic</w:t>
      </w:r>
      <w:proofErr w:type="spellEnd"/>
      <w:r w:rsidRPr="00EC64EE">
        <w:rPr>
          <w:rFonts w:cs="Times New Roman"/>
        </w:rPr>
        <w:t xml:space="preserve"> values and MDER values are obtained using </w:t>
      </w:r>
      <w:proofErr w:type="spellStart"/>
      <w:r w:rsidRPr="00EC64EE">
        <w:rPr>
          <w:rFonts w:cs="Times New Roman"/>
        </w:rPr>
        <w:t>Loux</w:t>
      </w:r>
      <w:proofErr w:type="spellEnd"/>
      <w:r w:rsidRPr="00EC64EE">
        <w:rPr>
          <w:rFonts w:cs="Times New Roman"/>
        </w:rPr>
        <w:t xml:space="preserve"> software </w:t>
      </w:r>
      <w:r w:rsidR="001D2481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&lt;EndNote&gt;&lt;Cite&gt;&lt;Author&gt;Spitschan&lt;/Author&gt;&lt;Year&gt;2021&lt;/Year&gt;&lt;RecNum&gt;2208&lt;/RecNum&gt;&lt;DisplayText&gt;(Spitschan et al., 2021)&lt;/DisplayText&gt;&lt;record&gt;&lt;rec-number&gt;2208&lt;/rec-number&gt;&lt;foreign-keys&gt;&lt;key app="EN" db-id="5fa5wf9ac5ffz6eefsqvear65avdrepps9zf" timestamp="1672921979"&gt;2208&lt;/key&gt;&lt;/foreign-keys&gt;&lt;ref-type name="Journal Article"&gt;17&lt;/ref-type&gt;&lt;contributors&gt;&lt;authors&gt;&lt;author&gt;Spitschan, Manuel&lt;/author&gt;&lt;author&gt;Mead, James&lt;/author&gt;&lt;author&gt;Roos, Chris&lt;/author&gt;&lt;author&gt;Lowis, Chris&lt;/author&gt;&lt;author&gt;Griffiths, Ben&lt;/author&gt;&lt;author&gt;Mucur, Paul&lt;/author&gt;&lt;author&gt;Herf, Michael&lt;/author&gt;&lt;/authors&gt;&lt;/contributors&gt;&lt;titles&gt;&lt;title&gt;luox: novel validated open-access and open-source web platform for calculating and sharing physiologically relevant quantities for light and lighting&lt;/title&gt;&lt;secondary-title&gt;Wellcome open research&lt;/secondary-title&gt;&lt;/titles&gt;&lt;pages&gt;1-12&lt;/pages&gt;&lt;volume&gt;6&lt;/volume&gt;&lt;keywords&gt;&lt;keyword&gt;alpha-opic irradiance&lt;/keyword&gt;&lt;keyword&gt;alpha-opic radiance&lt;/keyword&gt;&lt;keyword&gt;chronobiology&lt;/keyword&gt;&lt;keyword&gt;CIE&lt;/keyword&gt;&lt;keyword&gt;cones&lt;/keyword&gt;&lt;keyword&gt;EDI&lt;/keyword&gt;&lt;keyword&gt;EDL&lt;/keyword&gt;&lt;keyword&gt;environmental psychology&lt;/keyword&gt;&lt;keyword&gt;equivalent daylight illuminance&lt;/keyword&gt;&lt;keyword&gt;equivalent daylight luminance&lt;/keyword&gt;&lt;keyword&gt;International Commission on Illumination&lt;/keyword&gt;&lt;keyword&gt;ipRGCs&lt;/keyword&gt;&lt;keyword&gt;light&lt;/keyword&gt;&lt;keyword&gt;melanopsin&lt;/keyword&gt;&lt;keyword&gt;non-visual effects of light&lt;/keyword&gt;&lt;keyword&gt;nonvisual effects of light&lt;/keyword&gt;&lt;keyword&gt;open access&lt;/keyword&gt;&lt;keyword&gt;open source&lt;/keyword&gt;&lt;keyword&gt;rods&lt;/keyword&gt;&lt;keyword&gt;sleep research&lt;/keyword&gt;&lt;keyword&gt;Software Tool&lt;/keyword&gt;&lt;keyword&gt;spectrum&lt;/keyword&gt;&lt;keyword&gt;web platform&lt;/keyword&gt;&lt;/keywords&gt;&lt;dates&gt;&lt;year&gt;2021&lt;/year&gt;&lt;/dates&gt;&lt;pub-location&gt;London, UK&lt;/pub-location&gt;&lt;publisher&gt;London, UK: F1000 Research Limited&lt;/publisher&gt;&lt;isbn&gt;2398-502X&lt;/isbn&gt;&lt;urls&gt;&lt;/urls&gt;&lt;electronic-resource-num&gt;10.12688/wellcomeopenres.16595.2&lt;/electronic-resource-num&gt;&lt;/record&gt;&lt;/Cite&gt;&lt;/EndNote&gt;</w:instrText>
      </w:r>
      <w:r w:rsidR="001D2481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(Spitschan et al., 2021)</w:t>
      </w:r>
      <w:r w:rsidR="001D2481">
        <w:rPr>
          <w:rFonts w:cs="Times New Roman"/>
        </w:rPr>
        <w:fldChar w:fldCharType="end"/>
      </w:r>
      <w:r w:rsidR="001D2481">
        <w:rPr>
          <w:rFonts w:cs="Times New Roman"/>
        </w:rPr>
        <w:t xml:space="preserve"> </w:t>
      </w:r>
      <w:r w:rsidRPr="00EC64EE">
        <w:rPr>
          <w:rFonts w:cs="Times New Roman"/>
        </w:rPr>
        <w:t xml:space="preserve">and CIE S 026:2018 toolbox </w:t>
      </w:r>
      <w:r w:rsidR="00DC3443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&lt;EndNote&gt;&lt;Cite&gt;&lt;Author&gt;Schlangen&lt;/Author&gt;&lt;Year&gt;2018&lt;/Year&gt;&lt;RecNum&gt;353&lt;/RecNum&gt;&lt;DisplayText&gt;(Schlangen, 2018)&lt;/DisplayText&gt;&lt;record&gt;&lt;rec-number&gt;353&lt;/rec-number&gt;&lt;foreign-keys&gt;&lt;key app="EN" db-id="5fa5wf9ac5ffz6eefsqvear65avdrepps9zf" timestamp="1643800799"&gt;353&lt;/key&gt;&lt;/foreign-keys&gt;&lt;ref-type name="Journal Article"&gt;17&lt;/ref-type&gt;&lt;contributors&gt;&lt;authors&gt;&lt;author&gt;Schlangen, Luc&lt;/author&gt;&lt;/authors&gt;&lt;/contributors&gt;&lt;titles&gt;&lt;title&gt;CIE international Standard (CIE S 026/E:2018) &amp;quot;System for Metrology of Optical Radiation for ipRGC-Influenced Responses to Light&amp;quot; http://www.cie.co.at/publications/international-standards&lt;/title&gt;&lt;/titles&gt;&lt;dates&gt;&lt;year&gt;2018&lt;/year&gt;&lt;pub-dates&gt;&lt;date&gt;12/17&lt;/date&gt;&lt;/pub-dates&gt;&lt;/dates&gt;&lt;urls&gt;&lt;/urls&gt;&lt;/record&gt;&lt;/Cite&gt;&lt;/EndNote&gt;</w:instrText>
      </w:r>
      <w:r w:rsidR="00DC3443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(Schlangen, 2018)</w:t>
      </w:r>
      <w:r w:rsidR="00DC3443">
        <w:rPr>
          <w:rFonts w:cs="Times New Roman"/>
        </w:rPr>
        <w:fldChar w:fldCharType="end"/>
      </w:r>
      <w:r w:rsidR="00DC3443">
        <w:rPr>
          <w:rFonts w:cs="Times New Roman"/>
        </w:rPr>
        <w:t xml:space="preserve"> </w:t>
      </w:r>
      <w:r w:rsidRPr="00EC64EE">
        <w:rPr>
          <w:rFonts w:cs="Times New Roman"/>
        </w:rPr>
        <w:t xml:space="preserve">following the CIE S 026 guidelines </w:t>
      </w:r>
      <w:r w:rsidR="009C669C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&lt;EndNote&gt;&lt;Cite&gt;&lt;Author&gt;CIE&lt;/Author&gt;&lt;Year&gt;2018&lt;/Year&gt;&lt;RecNum&gt;520&lt;/RecNum&gt;&lt;DisplayText&gt;(CIE, 2018)&lt;/DisplayText&gt;&lt;record&gt;&lt;rec-number&gt;520&lt;/rec-number&gt;&lt;foreign-keys&gt;&lt;key app="EN" db-id="5fa5wf9ac5ffz6eefsqvear65avdrepps9zf" timestamp="1643801708"&gt;520&lt;/key&gt;&lt;/foreign-keys&gt;&lt;ref-type name="Report"&gt;27&lt;/ref-type&gt;&lt;contributors&gt;&lt;authors&gt;&lt;author&gt;CIE&lt;/author&gt;&lt;/authors&gt;&lt;/contributors&gt;&lt;titles&gt;&lt;title&gt;CIE international Standard (CIE S 026/E:2018) &amp;quot;System for Metrology of Optical Radiation for ipRGC-Influenced Responses to Light&amp;quot;&lt;/title&gt;&lt;/titles&gt;&lt;dates&gt;&lt;year&gt;2018&lt;/year&gt;&lt;/dates&gt;&lt;urls&gt;&lt;related-urls&gt;&lt;url&gt;http://www.cie.co.at/publications/international-standards&lt;/url&gt;&lt;/related-urls&gt;&lt;/urls&gt;&lt;electronic-resource-num&gt;10.25039/S026.2018&lt;/electronic-resource-num&gt;&lt;/record&gt;&lt;/Cite&gt;&lt;/EndNote&gt;</w:instrText>
      </w:r>
      <w:r w:rsidR="009C669C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(CIE, 2018)</w:t>
      </w:r>
      <w:r w:rsidR="009C669C">
        <w:rPr>
          <w:rFonts w:cs="Times New Roman"/>
        </w:rPr>
        <w:fldChar w:fldCharType="end"/>
      </w:r>
      <w:r w:rsidRPr="00EC64EE">
        <w:rPr>
          <w:rFonts w:cs="Times New Roman"/>
        </w:rPr>
        <w:t>.</w:t>
      </w:r>
    </w:p>
    <w:p w14:paraId="79BFCD1F" w14:textId="77777777" w:rsidR="00E9438C" w:rsidRDefault="00E9438C" w:rsidP="0040777E">
      <w:pPr>
        <w:jc w:val="both"/>
        <w:rPr>
          <w:rFonts w:cs="Times New Roman"/>
          <w:b/>
          <w:bCs/>
          <w:w w:val="105"/>
        </w:rPr>
      </w:pPr>
    </w:p>
    <w:p w14:paraId="25FDBF51" w14:textId="082612C6" w:rsidR="0040777E" w:rsidRPr="00061115" w:rsidRDefault="0040777E" w:rsidP="0040777E">
      <w:pPr>
        <w:jc w:val="both"/>
        <w:rPr>
          <w:rFonts w:cs="Times New Roman"/>
          <w:b/>
          <w:bCs/>
          <w:w w:val="105"/>
        </w:rPr>
      </w:pPr>
      <w:r w:rsidRPr="00061115">
        <w:rPr>
          <w:rFonts w:cs="Times New Roman"/>
          <w:b/>
          <w:bCs/>
          <w:w w:val="105"/>
        </w:rPr>
        <w:t xml:space="preserve">Table </w:t>
      </w:r>
      <w:r>
        <w:rPr>
          <w:rFonts w:cs="Times New Roman"/>
          <w:b/>
          <w:bCs/>
          <w:w w:val="105"/>
        </w:rPr>
        <w:t>2</w:t>
      </w:r>
      <w:r w:rsidRPr="00061115">
        <w:rPr>
          <w:rFonts w:cs="Times New Roman"/>
          <w:b/>
          <w:bCs/>
          <w:w w:val="105"/>
        </w:rPr>
        <w:t>. α-</w:t>
      </w:r>
      <w:proofErr w:type="spellStart"/>
      <w:r w:rsidR="00204964" w:rsidRPr="00061115">
        <w:rPr>
          <w:rFonts w:cs="Times New Roman"/>
          <w:b/>
          <w:bCs/>
          <w:w w:val="105"/>
        </w:rPr>
        <w:t>opic</w:t>
      </w:r>
      <w:proofErr w:type="spellEnd"/>
      <w:r w:rsidR="00204964" w:rsidRPr="00061115">
        <w:rPr>
          <w:rFonts w:cs="Times New Roman"/>
          <w:b/>
          <w:bCs/>
          <w:w w:val="105"/>
        </w:rPr>
        <w:t xml:space="preserve"> EDI</w:t>
      </w:r>
      <w:r w:rsidRPr="00061115">
        <w:rPr>
          <w:rFonts w:cs="Times New Roman"/>
          <w:b/>
          <w:bCs/>
          <w:w w:val="105"/>
        </w:rPr>
        <w:t xml:space="preserve"> and MDER values of the </w:t>
      </w:r>
      <w:r w:rsidR="0079332E">
        <w:rPr>
          <w:rFonts w:cs="Times New Roman"/>
          <w:b/>
          <w:bCs/>
          <w:w w:val="105"/>
        </w:rPr>
        <w:t>three</w:t>
      </w:r>
      <w:r w:rsidRPr="00061115">
        <w:rPr>
          <w:rFonts w:cs="Times New Roman"/>
          <w:b/>
          <w:bCs/>
          <w:w w:val="105"/>
        </w:rPr>
        <w:t xml:space="preserve"> light conditions.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963"/>
        <w:gridCol w:w="1601"/>
        <w:gridCol w:w="643"/>
        <w:gridCol w:w="993"/>
        <w:gridCol w:w="868"/>
        <w:gridCol w:w="868"/>
        <w:gridCol w:w="868"/>
        <w:gridCol w:w="691"/>
        <w:gridCol w:w="807"/>
      </w:tblGrid>
      <w:tr w:rsidR="0040777E" w:rsidRPr="00061115" w14:paraId="52281732" w14:textId="77777777" w:rsidTr="00BB5FCE">
        <w:trPr>
          <w:trHeight w:val="320"/>
        </w:trPr>
        <w:tc>
          <w:tcPr>
            <w:tcW w:w="5000" w:type="pct"/>
            <w:gridSpan w:val="10"/>
            <w:shd w:val="clear" w:color="auto" w:fill="auto"/>
            <w:noWrap/>
            <w:vAlign w:val="bottom"/>
            <w:hideMark/>
          </w:tcPr>
          <w:p w14:paraId="12A15434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Horizontal plane (measured at desk level: .80m)</w:t>
            </w:r>
          </w:p>
        </w:tc>
      </w:tr>
      <w:tr w:rsidR="0040777E" w:rsidRPr="00061115" w14:paraId="2FF929BE" w14:textId="77777777" w:rsidTr="00BF6C8B">
        <w:trPr>
          <w:trHeight w:val="320"/>
        </w:trPr>
        <w:tc>
          <w:tcPr>
            <w:tcW w:w="679" w:type="pct"/>
            <w:vMerge w:val="restart"/>
            <w:shd w:val="clear" w:color="auto" w:fill="auto"/>
            <w:noWrap/>
            <w:vAlign w:val="center"/>
            <w:hideMark/>
          </w:tcPr>
          <w:p w14:paraId="670EBDDE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Light Condition</w:t>
            </w:r>
          </w:p>
        </w:tc>
        <w:tc>
          <w:tcPr>
            <w:tcW w:w="576" w:type="pct"/>
            <w:vMerge w:val="restart"/>
            <w:shd w:val="clear" w:color="auto" w:fill="auto"/>
            <w:noWrap/>
            <w:vAlign w:val="center"/>
            <w:hideMark/>
          </w:tcPr>
          <w:p w14:paraId="3B96CC4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Photopic lx</w:t>
            </w:r>
          </w:p>
        </w:tc>
        <w:tc>
          <w:tcPr>
            <w:tcW w:w="771" w:type="pct"/>
            <w:vMerge w:val="restart"/>
            <w:shd w:val="clear" w:color="auto" w:fill="auto"/>
            <w:noWrap/>
            <w:vAlign w:val="center"/>
            <w:hideMark/>
          </w:tcPr>
          <w:p w14:paraId="2327CFCF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Irradiance (</w:t>
            </w:r>
            <w:proofErr w:type="spellStart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μW</w:t>
            </w:r>
            <w:proofErr w:type="spellEnd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/cm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GB" w:bidi="bn-IN"/>
              </w:rPr>
              <w:t>2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)</w:t>
            </w:r>
          </w:p>
        </w:tc>
        <w:tc>
          <w:tcPr>
            <w:tcW w:w="2196" w:type="pct"/>
            <w:gridSpan w:val="5"/>
            <w:shd w:val="clear" w:color="auto" w:fill="auto"/>
            <w:noWrap/>
            <w:vAlign w:val="center"/>
            <w:hideMark/>
          </w:tcPr>
          <w:p w14:paraId="495BF00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α- </w:t>
            </w:r>
            <w:proofErr w:type="spellStart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opic</w:t>
            </w:r>
            <w:proofErr w:type="spellEnd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 Equivalent Daylight (D65) Illuminance (lx)</w:t>
            </w:r>
          </w:p>
        </w:tc>
        <w:tc>
          <w:tcPr>
            <w:tcW w:w="360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3D604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MDER</w:t>
            </w:r>
          </w:p>
        </w:tc>
        <w:tc>
          <w:tcPr>
            <w:tcW w:w="41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4E5C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CCT (K)</w:t>
            </w:r>
          </w:p>
        </w:tc>
      </w:tr>
      <w:tr w:rsidR="0040777E" w:rsidRPr="00061115" w14:paraId="5E599951" w14:textId="77777777" w:rsidTr="00BF6C8B">
        <w:trPr>
          <w:trHeight w:val="320"/>
        </w:trPr>
        <w:tc>
          <w:tcPr>
            <w:tcW w:w="67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04C31D7E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576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4C4F187B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116AF8E2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B38B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S cone</w:t>
            </w:r>
          </w:p>
        </w:tc>
        <w:tc>
          <w:tcPr>
            <w:tcW w:w="4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B33D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Melanopsin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F98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Rod 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D676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M Cone 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309B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L Cone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530C6593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1DA1AC3E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</w:tr>
      <w:tr w:rsidR="0040777E" w:rsidRPr="00061115" w14:paraId="152465A6" w14:textId="77777777" w:rsidTr="00BF6C8B">
        <w:trPr>
          <w:trHeight w:val="320"/>
        </w:trPr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BAD9D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High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03D2D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247.17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7925C" w14:textId="77777777" w:rsidR="0040777E" w:rsidRPr="00061115" w:rsidRDefault="0040777E" w:rsidP="00A87D0D">
            <w:pPr>
              <w:spacing w:before="0" w:after="0" w:line="240" w:lineRule="auto"/>
              <w:ind w:firstLineChars="100" w:firstLine="160"/>
              <w:jc w:val="center"/>
              <w:rPr>
                <w:rFonts w:cs="Times New Roman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sz w:val="16"/>
                <w:szCs w:val="16"/>
              </w:rPr>
              <w:t>81.16</w:t>
            </w:r>
          </w:p>
          <w:p w14:paraId="3A1690F0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25E6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242.09</w:t>
            </w:r>
          </w:p>
          <w:p w14:paraId="6F91B2CE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943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210.93</w:t>
            </w:r>
          </w:p>
          <w:p w14:paraId="74EFB610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8524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221.15</w:t>
            </w:r>
          </w:p>
          <w:p w14:paraId="4C887D56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D1C1E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239.49</w:t>
            </w:r>
          </w:p>
          <w:p w14:paraId="626C7680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AF0E7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243.22</w:t>
            </w:r>
          </w:p>
          <w:p w14:paraId="1CC8B70B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2F4D7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0.85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7BFC2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6381</w:t>
            </w:r>
          </w:p>
        </w:tc>
      </w:tr>
      <w:tr w:rsidR="0040777E" w:rsidRPr="00061115" w14:paraId="1448784E" w14:textId="77777777" w:rsidTr="00BF6C8B">
        <w:trPr>
          <w:trHeight w:val="320"/>
        </w:trPr>
        <w:tc>
          <w:tcPr>
            <w:tcW w:w="6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C418F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Neutral</w:t>
            </w:r>
          </w:p>
        </w:tc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BE3E3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259.82</w:t>
            </w: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26C9C" w14:textId="77777777" w:rsidR="0040777E" w:rsidRPr="00061115" w:rsidRDefault="0040777E" w:rsidP="00A87D0D">
            <w:pPr>
              <w:spacing w:before="0" w:after="0" w:line="240" w:lineRule="auto"/>
              <w:ind w:firstLineChars="100" w:firstLine="160"/>
              <w:jc w:val="center"/>
              <w:rPr>
                <w:rFonts w:cs="Times New Roman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sz w:val="16"/>
                <w:szCs w:val="16"/>
              </w:rPr>
              <w:t>79.23</w:t>
            </w:r>
          </w:p>
          <w:p w14:paraId="60BD5AC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C11C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137.75</w:t>
            </w:r>
          </w:p>
          <w:p w14:paraId="440D452F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3F922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156.09</w:t>
            </w:r>
          </w:p>
          <w:p w14:paraId="1B197E1F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82CE6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174.23</w:t>
            </w:r>
          </w:p>
          <w:p w14:paraId="20AF51E4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5659C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226.870257</w:t>
            </w:r>
          </w:p>
          <w:p w14:paraId="7B77B39C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272BE" w14:textId="77777777" w:rsidR="0040777E" w:rsidRPr="00061115" w:rsidRDefault="0040777E" w:rsidP="00A87D0D">
            <w:pPr>
              <w:spacing w:before="0" w:after="0" w:line="240" w:lineRule="auto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259.43</w:t>
            </w:r>
          </w:p>
          <w:p w14:paraId="3C68A6D6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3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21FB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0.60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5638A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3875</w:t>
            </w:r>
          </w:p>
        </w:tc>
      </w:tr>
      <w:tr w:rsidR="0040777E" w:rsidRPr="00061115" w14:paraId="14F42B4F" w14:textId="77777777" w:rsidTr="00BF6C8B">
        <w:trPr>
          <w:trHeight w:val="320"/>
        </w:trPr>
        <w:tc>
          <w:tcPr>
            <w:tcW w:w="6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C13A4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Low</w:t>
            </w:r>
          </w:p>
        </w:tc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431D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207.38</w:t>
            </w:r>
          </w:p>
        </w:tc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5C6C" w14:textId="77777777" w:rsidR="0040777E" w:rsidRPr="00061115" w:rsidRDefault="0040777E" w:rsidP="00A87D0D">
            <w:pPr>
              <w:spacing w:before="0" w:after="0" w:line="240" w:lineRule="auto"/>
              <w:ind w:firstLineChars="100" w:firstLine="160"/>
              <w:jc w:val="center"/>
              <w:rPr>
                <w:rFonts w:cs="Times New Roman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sz w:val="16"/>
                <w:szCs w:val="16"/>
              </w:rPr>
              <w:t>63.48</w:t>
            </w:r>
          </w:p>
          <w:p w14:paraId="404F472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91ADA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50.85</w:t>
            </w:r>
          </w:p>
        </w:tc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7F0D1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90.57</w:t>
            </w:r>
          </w:p>
        </w:tc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E50AD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108.8808562</w:t>
            </w:r>
          </w:p>
        </w:tc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9D304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161.9572833</w:t>
            </w:r>
          </w:p>
        </w:tc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15F2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211.8043125</w:t>
            </w:r>
          </w:p>
        </w:tc>
        <w:tc>
          <w:tcPr>
            <w:tcW w:w="3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C86B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0.43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C9319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2648</w:t>
            </w:r>
          </w:p>
        </w:tc>
      </w:tr>
      <w:tr w:rsidR="0040777E" w:rsidRPr="00061115" w14:paraId="63B4F79B" w14:textId="77777777" w:rsidTr="00BF6C8B">
        <w:trPr>
          <w:trHeight w:val="320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27AC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Vertical plane (measured at Eye level: 1.2m)</w:t>
            </w:r>
          </w:p>
        </w:tc>
      </w:tr>
      <w:tr w:rsidR="00BB5FCE" w:rsidRPr="00061115" w14:paraId="77F2C80A" w14:textId="77777777" w:rsidTr="00BB5FCE">
        <w:trPr>
          <w:trHeight w:val="320"/>
        </w:trPr>
        <w:tc>
          <w:tcPr>
            <w:tcW w:w="679" w:type="pct"/>
            <w:vMerge w:val="restart"/>
            <w:shd w:val="clear" w:color="auto" w:fill="auto"/>
            <w:noWrap/>
            <w:vAlign w:val="center"/>
            <w:hideMark/>
          </w:tcPr>
          <w:p w14:paraId="308BD48B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 Light Condition</w:t>
            </w:r>
          </w:p>
        </w:tc>
        <w:tc>
          <w:tcPr>
            <w:tcW w:w="576" w:type="pct"/>
            <w:vMerge w:val="restart"/>
            <w:shd w:val="clear" w:color="auto" w:fill="auto"/>
            <w:noWrap/>
            <w:vAlign w:val="center"/>
            <w:hideMark/>
          </w:tcPr>
          <w:p w14:paraId="7F65AD2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Photopic lx</w:t>
            </w:r>
          </w:p>
        </w:tc>
        <w:tc>
          <w:tcPr>
            <w:tcW w:w="771" w:type="pct"/>
            <w:vMerge w:val="restart"/>
            <w:shd w:val="clear" w:color="auto" w:fill="auto"/>
            <w:noWrap/>
            <w:vAlign w:val="center"/>
            <w:hideMark/>
          </w:tcPr>
          <w:p w14:paraId="7AB107D6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Irradiance (</w:t>
            </w:r>
            <w:proofErr w:type="spellStart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μW</w:t>
            </w:r>
            <w:proofErr w:type="spellEnd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/cm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vertAlign w:val="superscript"/>
                <w:lang w:eastAsia="en-GB" w:bidi="bn-IN"/>
              </w:rPr>
              <w:t>2</w:t>
            </w: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)</w:t>
            </w:r>
          </w:p>
        </w:tc>
        <w:tc>
          <w:tcPr>
            <w:tcW w:w="2196" w:type="pct"/>
            <w:gridSpan w:val="5"/>
            <w:shd w:val="clear" w:color="auto" w:fill="auto"/>
            <w:noWrap/>
            <w:vAlign w:val="center"/>
            <w:hideMark/>
          </w:tcPr>
          <w:p w14:paraId="74868603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α- </w:t>
            </w:r>
            <w:proofErr w:type="spellStart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opic</w:t>
            </w:r>
            <w:proofErr w:type="spellEnd"/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 Equivalent Daylight (D65) Illuminance (lx)</w:t>
            </w:r>
          </w:p>
        </w:tc>
        <w:tc>
          <w:tcPr>
            <w:tcW w:w="360" w:type="pct"/>
            <w:vMerge w:val="restart"/>
            <w:shd w:val="clear" w:color="auto" w:fill="auto"/>
            <w:noWrap/>
            <w:vAlign w:val="center"/>
            <w:hideMark/>
          </w:tcPr>
          <w:p w14:paraId="67D0293C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MDER</w:t>
            </w:r>
          </w:p>
        </w:tc>
        <w:tc>
          <w:tcPr>
            <w:tcW w:w="419" w:type="pct"/>
            <w:vMerge w:val="restart"/>
            <w:shd w:val="clear" w:color="auto" w:fill="auto"/>
            <w:noWrap/>
            <w:vAlign w:val="center"/>
            <w:hideMark/>
          </w:tcPr>
          <w:p w14:paraId="37CABE4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CCT (K)</w:t>
            </w:r>
          </w:p>
        </w:tc>
      </w:tr>
      <w:tr w:rsidR="0040777E" w:rsidRPr="00061115" w14:paraId="10DA8F10" w14:textId="77777777" w:rsidTr="00BF6C8B">
        <w:trPr>
          <w:trHeight w:val="320"/>
        </w:trPr>
        <w:tc>
          <w:tcPr>
            <w:tcW w:w="67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37F11973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576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376A2752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7E7346C2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40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75BE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S cone</w:t>
            </w:r>
          </w:p>
        </w:tc>
        <w:tc>
          <w:tcPr>
            <w:tcW w:w="4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B7D7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Melanopsin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8753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Rod 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5B4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 xml:space="preserve">M Cone 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DB1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  <w:r w:rsidRPr="0006111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  <w:t>L Cone</w:t>
            </w:r>
          </w:p>
        </w:tc>
        <w:tc>
          <w:tcPr>
            <w:tcW w:w="360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65BB8D1E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  <w:tc>
          <w:tcPr>
            <w:tcW w:w="41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6721A597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 w:bidi="bn-IN"/>
              </w:rPr>
            </w:pPr>
          </w:p>
        </w:tc>
      </w:tr>
      <w:tr w:rsidR="0040777E" w:rsidRPr="00061115" w14:paraId="42E69CC4" w14:textId="77777777" w:rsidTr="00BF6C8B">
        <w:trPr>
          <w:trHeight w:val="320"/>
        </w:trPr>
        <w:tc>
          <w:tcPr>
            <w:tcW w:w="67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2BAF204C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High</w:t>
            </w:r>
          </w:p>
        </w:tc>
        <w:tc>
          <w:tcPr>
            <w:tcW w:w="576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876C206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131.83</w:t>
            </w:r>
          </w:p>
        </w:tc>
        <w:tc>
          <w:tcPr>
            <w:tcW w:w="771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EFE45C7" w14:textId="77777777" w:rsidR="0040777E" w:rsidRPr="00061115" w:rsidRDefault="0040777E" w:rsidP="00A87D0D">
            <w:pPr>
              <w:spacing w:before="0" w:after="0" w:line="240" w:lineRule="auto"/>
              <w:ind w:firstLineChars="100" w:firstLine="16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cs="Times New Roman"/>
                <w:sz w:val="16"/>
                <w:szCs w:val="16"/>
              </w:rPr>
              <w:t>43.37</w:t>
            </w:r>
          </w:p>
        </w:tc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BC7EF2E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125.21</w:t>
            </w:r>
          </w:p>
          <w:p w14:paraId="402FBCB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3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0267557B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110.723337</w:t>
            </w:r>
          </w:p>
          <w:p w14:paraId="51470E7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2E031A0B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116.40</w:t>
            </w:r>
          </w:p>
          <w:p w14:paraId="480AD98F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63491A50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127.00</w:t>
            </w:r>
          </w:p>
          <w:p w14:paraId="06836754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A1FA31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129.83</w:t>
            </w:r>
          </w:p>
          <w:p w14:paraId="2AC044DB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360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2D1E5283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0.84</w:t>
            </w:r>
          </w:p>
        </w:tc>
        <w:tc>
          <w:tcPr>
            <w:tcW w:w="419" w:type="pct"/>
            <w:tcBorders>
              <w:bottom w:val="nil"/>
            </w:tcBorders>
            <w:shd w:val="clear" w:color="auto" w:fill="auto"/>
            <w:noWrap/>
            <w:vAlign w:val="center"/>
          </w:tcPr>
          <w:p w14:paraId="7F5033F8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6164</w:t>
            </w:r>
          </w:p>
        </w:tc>
      </w:tr>
      <w:tr w:rsidR="0040777E" w:rsidRPr="00061115" w14:paraId="5A0BB415" w14:textId="77777777" w:rsidTr="00BF6C8B">
        <w:trPr>
          <w:trHeight w:val="320"/>
        </w:trPr>
        <w:tc>
          <w:tcPr>
            <w:tcW w:w="67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418E5CB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Neutral</w:t>
            </w:r>
          </w:p>
        </w:tc>
        <w:tc>
          <w:tcPr>
            <w:tcW w:w="57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A34675F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139.53</w:t>
            </w:r>
          </w:p>
        </w:tc>
        <w:tc>
          <w:tcPr>
            <w:tcW w:w="7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6EA46A" w14:textId="77777777" w:rsidR="0040777E" w:rsidRPr="00061115" w:rsidRDefault="0040777E" w:rsidP="00A87D0D">
            <w:pPr>
              <w:spacing w:before="0" w:after="0" w:line="240" w:lineRule="auto"/>
              <w:ind w:firstLineChars="100" w:firstLine="16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cs="Times New Roman"/>
                <w:sz w:val="16"/>
                <w:szCs w:val="16"/>
              </w:rPr>
              <w:t>42.73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AA66ED7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71.68</w:t>
            </w:r>
          </w:p>
          <w:p w14:paraId="0DF7238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3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D1A70FE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82.62</w:t>
            </w:r>
          </w:p>
          <w:p w14:paraId="5A6DABA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C5EBDF2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92.47</w:t>
            </w:r>
          </w:p>
          <w:p w14:paraId="19A9C110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060359E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121.15</w:t>
            </w:r>
          </w:p>
          <w:p w14:paraId="25F5A7B8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3015F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139.49</w:t>
            </w:r>
          </w:p>
          <w:p w14:paraId="3BC7493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36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50D4CA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0.60</w:t>
            </w:r>
          </w:p>
        </w:tc>
        <w:tc>
          <w:tcPr>
            <w:tcW w:w="41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300355B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3788</w:t>
            </w:r>
          </w:p>
        </w:tc>
      </w:tr>
      <w:tr w:rsidR="0040777E" w:rsidRPr="00061115" w14:paraId="59AB5174" w14:textId="77777777" w:rsidTr="00BF6C8B">
        <w:trPr>
          <w:trHeight w:val="320"/>
        </w:trPr>
        <w:tc>
          <w:tcPr>
            <w:tcW w:w="67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E08632C" w14:textId="77777777" w:rsidR="0040777E" w:rsidRPr="00061115" w:rsidRDefault="0040777E" w:rsidP="00A87D0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Low</w:t>
            </w:r>
          </w:p>
        </w:tc>
        <w:tc>
          <w:tcPr>
            <w:tcW w:w="576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2D144C8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113.98</w:t>
            </w:r>
          </w:p>
        </w:tc>
        <w:tc>
          <w:tcPr>
            <w:tcW w:w="771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1489687" w14:textId="77777777" w:rsidR="0040777E" w:rsidRPr="00061115" w:rsidRDefault="0040777E" w:rsidP="00A87D0D">
            <w:pPr>
              <w:spacing w:before="0" w:after="0" w:line="240" w:lineRule="auto"/>
              <w:ind w:firstLineChars="100" w:firstLine="160"/>
              <w:jc w:val="center"/>
              <w:rPr>
                <w:rFonts w:cs="Times New Roman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sz w:val="16"/>
                <w:szCs w:val="16"/>
              </w:rPr>
              <w:t>35.22</w:t>
            </w:r>
          </w:p>
          <w:p w14:paraId="38C3AC3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45B24E10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27.23</w:t>
            </w:r>
          </w:p>
          <w:p w14:paraId="6469895D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3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C78E8D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49.20</w:t>
            </w:r>
          </w:p>
          <w:p w14:paraId="65B481ED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58E93E9B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59.26</w:t>
            </w:r>
          </w:p>
          <w:p w14:paraId="0713B487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A0147F5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88.52</w:t>
            </w:r>
          </w:p>
          <w:p w14:paraId="3E323C39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4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83D35B8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cs="Times New Roman"/>
                <w:color w:val="000000"/>
                <w:sz w:val="16"/>
                <w:szCs w:val="16"/>
                <w:lang w:val="en-MY"/>
              </w:rPr>
            </w:pPr>
            <w:r w:rsidRPr="00061115">
              <w:rPr>
                <w:rFonts w:cs="Times New Roman"/>
                <w:color w:val="000000"/>
                <w:sz w:val="16"/>
                <w:szCs w:val="16"/>
              </w:rPr>
              <w:t>139.49</w:t>
            </w:r>
          </w:p>
          <w:p w14:paraId="4F42939B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</w:p>
        </w:tc>
        <w:tc>
          <w:tcPr>
            <w:tcW w:w="36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48259140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0.43</w:t>
            </w:r>
          </w:p>
        </w:tc>
        <w:tc>
          <w:tcPr>
            <w:tcW w:w="41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64422C53" w14:textId="77777777" w:rsidR="0040777E" w:rsidRPr="00061115" w:rsidRDefault="0040777E" w:rsidP="00A87D0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</w:pPr>
            <w:r w:rsidRPr="00061115">
              <w:rPr>
                <w:rFonts w:eastAsia="Times New Roman" w:cs="Times New Roman"/>
                <w:color w:val="000000"/>
                <w:sz w:val="16"/>
                <w:szCs w:val="16"/>
                <w:lang w:eastAsia="en-GB" w:bidi="bn-IN"/>
              </w:rPr>
              <w:t>2606</w:t>
            </w:r>
          </w:p>
        </w:tc>
      </w:tr>
    </w:tbl>
    <w:p w14:paraId="67DAB4D0" w14:textId="77777777" w:rsidR="0079332E" w:rsidRDefault="0079332E">
      <w:pPr>
        <w:pStyle w:val="Heading2"/>
        <w:rPr>
          <w:rFonts w:cs="Times New Roman"/>
        </w:rPr>
      </w:pPr>
      <w:bookmarkStart w:id="3" w:name="study-protocol"/>
      <w:bookmarkEnd w:id="2"/>
    </w:p>
    <w:p w14:paraId="599ED1F2" w14:textId="5177468F" w:rsidR="00AE363D" w:rsidRPr="00EC64EE" w:rsidRDefault="00000000">
      <w:pPr>
        <w:pStyle w:val="Heading2"/>
        <w:rPr>
          <w:rFonts w:cs="Times New Roman"/>
        </w:rPr>
      </w:pPr>
      <w:r w:rsidRPr="00EC64EE">
        <w:rPr>
          <w:rFonts w:cs="Times New Roman"/>
        </w:rPr>
        <w:t>Study Protocol</w:t>
      </w:r>
    </w:p>
    <w:p w14:paraId="599ED1F3" w14:textId="05C50521" w:rsidR="00AE363D" w:rsidRPr="00EC64EE" w:rsidRDefault="00000000">
      <w:pPr>
        <w:pStyle w:val="FirstParagraph"/>
        <w:rPr>
          <w:rFonts w:cs="Times New Roman"/>
        </w:rPr>
      </w:pPr>
      <w:r w:rsidRPr="00EC64EE">
        <w:rPr>
          <w:rFonts w:cs="Times New Roman"/>
        </w:rPr>
        <w:t xml:space="preserve">Participants were asked not to ingest any caffeine and drink alcohol on the experiment day. </w:t>
      </w:r>
      <w:r w:rsidR="006A652A">
        <w:rPr>
          <w:rFonts w:cs="Times New Roman"/>
        </w:rPr>
        <w:t xml:space="preserve">Figure 1-D depicts the experimental protocol followed in this study. </w:t>
      </w:r>
      <w:r w:rsidRPr="00EC64EE">
        <w:rPr>
          <w:rFonts w:cs="Times New Roman"/>
        </w:rPr>
        <w:t xml:space="preserve">Each participant spent approximately two hours in our lab in a time cue free environment (all doors and windows covered with blinds, no watches, internet, mobile, TV, </w:t>
      </w:r>
      <w:proofErr w:type="gramStart"/>
      <w:r w:rsidRPr="00EC64EE">
        <w:rPr>
          <w:rFonts w:cs="Times New Roman"/>
        </w:rPr>
        <w:t>newspaper</w:t>
      </w:r>
      <w:proofErr w:type="gramEnd"/>
      <w:r w:rsidRPr="00EC64EE">
        <w:rPr>
          <w:rFonts w:cs="Times New Roman"/>
        </w:rPr>
        <w:t xml:space="preserve"> and radio). </w:t>
      </w:r>
      <w:r w:rsidR="006A652A" w:rsidRPr="00EC64EE">
        <w:rPr>
          <w:rFonts w:cs="Times New Roman"/>
        </w:rPr>
        <w:t xml:space="preserve">Each session started with </w:t>
      </w:r>
      <w:r w:rsidR="00204964">
        <w:rPr>
          <w:rFonts w:cs="Times New Roman"/>
        </w:rPr>
        <w:t>an</w:t>
      </w:r>
      <w:r w:rsidR="006A652A">
        <w:rPr>
          <w:rFonts w:cs="Times New Roman"/>
        </w:rPr>
        <w:t xml:space="preserve"> adaption period of 30 minutes</w:t>
      </w:r>
      <w:r w:rsidR="00204964">
        <w:rPr>
          <w:rFonts w:cs="Times New Roman"/>
        </w:rPr>
        <w:t>,</w:t>
      </w:r>
      <w:r w:rsidR="006A652A">
        <w:rPr>
          <w:rFonts w:cs="Times New Roman"/>
        </w:rPr>
        <w:t xml:space="preserve"> where participants participated in a</w:t>
      </w:r>
      <w:r w:rsidR="006A652A" w:rsidRPr="00EC64EE">
        <w:rPr>
          <w:rFonts w:cs="Times New Roman"/>
        </w:rPr>
        <w:t xml:space="preserve"> practice block to familiarize </w:t>
      </w:r>
      <w:r w:rsidR="006A652A">
        <w:rPr>
          <w:rFonts w:cs="Times New Roman"/>
        </w:rPr>
        <w:t>themselves with the</w:t>
      </w:r>
      <w:r w:rsidR="006A652A" w:rsidRPr="00EC64EE">
        <w:rPr>
          <w:rFonts w:cs="Times New Roman"/>
        </w:rPr>
        <w:t xml:space="preserve"> cognitive tests. </w:t>
      </w:r>
      <w:r w:rsidR="00C22711">
        <w:rPr>
          <w:rFonts w:cs="Times New Roman"/>
        </w:rPr>
        <w:t>At the end of the adaption block, p</w:t>
      </w:r>
      <w:r w:rsidRPr="00EC64EE">
        <w:rPr>
          <w:rFonts w:cs="Times New Roman"/>
        </w:rPr>
        <w:t xml:space="preserve">articipants were randomly </w:t>
      </w:r>
      <w:r w:rsidR="00C22711">
        <w:rPr>
          <w:rFonts w:cs="Times New Roman"/>
        </w:rPr>
        <w:t xml:space="preserve">exposed </w:t>
      </w:r>
      <w:r w:rsidRPr="00EC64EE">
        <w:rPr>
          <w:rFonts w:cs="Times New Roman"/>
        </w:rPr>
        <w:t xml:space="preserve">to one </w:t>
      </w:r>
      <w:r w:rsidR="00C22711">
        <w:rPr>
          <w:rFonts w:cs="Times New Roman"/>
        </w:rPr>
        <w:t xml:space="preserve">of </w:t>
      </w:r>
      <w:r w:rsidRPr="00EC64EE">
        <w:rPr>
          <w:rFonts w:cs="Times New Roman"/>
        </w:rPr>
        <w:t xml:space="preserve">the </w:t>
      </w:r>
      <w:r w:rsidR="00C22711">
        <w:rPr>
          <w:rFonts w:cs="Times New Roman"/>
        </w:rPr>
        <w:t xml:space="preserve">three </w:t>
      </w:r>
      <w:r w:rsidRPr="00EC64EE">
        <w:rPr>
          <w:rFonts w:cs="Times New Roman"/>
        </w:rPr>
        <w:t>light conditions.</w:t>
      </w:r>
      <w:r w:rsidR="00C22711">
        <w:rPr>
          <w:rFonts w:cs="Times New Roman"/>
        </w:rPr>
        <w:t xml:space="preserve"> </w:t>
      </w:r>
      <w:r w:rsidRPr="00EC64EE">
        <w:rPr>
          <w:rFonts w:cs="Times New Roman"/>
        </w:rPr>
        <w:t xml:space="preserve">Throughout the </w:t>
      </w:r>
      <w:r w:rsidR="00204964">
        <w:rPr>
          <w:rFonts w:cs="Times New Roman"/>
        </w:rPr>
        <w:t>two-hour</w:t>
      </w:r>
      <w:r w:rsidRPr="00EC64EE">
        <w:rPr>
          <w:rFonts w:cs="Times New Roman"/>
        </w:rPr>
        <w:t xml:space="preserve"> protocol participants remained seated at their desks. Exercising and napping were not allowed. Participants took part in a series of cognitive tests in the following order: aPVT, N-back test, digit </w:t>
      </w:r>
      <w:r w:rsidRPr="00EC64EE">
        <w:rPr>
          <w:rFonts w:cs="Times New Roman"/>
        </w:rPr>
        <w:lastRenderedPageBreak/>
        <w:t>span, and Tower of London test . Subjective measures of sleepiness were recorded both at the beginning and the end of the protocol.</w:t>
      </w:r>
    </w:p>
    <w:p w14:paraId="599ED1F4" w14:textId="77777777" w:rsidR="00AE363D" w:rsidRPr="00EC64EE" w:rsidRDefault="00000000">
      <w:pPr>
        <w:pStyle w:val="Heading2"/>
        <w:rPr>
          <w:rFonts w:cs="Times New Roman"/>
        </w:rPr>
      </w:pPr>
      <w:bookmarkStart w:id="4" w:name="data-analysis"/>
      <w:bookmarkEnd w:id="3"/>
      <w:r w:rsidRPr="00EC64EE">
        <w:rPr>
          <w:rFonts w:cs="Times New Roman"/>
        </w:rPr>
        <w:t>Data analysis</w:t>
      </w:r>
    </w:p>
    <w:p w14:paraId="599ED1F5" w14:textId="7A5977A2" w:rsidR="00AE363D" w:rsidRPr="00EC64EE" w:rsidRDefault="00000000">
      <w:pPr>
        <w:pStyle w:val="FirstParagraph"/>
        <w:rPr>
          <w:rFonts w:cs="Times New Roman"/>
        </w:rPr>
      </w:pPr>
      <w:r w:rsidRPr="00EC64EE">
        <w:rPr>
          <w:rFonts w:cs="Times New Roman"/>
        </w:rPr>
        <w:t>We used R (R Core Team, 2022) for all our analyses using packages including psych</w:t>
      </w:r>
      <w:r w:rsidR="009C669C">
        <w:rPr>
          <w:rFonts w:cs="Times New Roman"/>
        </w:rPr>
        <w:t xml:space="preserve"> </w:t>
      </w:r>
      <w:r w:rsidR="00AB44D5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&lt;EndNote&gt;&lt;Cite&gt;&lt;Author&gt;Revelle&lt;/Author&gt;&lt;Year&gt;2021&lt;/Year&gt;&lt;RecNum&gt;1039&lt;/RecNum&gt;&lt;DisplayText&gt;(Revelle, 2021)&lt;/DisplayText&gt;&lt;record&gt;&lt;rec-number&gt;1039&lt;/rec-number&gt;&lt;foreign-keys&gt;&lt;key app="EN" db-id="5fa5wf9ac5ffz6eefsqvear65avdrepps9zf" timestamp="1643802024"&gt;1039&lt;/key&gt;&lt;/foreign-keys&gt;&lt;ref-type name="Journal Article"&gt;17&lt;/ref-type&gt;&lt;contributors&gt;&lt;authors&gt;&lt;author&gt;Revelle, William&lt;/author&gt;&lt;/authors&gt;&lt;/contributors&gt;&lt;titles&gt;&lt;title&gt;psych: Procedures for Psychological, Psychometric, and Personality Research&lt;/title&gt;&lt;/titles&gt;&lt;dates&gt;&lt;year&gt;2021&lt;/year&gt;&lt;/dates&gt;&lt;pub-location&gt;Evanston, Illinois&lt;/pub-location&gt;&lt;publisher&gt;Northwestern University&lt;/publisher&gt;&lt;urls&gt;&lt;related-urls&gt;&lt;url&gt;https://CRAN.R-project.org/package=psych&lt;/url&gt;&lt;/related-urls&gt;&lt;/urls&gt;&lt;/record&gt;&lt;/Cite&gt;&lt;/EndNote&gt;</w:instrText>
      </w:r>
      <w:r w:rsidR="00AB44D5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(Revelle, 2021)</w:t>
      </w:r>
      <w:r w:rsidR="00AB44D5">
        <w:rPr>
          <w:rFonts w:cs="Times New Roman"/>
        </w:rPr>
        <w:fldChar w:fldCharType="end"/>
      </w:r>
      <w:r w:rsidRPr="00EC64EE">
        <w:rPr>
          <w:rFonts w:cs="Times New Roman"/>
        </w:rPr>
        <w:t>, tabledown</w:t>
      </w:r>
      <w:r w:rsidR="00AB44D5">
        <w:rPr>
          <w:rFonts w:cs="Times New Roman"/>
        </w:rPr>
        <w:t xml:space="preserve"> </w:t>
      </w:r>
      <w:r w:rsidR="00AB44D5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&lt;EndNote&gt;&lt;Cite&gt;&lt;Author&gt;Siraji&lt;/Author&gt;&lt;Year&gt;2022&lt;/Year&gt;&lt;RecNum&gt;1037&lt;/RecNum&gt;&lt;DisplayText&gt;(Siraji, 2022)&lt;/DisplayText&gt;&lt;record&gt;&lt;rec-number&gt;1037&lt;/rec-number&gt;&lt;foreign-keys&gt;&lt;key app="EN" db-id="5fa5wf9ac5ffz6eefsqvear65avdrepps9zf" timestamp="1643802024"&gt;1037&lt;/key&gt;&lt;/foreign-keys&gt;&lt;ref-type name="Journal Article"&gt;17&lt;/ref-type&gt;&lt;contributors&gt;&lt;authors&gt;&lt;author&gt;Siraji, MA&lt;/author&gt;&lt;/authors&gt;&lt;/contributors&gt;&lt;titles&gt;&lt;title&gt;Tabledown: Create Publication Quality Tables and Plots&lt;/title&gt;&lt;/titles&gt;&lt;dates&gt;&lt;year&gt;2022&lt;/year&gt;&lt;/dates&gt;&lt;urls&gt;&lt;related-urls&gt;&lt;url&gt;https://github.com/masiraji/tabledown&lt;/url&gt;&lt;/related-urls&gt;&lt;/urls&gt;&lt;/record&gt;&lt;/Cite&gt;&lt;/EndNote&gt;</w:instrText>
      </w:r>
      <w:r w:rsidR="00AB44D5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(Siraji, 2022)</w:t>
      </w:r>
      <w:r w:rsidR="00AB44D5">
        <w:rPr>
          <w:rFonts w:cs="Times New Roman"/>
        </w:rPr>
        <w:fldChar w:fldCharType="end"/>
      </w:r>
      <w:r w:rsidRPr="00EC64EE">
        <w:rPr>
          <w:rFonts w:cs="Times New Roman"/>
        </w:rPr>
        <w:t>, and WRS2</w:t>
      </w:r>
      <w:r w:rsidR="007155CD">
        <w:rPr>
          <w:rFonts w:cs="Times New Roman"/>
        </w:rPr>
        <w:t xml:space="preserve"> </w:t>
      </w:r>
      <w:r w:rsidR="007155CD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&lt;EndNote&gt;&lt;Cite&gt;&lt;Author&gt;Mair&lt;/Author&gt;&lt;Year&gt;2020&lt;/Year&gt;&lt;RecNum&gt;2065&lt;/RecNum&gt;&lt;DisplayText&gt;(Mair and Wilcox, 2020)&lt;/DisplayText&gt;&lt;record&gt;&lt;rec-number&gt;2065&lt;/rec-number&gt;&lt;foreign-keys&gt;&lt;key app="EN" db-id="5fa5wf9ac5ffz6eefsqvear65avdrepps9zf" timestamp="1671952022"&gt;2065&lt;/key&gt;&lt;/foreign-keys&gt;&lt;ref-type name="Journal Article"&gt;17&lt;/ref-type&gt;&lt;contributors&gt;&lt;authors&gt;&lt;author&gt;Mair, Patrick&lt;/author&gt;&lt;author&gt;Wilcox, Rand&lt;/author&gt;&lt;/authors&gt;&lt;/contributors&gt;&lt;titles&gt;&lt;title&gt;Robust statistical methods in R using the WRS2 package&lt;/title&gt;&lt;secondary-title&gt;Behav Res Methods&lt;/secondary-title&gt;&lt;/titles&gt;&lt;pages&gt;464-488&lt;/pages&gt;&lt;volume&gt;52&lt;/volume&gt;&lt;number&gt;2&lt;/number&gt;&lt;keywords&gt;&lt;keyword&gt;Analysis&lt;/keyword&gt;&lt;keyword&gt;Behavioral Science and Psychology&lt;/keyword&gt;&lt;keyword&gt;Behavioral Sciences&lt;/keyword&gt;&lt;keyword&gt;Cognitive Psychology&lt;/keyword&gt;&lt;keyword&gt;Mediation&lt;/keyword&gt;&lt;keyword&gt;Methods&lt;/keyword&gt;&lt;keyword&gt;Models, Statistical&lt;/keyword&gt;&lt;keyword&gt;Psychology&lt;/keyword&gt;&lt;keyword&gt;Psychology, Experimental&lt;/keyword&gt;&lt;keyword&gt;Psychology, Mathematical&lt;/keyword&gt;&lt;keyword&gt;Robust ANCOVA&lt;/keyword&gt;&lt;keyword&gt;Robust ANOVA&lt;/keyword&gt;&lt;keyword&gt;Robust mediation&lt;/keyword&gt;&lt;keyword&gt;Robust statistics&lt;/keyword&gt;&lt;keyword&gt;Social Sciences&lt;/keyword&gt;&lt;keyword&gt;Statistical methods&lt;/keyword&gt;&lt;keyword&gt;Statistics&lt;/keyword&gt;&lt;/keywords&gt;&lt;dates&gt;&lt;year&gt;2020&lt;/year&gt;&lt;/dates&gt;&lt;pub-location&gt;New York&lt;/pub-location&gt;&lt;publisher&gt;New York: Springer US&lt;/publisher&gt;&lt;isbn&gt;1554-351X&amp;#xD;1554-3528&lt;/isbn&gt;&lt;urls&gt;&lt;/urls&gt;&lt;electronic-resource-num&gt;10.3758/s13428-019-01246-w&lt;/electronic-resource-num&gt;&lt;/record&gt;&lt;/Cite&gt;&lt;/EndNote&gt;</w:instrText>
      </w:r>
      <w:r w:rsidR="007155CD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(Mair and Wilcox, 2020)</w:t>
      </w:r>
      <w:r w:rsidR="007155CD">
        <w:rPr>
          <w:rFonts w:cs="Times New Roman"/>
        </w:rPr>
        <w:fldChar w:fldCharType="end"/>
      </w:r>
      <w:r w:rsidRPr="00EC64EE">
        <w:rPr>
          <w:rFonts w:cs="Times New Roman"/>
        </w:rPr>
        <w:t xml:space="preserve">. Classical ANOVA methods </w:t>
      </w:r>
      <w:r w:rsidR="00204964">
        <w:rPr>
          <w:rFonts w:cs="Times New Roman"/>
        </w:rPr>
        <w:t>assume</w:t>
      </w:r>
      <w:r w:rsidRPr="00EC64EE">
        <w:rPr>
          <w:rFonts w:cs="Times New Roman"/>
        </w:rPr>
        <w:t xml:space="preserve"> normality and </w:t>
      </w:r>
      <w:r w:rsidR="00204964">
        <w:rPr>
          <w:rFonts w:cs="Times New Roman"/>
        </w:rPr>
        <w:t>homoscedasticity</w:t>
      </w:r>
      <w:r w:rsidR="007155CD">
        <w:rPr>
          <w:rFonts w:cs="Times New Roman"/>
        </w:rPr>
        <w:t>,</w:t>
      </w:r>
      <w:r w:rsidRPr="00EC64EE">
        <w:rPr>
          <w:rFonts w:cs="Times New Roman"/>
        </w:rPr>
        <w:t xml:space="preserve"> and any violation </w:t>
      </w:r>
      <w:r w:rsidR="00204964">
        <w:rPr>
          <w:rFonts w:cs="Times New Roman"/>
        </w:rPr>
        <w:t>of</w:t>
      </w:r>
      <w:r w:rsidRPr="00EC64EE">
        <w:rPr>
          <w:rFonts w:cs="Times New Roman"/>
        </w:rPr>
        <w:t xml:space="preserve"> these assumptions </w:t>
      </w:r>
      <w:r w:rsidR="00204964">
        <w:rPr>
          <w:rFonts w:cs="Times New Roman"/>
        </w:rPr>
        <w:t>raises</w:t>
      </w:r>
      <w:r w:rsidRPr="00EC64EE">
        <w:rPr>
          <w:rFonts w:cs="Times New Roman"/>
        </w:rPr>
        <w:t xml:space="preserve"> serious practical concerns. </w:t>
      </w:r>
      <w:r w:rsidR="00F802C7" w:rsidRPr="00EC64EE">
        <w:rPr>
          <w:rFonts w:cs="Times New Roman"/>
        </w:rPr>
        <w:t>Hence,</w:t>
      </w:r>
      <w:r w:rsidRPr="00EC64EE">
        <w:rPr>
          <w:rFonts w:cs="Times New Roman"/>
        </w:rPr>
        <w:t xml:space="preserve"> we used 10% trimmed mean based robust </w:t>
      </w:r>
      <w:r w:rsidR="00F802C7" w:rsidRPr="00EC64EE">
        <w:rPr>
          <w:rFonts w:cs="Times New Roman"/>
        </w:rPr>
        <w:t>one-way</w:t>
      </w:r>
      <w:r w:rsidRPr="00EC64EE">
        <w:rPr>
          <w:rFonts w:cs="Times New Roman"/>
        </w:rPr>
        <w:t xml:space="preserve"> </w:t>
      </w:r>
      <w:r w:rsidR="00204964">
        <w:rPr>
          <w:rFonts w:cs="Times New Roman"/>
        </w:rPr>
        <w:t>and/</w:t>
      </w:r>
      <w:r w:rsidRPr="00EC64EE">
        <w:rPr>
          <w:rFonts w:cs="Times New Roman"/>
        </w:rPr>
        <w:t xml:space="preserve">or factorial </w:t>
      </w:r>
      <w:r w:rsidR="00204964">
        <w:rPr>
          <w:rFonts w:cs="Times New Roman"/>
        </w:rPr>
        <w:t>ANOVA,</w:t>
      </w:r>
      <w:r w:rsidRPr="00EC64EE">
        <w:rPr>
          <w:rFonts w:cs="Times New Roman"/>
        </w:rPr>
        <w:t xml:space="preserve"> which were less prone to these assumption violations and outliers </w:t>
      </w:r>
      <w:r w:rsidR="007155CD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&lt;EndNote&gt;&lt;Cite&gt;&lt;Author&gt;Mair&lt;/Author&gt;&lt;Year&gt;2020&lt;/Year&gt;&lt;RecNum&gt;2065&lt;/RecNum&gt;&lt;DisplayText&gt;(Mair and Wilcox, 2020)&lt;/DisplayText&gt;&lt;record&gt;&lt;rec-number&gt;2065&lt;/rec-number&gt;&lt;foreign-keys&gt;&lt;key app="EN" db-id="5fa5wf9ac5ffz6eefsqvear65avdrepps9zf" timestamp="1671952022"&gt;2065&lt;/key&gt;&lt;/foreign-keys&gt;&lt;ref-type name="Journal Article"&gt;17&lt;/ref-type&gt;&lt;contributors&gt;&lt;authors&gt;&lt;author&gt;Mair, Patrick&lt;/author&gt;&lt;author&gt;Wilcox, Rand&lt;/author&gt;&lt;/authors&gt;&lt;/contributors&gt;&lt;titles&gt;&lt;title&gt;Robust statistical methods in R using the WRS2 package&lt;/title&gt;&lt;secondary-title&gt;Behav Res Methods&lt;/secondary-title&gt;&lt;/titles&gt;&lt;pages&gt;464-488&lt;/pages&gt;&lt;volume&gt;52&lt;/volume&gt;&lt;number&gt;2&lt;/number&gt;&lt;keywords&gt;&lt;keyword&gt;Analysis&lt;/keyword&gt;&lt;keyword&gt;Behavioral Science and Psychology&lt;/keyword&gt;&lt;keyword&gt;Behavioral Sciences&lt;/keyword&gt;&lt;keyword&gt;Cognitive Psychology&lt;/keyword&gt;&lt;keyword&gt;Mediation&lt;/keyword&gt;&lt;keyword&gt;Methods&lt;/keyword&gt;&lt;keyword&gt;Models, Statistical&lt;/keyword&gt;&lt;keyword&gt;Psychology&lt;/keyword&gt;&lt;keyword&gt;Psychology, Experimental&lt;/keyword&gt;&lt;keyword&gt;Psychology, Mathematical&lt;/keyword&gt;&lt;keyword&gt;Robust ANCOVA&lt;/keyword&gt;&lt;keyword&gt;Robust ANOVA&lt;/keyword&gt;&lt;keyword&gt;Robust mediation&lt;/keyword&gt;&lt;keyword&gt;Robust statistics&lt;/keyword&gt;&lt;keyword&gt;Social Sciences&lt;/keyword&gt;&lt;keyword&gt;Statistical methods&lt;/keyword&gt;&lt;keyword&gt;Statistics&lt;/keyword&gt;&lt;/keywords&gt;&lt;dates&gt;&lt;year&gt;2020&lt;/year&gt;&lt;/dates&gt;&lt;pub-location&gt;New York&lt;/pub-location&gt;&lt;publisher&gt;New York: Springer US&lt;/publisher&gt;&lt;isbn&gt;1554-351X&amp;#xD;1554-3528&lt;/isbn&gt;&lt;urls&gt;&lt;/urls&gt;&lt;electronic-resource-num&gt;10.3758/s13428-019-01246-w&lt;/electronic-resource-num&gt;&lt;/record&gt;&lt;/Cite&gt;&lt;/EndNote&gt;</w:instrText>
      </w:r>
      <w:r w:rsidR="007155CD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(Mair and Wilcox, 2020)</w:t>
      </w:r>
      <w:r w:rsidR="007155CD">
        <w:rPr>
          <w:rFonts w:cs="Times New Roman"/>
        </w:rPr>
        <w:fldChar w:fldCharType="end"/>
      </w:r>
      <w:r w:rsidRPr="00EC64EE">
        <w:rPr>
          <w:rFonts w:cs="Times New Roman"/>
        </w:rPr>
        <w:t>. “t1way” and “bwtrim” functions from the package “WRS2</w:t>
      </w:r>
      <w:r w:rsidR="007155CD">
        <w:rPr>
          <w:rFonts w:cs="Times New Roman"/>
        </w:rPr>
        <w:t xml:space="preserve">” </w:t>
      </w:r>
      <w:r w:rsidR="007155CD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&lt;EndNote&gt;&lt;Cite&gt;&lt;Author&gt;Mair&lt;/Author&gt;&lt;Year&gt;2020&lt;/Year&gt;&lt;RecNum&gt;2065&lt;/RecNum&gt;&lt;DisplayText&gt;(Mair and Wilcox, 2020)&lt;/DisplayText&gt;&lt;record&gt;&lt;rec-number&gt;2065&lt;/rec-number&gt;&lt;foreign-keys&gt;&lt;key app="EN" db-id="5fa5wf9ac5ffz6eefsqvear65avdrepps9zf" timestamp="1671952022"&gt;2065&lt;/key&gt;&lt;/foreign-keys&gt;&lt;ref-type name="Journal Article"&gt;17&lt;/ref-type&gt;&lt;contributors&gt;&lt;authors&gt;&lt;author&gt;Mair, Patrick&lt;/author&gt;&lt;author&gt;Wilcox, Rand&lt;/author&gt;&lt;/authors&gt;&lt;/contributors&gt;&lt;titles&gt;&lt;title&gt;Robust statistical methods in R using the WRS2 package&lt;/title&gt;&lt;secondary-title&gt;Behav Res Methods&lt;/secondary-title&gt;&lt;/titles&gt;&lt;pages&gt;464-488&lt;/pages&gt;&lt;volume&gt;52&lt;/volume&gt;&lt;number&gt;2&lt;/number&gt;&lt;keywords&gt;&lt;keyword&gt;Analysis&lt;/keyword&gt;&lt;keyword&gt;Behavioral Science and Psychology&lt;/keyword&gt;&lt;keyword&gt;Behavioral Sciences&lt;/keyword&gt;&lt;keyword&gt;Cognitive Psychology&lt;/keyword&gt;&lt;keyword&gt;Mediation&lt;/keyword&gt;&lt;keyword&gt;Methods&lt;/keyword&gt;&lt;keyword&gt;Models, Statistical&lt;/keyword&gt;&lt;keyword&gt;Psychology&lt;/keyword&gt;&lt;keyword&gt;Psychology, Experimental&lt;/keyword&gt;&lt;keyword&gt;Psychology, Mathematical&lt;/keyword&gt;&lt;keyword&gt;Robust ANCOVA&lt;/keyword&gt;&lt;keyword&gt;Robust ANOVA&lt;/keyword&gt;&lt;keyword&gt;Robust mediation&lt;/keyword&gt;&lt;keyword&gt;Robust statistics&lt;/keyword&gt;&lt;keyword&gt;Social Sciences&lt;/keyword&gt;&lt;keyword&gt;Statistical methods&lt;/keyword&gt;&lt;keyword&gt;Statistics&lt;/keyword&gt;&lt;/keywords&gt;&lt;dates&gt;&lt;year&gt;2020&lt;/year&gt;&lt;/dates&gt;&lt;pub-location&gt;New York&lt;/pub-location&gt;&lt;publisher&gt;New York: Springer US&lt;/publisher&gt;&lt;isbn&gt;1554-351X&amp;#xD;1554-3528&lt;/isbn&gt;&lt;urls&gt;&lt;/urls&gt;&lt;electronic-resource-num&gt;10.3758/s13428-019-01246-w&lt;/electronic-resource-num&gt;&lt;/record&gt;&lt;/Cite&gt;&lt;/EndNote&gt;</w:instrText>
      </w:r>
      <w:r w:rsidR="007155CD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(Mair and Wilcox, 2020)</w:t>
      </w:r>
      <w:r w:rsidR="007155CD">
        <w:rPr>
          <w:rFonts w:cs="Times New Roman"/>
        </w:rPr>
        <w:fldChar w:fldCharType="end"/>
      </w:r>
      <w:r w:rsidRPr="00EC64EE">
        <w:rPr>
          <w:rFonts w:cs="Times New Roman"/>
        </w:rPr>
        <w:t xml:space="preserve"> were used to conduct the robust oneway and factorial ANOVA respectively. We reported</w:t>
      </w:r>
      <w:r w:rsidR="00204964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as the explanatory measure of the effect size where 0.10, 0.30, </w:t>
      </w:r>
      <w:r w:rsidR="00204964">
        <w:rPr>
          <w:rFonts w:cs="Times New Roman"/>
        </w:rPr>
        <w:t xml:space="preserve">and </w:t>
      </w:r>
      <w:r w:rsidRPr="00EC64EE">
        <w:rPr>
          <w:rFonts w:cs="Times New Roman"/>
        </w:rPr>
        <w:t xml:space="preserve">0.50 correspond to small, </w:t>
      </w:r>
      <w:proofErr w:type="gramStart"/>
      <w:r w:rsidRPr="00EC64EE">
        <w:rPr>
          <w:rFonts w:cs="Times New Roman"/>
        </w:rPr>
        <w:t>medium</w:t>
      </w:r>
      <w:proofErr w:type="gramEnd"/>
      <w:r w:rsidRPr="00EC64EE">
        <w:rPr>
          <w:rFonts w:cs="Times New Roman"/>
        </w:rPr>
        <w:t xml:space="preserve"> and large effect </w:t>
      </w:r>
      <w:r w:rsidR="00204964">
        <w:rPr>
          <w:rFonts w:cs="Times New Roman"/>
        </w:rPr>
        <w:t>sizes</w:t>
      </w:r>
      <w:r w:rsidRPr="00EC64EE">
        <w:rPr>
          <w:rFonts w:cs="Times New Roman"/>
        </w:rPr>
        <w:t>. The confidence interval of the effect size was estimated using 1000 bootstrap samples</w:t>
      </w:r>
      <w:r w:rsidR="00756163">
        <w:rPr>
          <w:rFonts w:cs="Times New Roman"/>
        </w:rPr>
        <w:t xml:space="preserve"> </w:t>
      </w:r>
      <w:r w:rsidR="00756163">
        <w:rPr>
          <w:rFonts w:cs="Times New Roman"/>
        </w:rPr>
        <w:fldChar w:fldCharType="begin"/>
      </w:r>
      <w:r w:rsidR="001227D7">
        <w:rPr>
          <w:rFonts w:cs="Times New Roman"/>
        </w:rPr>
        <w:instrText xml:space="preserve"> ADDIN EN.CITE &lt;EndNote&gt;&lt;Cite&gt;&lt;Author&gt;Wilcox&lt;/Author&gt;&lt;Year&gt;2011&lt;/Year&gt;&lt;RecNum&gt;2209&lt;/RecNum&gt;&lt;DisplayText&gt;(Wilcox and Tian, 2011)&lt;/DisplayText&gt;&lt;record&gt;&lt;rec-number&gt;2209&lt;/rec-number&gt;&lt;foreign-keys&gt;&lt;key app="EN" db-id="5fa5wf9ac5ffz6eefsqvear65avdrepps9zf" timestamp="1672922201"&gt;2209&lt;/key&gt;&lt;/foreign-keys&gt;&lt;ref-type name="Journal Article"&gt;17&lt;/ref-type&gt;&lt;contributors&gt;&lt;authors&gt;&lt;author&gt;Wilcox, Rand R.&lt;/author&gt;&lt;author&gt;Tian, Tian S.&lt;/author&gt;&lt;/authors&gt;&lt;/contributors&gt;&lt;titles&gt;&lt;title&gt;Measuring effect size: a robust heteroscedastic approach for two or more groups&lt;/title&gt;&lt;secondary-title&gt;Journal of applied statistics&lt;/secondary-title&gt;&lt;/titles&gt;&lt;pages&gt;1359-1368&lt;/pages&gt;&lt;volume&gt;38&lt;/volume&gt;&lt;number&gt;7&lt;/number&gt;&lt;keywords&gt;&lt;keyword&gt;Cohen&amp;apos;s d&lt;/keyword&gt;&lt;keyword&gt;Comparative analysis&lt;/keyword&gt;&lt;keyword&gt;Effect size&lt;/keyword&gt;&lt;keyword&gt;Heteroscedasticity explanatory power&lt;/keyword&gt;&lt;keyword&gt;Mathematics&lt;/keyword&gt;&lt;keyword&gt;Numerical analysis&lt;/keyword&gt;&lt;keyword&gt;Outliers&lt;/keyword&gt;&lt;keyword&gt;Physical Sciences&lt;/keyword&gt;&lt;keyword&gt;Regression analysis&lt;/keyword&gt;&lt;keyword&gt;Robust methods&lt;/keyword&gt;&lt;keyword&gt;Sample size&lt;/keyword&gt;&lt;keyword&gt;Science &amp;amp; Technology&lt;/keyword&gt;&lt;keyword&gt;Simulation&lt;/keyword&gt;&lt;keyword&gt;Statistics&lt;/keyword&gt;&lt;keyword&gt;Statistics &amp;amp; Probability&lt;/keyword&gt;&lt;keyword&gt;Studies&lt;/keyword&gt;&lt;/keywords&gt;&lt;dates&gt;&lt;year&gt;2011&lt;/year&gt;&lt;/dates&gt;&lt;pub-location&gt;ABINGDON&lt;/pub-location&gt;&lt;publisher&gt;ABINGDON: Taylor &amp;amp; Francis&lt;/publisher&gt;&lt;isbn&gt;0266-4763&lt;/isbn&gt;&lt;urls&gt;&lt;/urls&gt;&lt;electronic-resource-num&gt;10.1080/02664763.2010.498507&lt;/electronic-resource-num&gt;&lt;/record&gt;&lt;/Cite&gt;&lt;/EndNote&gt;</w:instrText>
      </w:r>
      <w:r w:rsidR="00756163">
        <w:rPr>
          <w:rFonts w:cs="Times New Roman"/>
        </w:rPr>
        <w:fldChar w:fldCharType="separate"/>
      </w:r>
      <w:r w:rsidR="001227D7">
        <w:rPr>
          <w:rFonts w:cs="Times New Roman"/>
          <w:noProof/>
        </w:rPr>
        <w:t>(Wilcox and Tian, 2011)</w:t>
      </w:r>
      <w:r w:rsidR="00756163">
        <w:rPr>
          <w:rFonts w:cs="Times New Roman"/>
        </w:rPr>
        <w:fldChar w:fldCharType="end"/>
      </w:r>
      <w:r w:rsidR="00756163">
        <w:rPr>
          <w:rFonts w:cs="Times New Roman"/>
        </w:rPr>
        <w:t xml:space="preserve">. </w:t>
      </w:r>
      <w:r w:rsidRPr="00EC64EE">
        <w:rPr>
          <w:rFonts w:cs="Times New Roman"/>
        </w:rPr>
        <w:t xml:space="preserve">In </w:t>
      </w:r>
      <w:r w:rsidR="00204964">
        <w:rPr>
          <w:rFonts w:cs="Times New Roman"/>
        </w:rPr>
        <w:t xml:space="preserve">the </w:t>
      </w:r>
      <w:r w:rsidRPr="00EC64EE">
        <w:rPr>
          <w:rFonts w:cs="Times New Roman"/>
        </w:rPr>
        <w:t>case of significant</w:t>
      </w:r>
      <w:r w:rsidRPr="00204964">
        <w:rPr>
          <w:rFonts w:cs="Times New Roman"/>
          <w:i/>
          <w:iCs/>
        </w:rPr>
        <w:t xml:space="preserve"> F</w:t>
      </w:r>
      <w:r w:rsidRPr="00EC64EE">
        <w:rPr>
          <w:rFonts w:cs="Times New Roman"/>
        </w:rPr>
        <w:t xml:space="preserve"> statistics</w:t>
      </w:r>
      <w:r w:rsidR="00204964">
        <w:rPr>
          <w:rFonts w:cs="Times New Roman"/>
        </w:rPr>
        <w:t>,</w:t>
      </w:r>
      <w:r w:rsidRPr="00EC64EE">
        <w:rPr>
          <w:rFonts w:cs="Times New Roman"/>
        </w:rPr>
        <w:t xml:space="preserve"> we conducted robust pairwise post-hoc tests to compare the three light conditions using </w:t>
      </w:r>
      <w:r w:rsidR="00204964">
        <w:rPr>
          <w:rFonts w:cs="Times New Roman"/>
        </w:rPr>
        <w:t xml:space="preserve">the </w:t>
      </w:r>
      <w:r w:rsidRPr="00EC64EE">
        <w:rPr>
          <w:rFonts w:cs="Times New Roman"/>
        </w:rPr>
        <w:t>“</w:t>
      </w:r>
      <w:proofErr w:type="spellStart"/>
      <w:r w:rsidRPr="00EC64EE">
        <w:rPr>
          <w:rFonts w:cs="Times New Roman"/>
        </w:rPr>
        <w:t>lincon</w:t>
      </w:r>
      <w:proofErr w:type="spellEnd"/>
      <w:r w:rsidRPr="00EC64EE">
        <w:rPr>
          <w:rFonts w:cs="Times New Roman"/>
        </w:rPr>
        <w:t xml:space="preserve">” function with Bonferroni correction from </w:t>
      </w:r>
      <w:r w:rsidR="00F802C7">
        <w:rPr>
          <w:rFonts w:cs="Times New Roman"/>
        </w:rPr>
        <w:t xml:space="preserve">the </w:t>
      </w:r>
      <w:r w:rsidRPr="00EC64EE">
        <w:rPr>
          <w:rFonts w:cs="Times New Roman"/>
        </w:rPr>
        <w:t>WRS2</w:t>
      </w:r>
      <w:r w:rsidR="00F802C7">
        <w:rPr>
          <w:rFonts w:cs="Times New Roman"/>
        </w:rPr>
        <w:t xml:space="preserve"> package</w:t>
      </w:r>
      <w:r w:rsidRPr="00EC64EE">
        <w:rPr>
          <w:rFonts w:cs="Times New Roman"/>
        </w:rPr>
        <w:t>.</w:t>
      </w:r>
    </w:p>
    <w:p w14:paraId="599ED1F6" w14:textId="77777777" w:rsidR="00AE363D" w:rsidRPr="00EC64EE" w:rsidRDefault="00000000">
      <w:pPr>
        <w:pStyle w:val="Heading1"/>
        <w:rPr>
          <w:rFonts w:cs="Times New Roman"/>
        </w:rPr>
      </w:pPr>
      <w:bookmarkStart w:id="5" w:name="results"/>
      <w:bookmarkEnd w:id="0"/>
      <w:bookmarkEnd w:id="4"/>
      <w:r w:rsidRPr="00EC64EE">
        <w:rPr>
          <w:rFonts w:cs="Times New Roman"/>
        </w:rPr>
        <w:t>Results</w:t>
      </w:r>
    </w:p>
    <w:p w14:paraId="599ED1F7" w14:textId="77777777" w:rsidR="00AE363D" w:rsidRPr="00EC64EE" w:rsidRDefault="00000000">
      <w:pPr>
        <w:pStyle w:val="Heading2"/>
        <w:rPr>
          <w:rFonts w:cs="Times New Roman"/>
        </w:rPr>
      </w:pPr>
      <w:bookmarkStart w:id="6" w:name="alerting-effects"/>
      <w:r w:rsidRPr="00EC64EE">
        <w:rPr>
          <w:rFonts w:cs="Times New Roman"/>
        </w:rPr>
        <w:t>Alerting effects</w:t>
      </w:r>
    </w:p>
    <w:p w14:paraId="599ED1F8" w14:textId="48DC76E8" w:rsidR="00AE363D" w:rsidRPr="00EC64EE" w:rsidRDefault="00000000">
      <w:pPr>
        <w:pStyle w:val="FirstParagraph"/>
        <w:rPr>
          <w:rFonts w:cs="Times New Roman"/>
        </w:rPr>
      </w:pPr>
      <w:r w:rsidRPr="00EC64EE">
        <w:rPr>
          <w:rFonts w:cs="Times New Roman"/>
        </w:rPr>
        <w:t xml:space="preserve">We observed </w:t>
      </w:r>
      <w:r w:rsidR="00AB6E34">
        <w:rPr>
          <w:rFonts w:cs="Times New Roman"/>
        </w:rPr>
        <w:t>a significant difference</w:t>
      </w:r>
      <w:r w:rsidRPr="00EC64EE">
        <w:rPr>
          <w:rFonts w:cs="Times New Roman"/>
        </w:rPr>
        <w:t xml:space="preserve"> in subjective sleepiness across the three light settings [</w:t>
      </w:r>
      <w:proofErr w:type="gramStart"/>
      <w:r w:rsidRPr="00F802C7">
        <w:rPr>
          <w:rFonts w:cs="Times New Roman"/>
          <w:i/>
          <w:iCs/>
        </w:rPr>
        <w:t>F</w:t>
      </w:r>
      <w:r w:rsidRPr="00F802C7">
        <w:rPr>
          <w:rFonts w:cs="Times New Roman"/>
          <w:i/>
          <w:iCs/>
          <w:vertAlign w:val="subscript"/>
        </w:rPr>
        <w:t>(</w:t>
      </w:r>
      <w:proofErr w:type="gramEnd"/>
      <w:r w:rsidRPr="00F802C7">
        <w:rPr>
          <w:rFonts w:cs="Times New Roman"/>
          <w:i/>
          <w:iCs/>
          <w:vertAlign w:val="subscript"/>
        </w:rPr>
        <w:t>2,11.7</w:t>
      </w:r>
      <w:r w:rsidRPr="00F802C7">
        <w:rPr>
          <w:rFonts w:cs="Times New Roman"/>
          <w:i/>
          <w:iCs/>
        </w:rPr>
        <w:t>)=</w:t>
      </w:r>
      <w:r w:rsidRPr="00EC64EE">
        <w:rPr>
          <w:rFonts w:cs="Times New Roman"/>
        </w:rPr>
        <w:t xml:space="preserve">4.85, </w:t>
      </w:r>
      <w:r w:rsidRPr="00F802C7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=0.03,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0.69 (CI: 0.42-1.04)]. Post-hoc tests revealed that there was a trend of reporting decreased subjective sleepiness (beginning of the protocol vs end of the protocol) in High </w:t>
      </w:r>
      <w:r w:rsidR="006C4D5D">
        <w:rPr>
          <w:rFonts w:cs="Times New Roman"/>
        </w:rPr>
        <w:t>conditions</w:t>
      </w:r>
      <w:r w:rsidRPr="00EC64EE">
        <w:rPr>
          <w:rFonts w:cs="Times New Roman"/>
        </w:rPr>
        <w:t xml:space="preserve"> compared to Low (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ψ</m:t>
            </m:r>
          </m:e>
        </m:acc>
      </m:oMath>
      <w:r w:rsidRPr="00EC64EE">
        <w:rPr>
          <w:rFonts w:cs="Times New Roman"/>
        </w:rPr>
        <w:t xml:space="preserve"> =–1.71; </w:t>
      </w:r>
      <w:r w:rsidRPr="006C4D5D">
        <w:rPr>
          <w:rFonts w:cs="Times New Roman"/>
          <w:i/>
          <w:iCs/>
        </w:rPr>
        <w:t>p</w:t>
      </w:r>
      <w:r w:rsidRPr="00EC64EE">
        <w:rPr>
          <w:rFonts w:cs="Times New Roman"/>
        </w:rPr>
        <w:t>=0.09) and Neutral (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ψ</m:t>
            </m:r>
          </m:e>
        </m:acc>
      </m:oMath>
      <w:r w:rsidRPr="00EC64EE">
        <w:rPr>
          <w:rFonts w:cs="Times New Roman"/>
        </w:rPr>
        <w:t xml:space="preserve"> = –1.86; </w:t>
      </w:r>
      <w:r w:rsidRPr="00AB6E3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=0.07) light </w:t>
      </w:r>
      <w:r w:rsidRPr="00EC64EE">
        <w:rPr>
          <w:rFonts w:cs="Times New Roman"/>
        </w:rPr>
        <w:lastRenderedPageBreak/>
        <w:t xml:space="preserve">conditions. No significant difference between </w:t>
      </w:r>
      <w:r w:rsidR="006C4D5D">
        <w:rPr>
          <w:rFonts w:cs="Times New Roman"/>
        </w:rPr>
        <w:t xml:space="preserve">the </w:t>
      </w:r>
      <w:r w:rsidRPr="00EC64EE">
        <w:rPr>
          <w:rFonts w:cs="Times New Roman"/>
        </w:rPr>
        <w:t xml:space="preserve">Low and neutral light </w:t>
      </w:r>
      <w:r w:rsidR="006C4D5D">
        <w:rPr>
          <w:rFonts w:cs="Times New Roman"/>
        </w:rPr>
        <w:t>conditions</w:t>
      </w:r>
      <w:r w:rsidRPr="00EC64EE">
        <w:rPr>
          <w:rFonts w:cs="Times New Roman"/>
        </w:rPr>
        <w:t xml:space="preserve"> was observed (p=1.0).</w:t>
      </w:r>
    </w:p>
    <w:p w14:paraId="599ED1F9" w14:textId="77777777" w:rsidR="00AE363D" w:rsidRPr="00EC64EE" w:rsidRDefault="00000000">
      <w:pPr>
        <w:pStyle w:val="BodyText"/>
        <w:rPr>
          <w:rFonts w:cs="Times New Roman"/>
        </w:rPr>
      </w:pPr>
      <w:r w:rsidRPr="00EC64EE">
        <w:rPr>
          <w:rFonts w:cs="Times New Roman"/>
        </w:rPr>
        <w:t>In aPVT, we did not observe any significant effect of light conditions on general reaction time [</w:t>
      </w:r>
      <w:proofErr w:type="gramStart"/>
      <w:r w:rsidRPr="00AB6E34">
        <w:rPr>
          <w:rFonts w:cs="Times New Roman"/>
          <w:i/>
          <w:iCs/>
        </w:rPr>
        <w:t>F</w:t>
      </w:r>
      <w:r w:rsidRPr="00AB6E34">
        <w:rPr>
          <w:rFonts w:cs="Times New Roman"/>
          <w:i/>
          <w:iCs/>
          <w:vertAlign w:val="subscript"/>
        </w:rPr>
        <w:t>(</w:t>
      </w:r>
      <w:proofErr w:type="gramEnd"/>
      <w:r w:rsidRPr="00AB6E34">
        <w:rPr>
          <w:rFonts w:cs="Times New Roman"/>
          <w:i/>
          <w:iCs/>
          <w:vertAlign w:val="subscript"/>
        </w:rPr>
        <w:t>2,10.1)=</w:t>
      </w:r>
      <w:r w:rsidRPr="00EC64EE">
        <w:rPr>
          <w:rFonts w:cs="Times New Roman"/>
        </w:rPr>
        <w:t xml:space="preserve">1.29, </w:t>
      </w:r>
      <w:r w:rsidRPr="00AB6E3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=0.32,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0.54 (CI: 0.21-1.03)], attention lapses [</w:t>
      </w:r>
      <w:r w:rsidRPr="00AB6E34">
        <w:rPr>
          <w:rFonts w:cs="Times New Roman"/>
          <w:i/>
          <w:iCs/>
        </w:rPr>
        <w:t>F</w:t>
      </w:r>
      <w:r w:rsidRPr="00AB6E34">
        <w:rPr>
          <w:rFonts w:cs="Times New Roman"/>
          <w:i/>
          <w:iCs/>
          <w:vertAlign w:val="subscript"/>
        </w:rPr>
        <w:t>(2,10.99)</w:t>
      </w:r>
      <w:r w:rsidRPr="00EC64EE">
        <w:rPr>
          <w:rFonts w:cs="Times New Roman"/>
        </w:rPr>
        <w:t xml:space="preserve">=0.49, </w:t>
      </w:r>
      <w:r w:rsidRPr="00AB6E3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=0.63,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0.34 (CI: 0.07-0.73)], and 10% fastest reaction time [</w:t>
      </w:r>
      <w:r w:rsidRPr="00AB6E34">
        <w:rPr>
          <w:rFonts w:cs="Times New Roman"/>
        </w:rPr>
        <w:t>F</w:t>
      </w:r>
      <w:r w:rsidRPr="00AB6E34">
        <w:rPr>
          <w:rFonts w:cs="Times New Roman"/>
          <w:i/>
          <w:iCs/>
          <w:vertAlign w:val="subscript"/>
        </w:rPr>
        <w:t>(2,12.21)</w:t>
      </w:r>
      <w:r w:rsidRPr="00EC64EE">
        <w:rPr>
          <w:rFonts w:cs="Times New Roman"/>
        </w:rPr>
        <w:t xml:space="preserve">=0.09, </w:t>
      </w:r>
      <w:r w:rsidRPr="00AB6E3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=0.91,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0.29 (CI: 0.06-0.66) ]</w:t>
      </w:r>
    </w:p>
    <w:p w14:paraId="599ED1FB" w14:textId="73DA2F5A" w:rsidR="00AE363D" w:rsidRPr="00EC64EE" w:rsidRDefault="00286ABD">
      <w:pPr>
        <w:pStyle w:val="CaptionedFigure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4579479" wp14:editId="500FD79C">
            <wp:extent cx="5972810" cy="3839845"/>
            <wp:effectExtent l="0" t="0" r="0" b="0"/>
            <wp:docPr id="3" name="Picture 3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3E8F" w14:textId="28DCF8A1" w:rsidR="00AB6E34" w:rsidRPr="00EC64EE" w:rsidRDefault="00000000" w:rsidP="00AB6E34">
      <w:pPr>
        <w:pStyle w:val="BodyText"/>
        <w:rPr>
          <w:rFonts w:cs="Times New Roman"/>
        </w:rPr>
      </w:pPr>
      <w:r w:rsidRPr="00EC64EE">
        <w:rPr>
          <w:rFonts w:cs="Times New Roman"/>
          <w:i/>
          <w:iCs/>
        </w:rPr>
        <w:t>Figure</w:t>
      </w:r>
      <w:r w:rsidRPr="00EC64EE">
        <w:rPr>
          <w:rFonts w:cs="Times New Roman"/>
        </w:rPr>
        <w:t xml:space="preserve"> </w:t>
      </w:r>
      <w:r w:rsidRPr="00EC64EE">
        <w:rPr>
          <w:rFonts w:cs="Times New Roman"/>
          <w:i/>
          <w:iCs/>
        </w:rPr>
        <w:t xml:space="preserve">1. </w:t>
      </w:r>
      <w:r w:rsidRPr="00EC64EE">
        <w:rPr>
          <w:rFonts w:cs="Times New Roman"/>
        </w:rPr>
        <w:t xml:space="preserve"> </w:t>
      </w:r>
      <w:bookmarkStart w:id="7" w:name="working-memory-and-executive-functioning"/>
      <w:bookmarkEnd w:id="6"/>
      <w:r w:rsidR="00AB6E34" w:rsidRPr="00EC64EE">
        <w:rPr>
          <w:rFonts w:cs="Times New Roman"/>
        </w:rPr>
        <w:t>Panel A-D depicts the one-way ANOVA results comparing the light conditions’ effect on (A) subjective sleepiness, (B) general reaction time, (C) attention lapses and (D) 10% fastest reaction time. Each bar represents the mean ± standard error of measurements.</w:t>
      </w:r>
    </w:p>
    <w:p w14:paraId="10AFA832" w14:textId="77777777" w:rsidR="004738AE" w:rsidRDefault="004738AE" w:rsidP="00AB6E34">
      <w:pPr>
        <w:pStyle w:val="ImageCaption"/>
        <w:rPr>
          <w:rFonts w:cs="Times New Roman"/>
          <w:b/>
          <w:bCs/>
        </w:rPr>
      </w:pPr>
    </w:p>
    <w:p w14:paraId="1263725D" w14:textId="77777777" w:rsidR="004738AE" w:rsidRDefault="004738AE" w:rsidP="00AB6E34">
      <w:pPr>
        <w:pStyle w:val="ImageCaption"/>
        <w:rPr>
          <w:rFonts w:cs="Times New Roman"/>
          <w:b/>
          <w:bCs/>
        </w:rPr>
      </w:pPr>
    </w:p>
    <w:p w14:paraId="599ED1FD" w14:textId="1A87B2C3" w:rsidR="00AE363D" w:rsidRDefault="00000000" w:rsidP="00AB6E34">
      <w:pPr>
        <w:pStyle w:val="ImageCaption"/>
        <w:rPr>
          <w:rFonts w:cs="Times New Roman"/>
          <w:b/>
          <w:bCs/>
        </w:rPr>
      </w:pPr>
      <w:r w:rsidRPr="007851B8">
        <w:rPr>
          <w:rFonts w:cs="Times New Roman"/>
          <w:b/>
          <w:bCs/>
        </w:rPr>
        <w:lastRenderedPageBreak/>
        <w:t>Working Memory and Executive Functioning</w:t>
      </w:r>
    </w:p>
    <w:p w14:paraId="62E1980A" w14:textId="7EA2A7D8" w:rsidR="004738AE" w:rsidRPr="007851B8" w:rsidRDefault="004738AE" w:rsidP="00AB6E34">
      <w:pPr>
        <w:pStyle w:val="ImageCaption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410DF750" wp14:editId="3CD8EB1F">
            <wp:extent cx="5972810" cy="7679055"/>
            <wp:effectExtent l="0" t="0" r="0" b="0"/>
            <wp:docPr id="2" name="Picture 2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1FE" w14:textId="78D22F37" w:rsidR="00AE363D" w:rsidRDefault="00000000">
      <w:pPr>
        <w:pStyle w:val="FirstParagraph"/>
        <w:rPr>
          <w:rFonts w:cs="Times New Roman"/>
        </w:rPr>
      </w:pPr>
      <w:r w:rsidRPr="00EC64EE">
        <w:rPr>
          <w:rFonts w:cs="Times New Roman"/>
        </w:rPr>
        <w:lastRenderedPageBreak/>
        <w:t xml:space="preserve">We observed </w:t>
      </w:r>
      <w:r w:rsidR="007851B8">
        <w:rPr>
          <w:rFonts w:cs="Times New Roman"/>
        </w:rPr>
        <w:t>a significant difference</w:t>
      </w:r>
      <w:r w:rsidRPr="00EC64EE">
        <w:rPr>
          <w:rFonts w:cs="Times New Roman"/>
        </w:rPr>
        <w:t xml:space="preserve"> in forward digit span across the three light settings [</w:t>
      </w:r>
      <w:proofErr w:type="gramStart"/>
      <w:r w:rsidRPr="007851B8">
        <w:rPr>
          <w:rFonts w:cs="Times New Roman"/>
          <w:i/>
          <w:iCs/>
        </w:rPr>
        <w:t>F</w:t>
      </w:r>
      <w:r w:rsidRPr="007851B8">
        <w:rPr>
          <w:rFonts w:cs="Times New Roman"/>
          <w:i/>
          <w:iCs/>
          <w:vertAlign w:val="subscript"/>
        </w:rPr>
        <w:t>(</w:t>
      </w:r>
      <w:proofErr w:type="gramEnd"/>
      <w:r w:rsidRPr="007851B8">
        <w:rPr>
          <w:rFonts w:cs="Times New Roman"/>
          <w:i/>
          <w:iCs/>
          <w:vertAlign w:val="subscript"/>
        </w:rPr>
        <w:t>2,12.14)</w:t>
      </w:r>
      <w:r w:rsidRPr="00EC64EE">
        <w:rPr>
          <w:rFonts w:cs="Times New Roman"/>
        </w:rPr>
        <w:t xml:space="preserve">=4.99, </w:t>
      </w:r>
      <w:r w:rsidRPr="007851B8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=0.03,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0.59 (CI: 0.34-0.82)]. Post-hoc tests revealed that participants </w:t>
      </w:r>
      <w:r w:rsidR="007851B8">
        <w:rPr>
          <w:rFonts w:cs="Times New Roman"/>
        </w:rPr>
        <w:t>performed</w:t>
      </w:r>
      <w:r w:rsidRPr="00EC64EE">
        <w:rPr>
          <w:rFonts w:cs="Times New Roman"/>
        </w:rPr>
        <w:t xml:space="preserve"> significantly better in Neutral </w:t>
      </w:r>
      <w:r w:rsidR="007851B8">
        <w:rPr>
          <w:rFonts w:cs="Times New Roman"/>
        </w:rPr>
        <w:t>conditions</w:t>
      </w:r>
      <w:r w:rsidRPr="00EC64EE">
        <w:rPr>
          <w:rFonts w:cs="Times New Roman"/>
        </w:rPr>
        <w:t xml:space="preserve"> compared to Low light condition (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ψ</m:t>
            </m:r>
          </m:e>
        </m:acc>
      </m:oMath>
      <w:r w:rsidRPr="00EC64EE">
        <w:rPr>
          <w:rFonts w:cs="Times New Roman"/>
        </w:rPr>
        <w:t xml:space="preserve">=-1.57, </w:t>
      </w:r>
      <w:r w:rsidRPr="007851B8">
        <w:rPr>
          <w:rFonts w:cs="Times New Roman"/>
          <w:i/>
          <w:iCs/>
        </w:rPr>
        <w:t>p</w:t>
      </w:r>
      <w:r w:rsidR="007851B8">
        <w:rPr>
          <w:rFonts w:cs="Times New Roman"/>
        </w:rPr>
        <w:t>=</w:t>
      </w:r>
      <w:r w:rsidRPr="00EC64EE">
        <w:rPr>
          <w:rFonts w:cs="Times New Roman"/>
        </w:rPr>
        <w:t xml:space="preserve">0.04). No other pair-wise comparison in </w:t>
      </w:r>
      <w:r w:rsidR="007851B8">
        <w:rPr>
          <w:rFonts w:cs="Times New Roman"/>
        </w:rPr>
        <w:t>the f</w:t>
      </w:r>
      <w:r w:rsidRPr="00EC64EE">
        <w:rPr>
          <w:rFonts w:cs="Times New Roman"/>
        </w:rPr>
        <w:t>orward digit span was significant. We did not observe any significant differences in backward [</w:t>
      </w:r>
      <w:proofErr w:type="gramStart"/>
      <w:r w:rsidRPr="004738AE">
        <w:rPr>
          <w:rFonts w:cs="Times New Roman"/>
          <w:i/>
          <w:iCs/>
        </w:rPr>
        <w:t>F</w:t>
      </w:r>
      <w:r w:rsidRPr="007851B8">
        <w:rPr>
          <w:rFonts w:cs="Times New Roman"/>
          <w:vertAlign w:val="subscript"/>
        </w:rPr>
        <w:t>(</w:t>
      </w:r>
      <w:proofErr w:type="gramEnd"/>
      <w:r w:rsidRPr="007851B8">
        <w:rPr>
          <w:rFonts w:cs="Times New Roman"/>
          <w:vertAlign w:val="subscript"/>
        </w:rPr>
        <w:t>2,12.11)</w:t>
      </w:r>
      <w:r w:rsidRPr="00EC64EE">
        <w:rPr>
          <w:rFonts w:cs="Times New Roman"/>
        </w:rPr>
        <w:t xml:space="preserve">=0.33,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=0.72,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0.37 (CI: 0.07-0.88)] and sequential digit span task performance [</w:t>
      </w:r>
      <w:r w:rsidRPr="004738AE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(2,12.05)</w:t>
      </w:r>
      <w:r w:rsidRPr="00EC64EE">
        <w:rPr>
          <w:rFonts w:cs="Times New Roman"/>
        </w:rPr>
        <w:t xml:space="preserve">=0.54,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=0.60,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0.41 (CI: 0.1-0.74)].</w:t>
      </w:r>
    </w:p>
    <w:p w14:paraId="350C7A90" w14:textId="77882006" w:rsidR="004738AE" w:rsidRDefault="004738AE" w:rsidP="004738AE">
      <w:pPr>
        <w:pStyle w:val="BodyText"/>
        <w:rPr>
          <w:rFonts w:cs="Times New Roman"/>
        </w:rPr>
      </w:pPr>
      <w:r w:rsidRPr="00EC64EE">
        <w:rPr>
          <w:rFonts w:cs="Times New Roman"/>
        </w:rPr>
        <w:t xml:space="preserve">In the </w:t>
      </w:r>
      <w:proofErr w:type="spellStart"/>
      <w:r w:rsidRPr="00EC64EE">
        <w:rPr>
          <w:rFonts w:cs="Times New Roman"/>
        </w:rPr>
        <w:t>ToL</w:t>
      </w:r>
      <w:proofErr w:type="spellEnd"/>
      <w:r w:rsidRPr="00EC64EE">
        <w:rPr>
          <w:rFonts w:cs="Times New Roman"/>
        </w:rPr>
        <w:t xml:space="preserve"> task we observed a significant effect of light condition on execution time [</w:t>
      </w:r>
      <w:proofErr w:type="gramStart"/>
      <w:r w:rsidRPr="004738AE">
        <w:rPr>
          <w:rFonts w:cs="Times New Roman"/>
          <w:i/>
          <w:iCs/>
        </w:rPr>
        <w:t>F</w:t>
      </w:r>
      <w:r w:rsidRPr="004738AE">
        <w:rPr>
          <w:rFonts w:cs="Times New Roman"/>
          <w:i/>
          <w:iCs/>
          <w:vertAlign w:val="subscript"/>
        </w:rPr>
        <w:t>(</w:t>
      </w:r>
      <w:proofErr w:type="gramEnd"/>
      <w:r w:rsidRPr="004738AE">
        <w:rPr>
          <w:rFonts w:cs="Times New Roman"/>
          <w:i/>
          <w:iCs/>
          <w:vertAlign w:val="subscript"/>
        </w:rPr>
        <w:t>2,11.47)</w:t>
      </w:r>
      <w:r w:rsidRPr="00EC64EE">
        <w:rPr>
          <w:rFonts w:cs="Times New Roman"/>
        </w:rPr>
        <w:t xml:space="preserve">=4.38,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=0.04,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0.59 (CI: 0.31-0.85)]. Participants under </w:t>
      </w:r>
      <w:r>
        <w:rPr>
          <w:rFonts w:cs="Times New Roman"/>
        </w:rPr>
        <w:t xml:space="preserve">the </w:t>
      </w:r>
      <w:r w:rsidRPr="00EC64EE">
        <w:rPr>
          <w:rFonts w:cs="Times New Roman"/>
        </w:rPr>
        <w:t xml:space="preserve">Low light condition had </w:t>
      </w:r>
      <w:r>
        <w:rPr>
          <w:rFonts w:cs="Times New Roman"/>
        </w:rPr>
        <w:t>significantly</w:t>
      </w:r>
      <w:r w:rsidRPr="00EC64EE">
        <w:rPr>
          <w:rFonts w:cs="Times New Roman"/>
        </w:rPr>
        <w:t xml:space="preserve"> lower efficiency than participants under </w:t>
      </w:r>
      <w:r>
        <w:rPr>
          <w:rFonts w:cs="Times New Roman"/>
        </w:rPr>
        <w:t xml:space="preserve">the </w:t>
      </w:r>
      <w:r w:rsidRPr="00EC64EE">
        <w:rPr>
          <w:rFonts w:cs="Times New Roman"/>
        </w:rPr>
        <w:t>neutral light condition (</w:t>
      </w:r>
      <m:oMath>
        <m:acc>
          <m:accPr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</w:rPr>
              <m:t>ψ</m:t>
            </m:r>
          </m:e>
        </m:acc>
      </m:oMath>
      <w:r w:rsidRPr="00EC64EE">
        <w:rPr>
          <w:rFonts w:cs="Times New Roman"/>
        </w:rPr>
        <w:t xml:space="preserve">=-10.89, </w:t>
      </w:r>
      <w:r w:rsidRPr="004738AE">
        <w:rPr>
          <w:rFonts w:cs="Times New Roman"/>
          <w:i/>
          <w:iCs/>
        </w:rPr>
        <w:t>p</w:t>
      </w:r>
      <w:r>
        <w:rPr>
          <w:rFonts w:cs="Times New Roman"/>
        </w:rPr>
        <w:t>=</w:t>
      </w:r>
      <w:r w:rsidRPr="00EC64EE">
        <w:rPr>
          <w:rFonts w:cs="Times New Roman"/>
        </w:rPr>
        <w:t>0.04). We did not observe any significant influence of light on efficiency [</w:t>
      </w:r>
      <w:proofErr w:type="gramStart"/>
      <w:r w:rsidRPr="00A469E6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</w:t>
      </w:r>
      <w:proofErr w:type="gramEnd"/>
      <w:r w:rsidRPr="004738AE">
        <w:rPr>
          <w:rFonts w:cs="Times New Roman"/>
          <w:vertAlign w:val="subscript"/>
        </w:rPr>
        <w:t>2,12.56)</w:t>
      </w:r>
      <w:r w:rsidRPr="00EC64EE">
        <w:rPr>
          <w:rFonts w:cs="Times New Roman"/>
        </w:rPr>
        <w:t xml:space="preserve">=0.11,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=0.90,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0.31 (CI: 0.06-0.68)] and planning time [</w:t>
      </w:r>
      <w:r w:rsidRPr="004738AE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(2,10.57)</w:t>
      </w:r>
      <w:r w:rsidRPr="00EC64EE">
        <w:rPr>
          <w:rFonts w:cs="Times New Roman"/>
        </w:rPr>
        <w:t xml:space="preserve">=1.20,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=0.34,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0.48 (CI: 0.16-1.04)] in the ToL task.</w:t>
      </w:r>
    </w:p>
    <w:p w14:paraId="5B11A01F" w14:textId="2917A5C1" w:rsidR="004738AE" w:rsidRPr="00EC64EE" w:rsidRDefault="004738AE" w:rsidP="004738AE">
      <w:pPr>
        <w:pStyle w:val="BodyText"/>
        <w:rPr>
          <w:rFonts w:cs="Times New Roman"/>
        </w:rPr>
      </w:pPr>
      <w:r w:rsidRPr="00EC64EE">
        <w:rPr>
          <w:rFonts w:cs="Times New Roman"/>
        </w:rPr>
        <w:t xml:space="preserve">In </w:t>
      </w:r>
      <w:r>
        <w:rPr>
          <w:rFonts w:cs="Times New Roman"/>
        </w:rPr>
        <w:t xml:space="preserve">the </w:t>
      </w:r>
      <w:r w:rsidRPr="00EC64EE">
        <w:rPr>
          <w:rFonts w:cs="Times New Roman"/>
        </w:rPr>
        <w:t>N-back task</w:t>
      </w:r>
      <w:r>
        <w:rPr>
          <w:rFonts w:cs="Times New Roman"/>
        </w:rPr>
        <w:t>,</w:t>
      </w:r>
      <w:r w:rsidRPr="00EC64EE">
        <w:rPr>
          <w:rFonts w:cs="Times New Roman"/>
        </w:rPr>
        <w:t xml:space="preserve"> we observed a significant main effect of task difficulty where participants had significantly faster reaction time [</w:t>
      </w:r>
      <w:proofErr w:type="gramStart"/>
      <w:r w:rsidRPr="004738AE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</w:t>
      </w:r>
      <w:proofErr w:type="gramEnd"/>
      <w:r w:rsidRPr="004738AE">
        <w:rPr>
          <w:rFonts w:cs="Times New Roman"/>
          <w:vertAlign w:val="subscript"/>
        </w:rPr>
        <w:t>1,11.76)</w:t>
      </w:r>
      <w:r w:rsidRPr="00EC64EE">
        <w:rPr>
          <w:rFonts w:cs="Times New Roman"/>
        </w:rPr>
        <w:t xml:space="preserve">=45.71,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&lt;0.001,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0.88 (CI: 0.78-0.98)] and higher accuracy [</w:t>
      </w:r>
      <w:r w:rsidRPr="004738AE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(1,6.72)</w:t>
      </w:r>
      <w:r w:rsidRPr="00EC64EE">
        <w:rPr>
          <w:rFonts w:cs="Times New Roman"/>
        </w:rPr>
        <w:t xml:space="preserve">=44.43,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&lt;0.001,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0.94 (CI: 0.75-0.99)] in the easy blocks (one back) compared to difficult blocks (two-blocks). However, we did not observe any significant effect of light condition on reaction time [</w:t>
      </w:r>
      <w:r w:rsidRPr="004738AE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(2,9.26)</w:t>
      </w:r>
      <w:r w:rsidRPr="00EC64EE">
        <w:rPr>
          <w:rFonts w:cs="Times New Roman"/>
        </w:rPr>
        <w:t xml:space="preserve">=2.90,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=0.10,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0.41 (CI: 0-0.79)], accuracy [</w:t>
      </w:r>
      <w:r w:rsidRPr="004738AE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(2,6.11)</w:t>
      </w:r>
      <w:r w:rsidRPr="00EC64EE">
        <w:rPr>
          <w:rFonts w:cs="Times New Roman"/>
        </w:rPr>
        <w:t xml:space="preserve">=1.24, </w:t>
      </w:r>
      <w:r w:rsidRPr="004738AE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=0.35,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0.14 (CI: 0-0.68)],</w:t>
      </w:r>
      <w:r>
        <w:rPr>
          <w:rFonts w:cs="Times New Roman"/>
        </w:rPr>
        <w:t xml:space="preserve"> </w:t>
      </w:r>
      <w:r w:rsidRPr="00EC64EE">
        <w:rPr>
          <w:rFonts w:cs="Times New Roman"/>
        </w:rPr>
        <w:t>hit ratio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(2,7.05)</w:t>
      </w:r>
      <w:r w:rsidRPr="00EC64EE">
        <w:rPr>
          <w:rFonts w:cs="Times New Roman"/>
        </w:rPr>
        <w:t xml:space="preserve">=2.82,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=0.13,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0.13 (CI: 0-0.60)], false alarm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(2,5.7)</w:t>
      </w:r>
      <w:r w:rsidRPr="00EC64EE">
        <w:rPr>
          <w:rFonts w:cs="Times New Roman"/>
        </w:rPr>
        <w:t xml:space="preserve">=1.28,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=0.35,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0.24 (CI: 0-0.81)], sensitivity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(2,2.91)</w:t>
      </w:r>
      <w:r w:rsidRPr="00EC64EE">
        <w:rPr>
          <w:rFonts w:cs="Times New Roman"/>
        </w:rPr>
        <w:t xml:space="preserve">=1.22,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=0.41,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0.08 (CI: 0-0.61)], bias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(2,2.67)</w:t>
      </w:r>
      <w:r w:rsidRPr="00EC64EE">
        <w:rPr>
          <w:rFonts w:cs="Times New Roman"/>
        </w:rPr>
        <w:t xml:space="preserve">=3.68,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=0.17,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0.14 (CI: 0-0.68)].</w:t>
      </w:r>
    </w:p>
    <w:p w14:paraId="10C7734D" w14:textId="4E9EFD68" w:rsidR="00D65B86" w:rsidRDefault="00D65B86" w:rsidP="00D65B86">
      <w:pPr>
        <w:pStyle w:val="BodyText"/>
      </w:pPr>
    </w:p>
    <w:p w14:paraId="599ED201" w14:textId="1D6362C9" w:rsidR="00AE363D" w:rsidRPr="00EC64EE" w:rsidRDefault="00000000">
      <w:pPr>
        <w:pStyle w:val="BodyText"/>
        <w:rPr>
          <w:rFonts w:cs="Times New Roman"/>
        </w:rPr>
      </w:pPr>
      <w:r w:rsidRPr="00EC64EE">
        <w:rPr>
          <w:rFonts w:cs="Times New Roman"/>
        </w:rPr>
        <w:lastRenderedPageBreak/>
        <w:t>Further, we observed no significant interaction effect of light condition and task complexity on N back reaction time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(2,9.25)</w:t>
      </w:r>
      <w:r w:rsidRPr="00EC64EE">
        <w:rPr>
          <w:rFonts w:cs="Times New Roman"/>
        </w:rPr>
        <w:t xml:space="preserve">=1.46,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=0.28,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0.41 (CI: CI: 0-0.79)] and accuracy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(2,6.11)</w:t>
      </w:r>
      <w:r w:rsidRPr="00EC64EE">
        <w:rPr>
          <w:rFonts w:cs="Times New Roman"/>
        </w:rPr>
        <w:t xml:space="preserve">=0.32,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=0.74,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0.14 (CI: 0-0.68)], hit ratio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(2,7.05)</w:t>
      </w:r>
      <w:r w:rsidRPr="00EC64EE">
        <w:rPr>
          <w:rFonts w:cs="Times New Roman"/>
        </w:rPr>
        <w:t xml:space="preserve">=2.24,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=0.18,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0.03 (CI: 0-0.56)], false alarm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(2,5.7)</w:t>
      </w:r>
      <w:r w:rsidRPr="00EC64EE">
        <w:rPr>
          <w:rFonts w:cs="Times New Roman"/>
        </w:rPr>
        <w:t xml:space="preserve">=1.28,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=0.59,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0.24 (CI: 0-0.78)],</w:t>
      </w:r>
      <w:r w:rsidR="004738AE">
        <w:rPr>
          <w:rFonts w:cs="Times New Roman"/>
        </w:rPr>
        <w:t xml:space="preserve"> </w:t>
      </w:r>
      <w:r w:rsidRPr="00EC64EE">
        <w:rPr>
          <w:rFonts w:cs="Times New Roman"/>
        </w:rPr>
        <w:t>sensitivity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(2,2.91)</w:t>
      </w:r>
      <w:r w:rsidRPr="00EC64EE">
        <w:rPr>
          <w:rFonts w:cs="Times New Roman"/>
        </w:rPr>
        <w:t xml:space="preserve">=0.03, </w:t>
      </w:r>
      <w:r w:rsidRPr="00A32DA4">
        <w:rPr>
          <w:rFonts w:cs="Times New Roman"/>
          <w:i/>
          <w:iCs/>
        </w:rPr>
        <w:t>p</w:t>
      </w:r>
      <w:r w:rsidRPr="00EC64EE">
        <w:rPr>
          <w:rFonts w:cs="Times New Roman"/>
        </w:rPr>
        <w:t xml:space="preserve">=0.97,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0.08 (CI: 0-0.55)], bias [</w:t>
      </w:r>
      <w:r w:rsidRPr="00A32DA4">
        <w:rPr>
          <w:rFonts w:cs="Times New Roman"/>
          <w:i/>
          <w:iCs/>
        </w:rPr>
        <w:t>F</w:t>
      </w:r>
      <w:r w:rsidRPr="004738AE">
        <w:rPr>
          <w:rFonts w:cs="Times New Roman"/>
          <w:vertAlign w:val="subscript"/>
        </w:rPr>
        <w:t>(2,2.67)</w:t>
      </w:r>
      <w:r w:rsidRPr="00EC64EE">
        <w:rPr>
          <w:rFonts w:cs="Times New Roman"/>
        </w:rPr>
        <w:t xml:space="preserve">=1.41, p=0.38, </w:t>
      </w:r>
      <m:oMath>
        <m:r>
          <w:rPr>
            <w:rFonts w:ascii="Cambria Math" w:hAnsi="Cambria Math" w:cs="Times New Roman"/>
          </w:rPr>
          <m:t>ξ</m:t>
        </m:r>
      </m:oMath>
      <w:r w:rsidRPr="00EC64EE">
        <w:rPr>
          <w:rFonts w:cs="Times New Roman"/>
        </w:rPr>
        <w:t xml:space="preserve"> = 0.71 (CI: 0.18-0.91)].</w:t>
      </w:r>
    </w:p>
    <w:p w14:paraId="599ED203" w14:textId="4091DC7E" w:rsidR="00AE363D" w:rsidRPr="00EC64EE" w:rsidRDefault="00AE363D">
      <w:pPr>
        <w:pStyle w:val="CaptionedFigure"/>
        <w:rPr>
          <w:rFonts w:cs="Times New Roman"/>
        </w:rPr>
      </w:pPr>
    </w:p>
    <w:p w14:paraId="599ED205" w14:textId="77777777" w:rsidR="00AE363D" w:rsidRPr="00EC64EE" w:rsidRDefault="00000000">
      <w:pPr>
        <w:pStyle w:val="Heading1"/>
        <w:rPr>
          <w:rFonts w:cs="Times New Roman"/>
        </w:rPr>
      </w:pPr>
      <w:bookmarkStart w:id="8" w:name="discussion"/>
      <w:bookmarkEnd w:id="5"/>
      <w:bookmarkEnd w:id="7"/>
      <w:r w:rsidRPr="00EC64EE">
        <w:rPr>
          <w:rFonts w:cs="Times New Roman"/>
        </w:rPr>
        <w:t>Discussion</w:t>
      </w:r>
    </w:p>
    <w:p w14:paraId="599ED206" w14:textId="77777777" w:rsidR="00AE363D" w:rsidRPr="00EC64EE" w:rsidRDefault="00000000">
      <w:pPr>
        <w:rPr>
          <w:rFonts w:cs="Times New Roman"/>
        </w:rPr>
      </w:pPr>
      <w:r w:rsidRPr="00EC64EE">
        <w:rPr>
          <w:rFonts w:cs="Times New Roman"/>
        </w:rPr>
        <w:br w:type="page"/>
      </w:r>
    </w:p>
    <w:p w14:paraId="7FC71E00" w14:textId="3A61BE6B" w:rsidR="00AA787D" w:rsidRDefault="00000000" w:rsidP="0008550A">
      <w:bookmarkStart w:id="9" w:name="references"/>
      <w:bookmarkEnd w:id="8"/>
      <w:r w:rsidRPr="00EC64EE">
        <w:lastRenderedPageBreak/>
        <w:t>References</w:t>
      </w:r>
      <w:bookmarkEnd w:id="9"/>
    </w:p>
    <w:p w14:paraId="3C3884F7" w14:textId="77777777" w:rsidR="0008550A" w:rsidRDefault="0008550A" w:rsidP="00BD7FC8">
      <w:pPr>
        <w:pStyle w:val="Heading1"/>
        <w:jc w:val="left"/>
        <w:rPr>
          <w:rFonts w:cs="Times New Roman"/>
        </w:rPr>
      </w:pPr>
    </w:p>
    <w:p w14:paraId="5E9FD9B4" w14:textId="77777777" w:rsidR="0008550A" w:rsidRDefault="0008550A" w:rsidP="00BD7FC8">
      <w:pPr>
        <w:pStyle w:val="Heading1"/>
        <w:jc w:val="left"/>
        <w:rPr>
          <w:rFonts w:cs="Times New Roman"/>
        </w:rPr>
      </w:pPr>
    </w:p>
    <w:p w14:paraId="3AC39F36" w14:textId="77777777" w:rsidR="001227D7" w:rsidRPr="001227D7" w:rsidRDefault="0008550A" w:rsidP="001227D7">
      <w:pPr>
        <w:pStyle w:val="EndNoteBibliography"/>
        <w:spacing w:after="0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1227D7" w:rsidRPr="001227D7">
        <w:rPr>
          <w:noProof/>
        </w:rPr>
        <w:t>CIE 2018. CIE international Standard (CIE S 026/E:2018) "System for Metrology of Optical Radiation for ipRGC-Influenced Responses to Light".</w:t>
      </w:r>
    </w:p>
    <w:p w14:paraId="404F4919" w14:textId="77777777" w:rsidR="001227D7" w:rsidRPr="001227D7" w:rsidRDefault="001227D7" w:rsidP="001227D7">
      <w:pPr>
        <w:pStyle w:val="EndNoteBibliography"/>
        <w:spacing w:after="0"/>
        <w:ind w:left="720" w:hanging="720"/>
        <w:rPr>
          <w:noProof/>
        </w:rPr>
      </w:pPr>
      <w:r w:rsidRPr="001227D7">
        <w:rPr>
          <w:noProof/>
        </w:rPr>
        <w:t xml:space="preserve">CLARK, J. 1924. The Ishihara test for color blindness. </w:t>
      </w:r>
      <w:r w:rsidRPr="001227D7">
        <w:rPr>
          <w:i/>
          <w:noProof/>
        </w:rPr>
        <w:t>American Journal of Physiological Optics</w:t>
      </w:r>
      <w:r w:rsidRPr="001227D7">
        <w:rPr>
          <w:noProof/>
        </w:rPr>
        <w:t>.</w:t>
      </w:r>
    </w:p>
    <w:p w14:paraId="53414041" w14:textId="77777777" w:rsidR="001227D7" w:rsidRPr="001227D7" w:rsidRDefault="001227D7" w:rsidP="001227D7">
      <w:pPr>
        <w:pStyle w:val="EndNoteBibliography"/>
        <w:spacing w:after="0"/>
        <w:ind w:left="720" w:hanging="720"/>
        <w:rPr>
          <w:noProof/>
        </w:rPr>
      </w:pPr>
      <w:r w:rsidRPr="001227D7">
        <w:rPr>
          <w:noProof/>
        </w:rPr>
        <w:t xml:space="preserve">MAIR, P. &amp; WILCOX, R. 2020. Robust statistical methods in R using the WRS2 package. </w:t>
      </w:r>
      <w:r w:rsidRPr="001227D7">
        <w:rPr>
          <w:i/>
          <w:noProof/>
        </w:rPr>
        <w:t>Behav Res Methods,</w:t>
      </w:r>
      <w:r w:rsidRPr="001227D7">
        <w:rPr>
          <w:noProof/>
        </w:rPr>
        <w:t xml:space="preserve"> 52</w:t>
      </w:r>
      <w:r w:rsidRPr="001227D7">
        <w:rPr>
          <w:b/>
          <w:noProof/>
        </w:rPr>
        <w:t>,</w:t>
      </w:r>
      <w:r w:rsidRPr="001227D7">
        <w:rPr>
          <w:noProof/>
        </w:rPr>
        <w:t xml:space="preserve"> 464-488.</w:t>
      </w:r>
    </w:p>
    <w:p w14:paraId="17CAE838" w14:textId="77777777" w:rsidR="001227D7" w:rsidRPr="001227D7" w:rsidRDefault="001227D7" w:rsidP="001227D7">
      <w:pPr>
        <w:pStyle w:val="EndNoteBibliography"/>
        <w:spacing w:after="0"/>
        <w:ind w:left="720" w:hanging="720"/>
        <w:rPr>
          <w:noProof/>
        </w:rPr>
      </w:pPr>
      <w:r w:rsidRPr="001227D7">
        <w:rPr>
          <w:noProof/>
        </w:rPr>
        <w:t>REVELLE, W. 2021. psych: Procedures for Psychological, Psychometric, and Personality Research.</w:t>
      </w:r>
    </w:p>
    <w:p w14:paraId="2DA8C839" w14:textId="54B30A52" w:rsidR="001227D7" w:rsidRPr="001227D7" w:rsidRDefault="001227D7" w:rsidP="001227D7">
      <w:pPr>
        <w:pStyle w:val="EndNoteBibliography"/>
        <w:spacing w:after="0"/>
        <w:ind w:left="720" w:hanging="720"/>
        <w:rPr>
          <w:noProof/>
        </w:rPr>
      </w:pPr>
      <w:r w:rsidRPr="001227D7">
        <w:rPr>
          <w:noProof/>
        </w:rPr>
        <w:t xml:space="preserve">SCHLANGEN, L. 2018. CIE international Standard (CIE S 026/E:2018) "System for Metrology of Optical Radiation for ipRGC-Influenced Responses to Light" </w:t>
      </w:r>
      <w:hyperlink r:id="rId10" w:history="1">
        <w:r w:rsidRPr="001227D7">
          <w:rPr>
            <w:rStyle w:val="Hyperlink"/>
            <w:noProof/>
          </w:rPr>
          <w:t>http://www.cie.co.at/publications/international-standards</w:t>
        </w:r>
      </w:hyperlink>
      <w:r w:rsidRPr="001227D7">
        <w:rPr>
          <w:noProof/>
        </w:rPr>
        <w:t>.</w:t>
      </w:r>
    </w:p>
    <w:p w14:paraId="47969A73" w14:textId="77777777" w:rsidR="001227D7" w:rsidRPr="001227D7" w:rsidRDefault="001227D7" w:rsidP="001227D7">
      <w:pPr>
        <w:pStyle w:val="EndNoteBibliography"/>
        <w:spacing w:after="0"/>
        <w:ind w:left="720" w:hanging="720"/>
        <w:rPr>
          <w:noProof/>
        </w:rPr>
      </w:pPr>
      <w:r w:rsidRPr="001227D7">
        <w:rPr>
          <w:noProof/>
        </w:rPr>
        <w:t>SIRAJI, M. 2022. Tabledown: Create Publication Quality Tables and Plots.</w:t>
      </w:r>
    </w:p>
    <w:p w14:paraId="795C24B6" w14:textId="77777777" w:rsidR="001227D7" w:rsidRPr="001227D7" w:rsidRDefault="001227D7" w:rsidP="001227D7">
      <w:pPr>
        <w:pStyle w:val="EndNoteBibliography"/>
        <w:spacing w:after="0"/>
        <w:ind w:left="720" w:hanging="720"/>
        <w:rPr>
          <w:noProof/>
        </w:rPr>
      </w:pPr>
      <w:r w:rsidRPr="001227D7">
        <w:rPr>
          <w:noProof/>
        </w:rPr>
        <w:t xml:space="preserve">SPITSCHAN, M., MEAD, J., ROOS, C., LOWIS, C., GRIFFITHS, B., MUCUR, P. &amp; HERF, M. 2021. luox: novel validated open-access and open-source web platform for calculating and sharing physiologically relevant quantities for light and lighting. </w:t>
      </w:r>
      <w:r w:rsidRPr="001227D7">
        <w:rPr>
          <w:i/>
          <w:noProof/>
        </w:rPr>
        <w:t>Wellcome open research,</w:t>
      </w:r>
      <w:r w:rsidRPr="001227D7">
        <w:rPr>
          <w:noProof/>
        </w:rPr>
        <w:t xml:space="preserve"> 6</w:t>
      </w:r>
      <w:r w:rsidRPr="001227D7">
        <w:rPr>
          <w:b/>
          <w:noProof/>
        </w:rPr>
        <w:t>,</w:t>
      </w:r>
      <w:r w:rsidRPr="001227D7">
        <w:rPr>
          <w:noProof/>
        </w:rPr>
        <w:t xml:space="preserve"> 1-12.</w:t>
      </w:r>
    </w:p>
    <w:p w14:paraId="5F9A0CB8" w14:textId="77777777" w:rsidR="001227D7" w:rsidRPr="001227D7" w:rsidRDefault="001227D7" w:rsidP="001227D7">
      <w:pPr>
        <w:pStyle w:val="EndNoteBibliography"/>
        <w:ind w:left="720" w:hanging="720"/>
        <w:rPr>
          <w:noProof/>
        </w:rPr>
      </w:pPr>
      <w:r w:rsidRPr="001227D7">
        <w:rPr>
          <w:noProof/>
        </w:rPr>
        <w:t xml:space="preserve">WILCOX, R. R. &amp; TIAN, T. S. 2011. Measuring effect size: a robust heteroscedastic approach for two or more groups. </w:t>
      </w:r>
      <w:r w:rsidRPr="001227D7">
        <w:rPr>
          <w:i/>
          <w:noProof/>
        </w:rPr>
        <w:t>Journal of applied statistics,</w:t>
      </w:r>
      <w:r w:rsidRPr="001227D7">
        <w:rPr>
          <w:noProof/>
        </w:rPr>
        <w:t xml:space="preserve"> 38</w:t>
      </w:r>
      <w:r w:rsidRPr="001227D7">
        <w:rPr>
          <w:b/>
          <w:noProof/>
        </w:rPr>
        <w:t>,</w:t>
      </w:r>
      <w:r w:rsidRPr="001227D7">
        <w:rPr>
          <w:noProof/>
        </w:rPr>
        <w:t xml:space="preserve"> 1359-1368.</w:t>
      </w:r>
    </w:p>
    <w:p w14:paraId="599ED207" w14:textId="1B2B1A3B" w:rsidR="00AE363D" w:rsidRPr="00EC64EE" w:rsidRDefault="0008550A" w:rsidP="00BD7FC8">
      <w:pPr>
        <w:pStyle w:val="Heading1"/>
        <w:jc w:val="left"/>
        <w:rPr>
          <w:rFonts w:cs="Times New Roman"/>
        </w:rPr>
      </w:pPr>
      <w:r>
        <w:rPr>
          <w:rFonts w:cs="Times New Roman"/>
        </w:rPr>
        <w:fldChar w:fldCharType="end"/>
      </w:r>
    </w:p>
    <w:sectPr w:rsidR="00AE363D" w:rsidRPr="00EC64EE" w:rsidSect="00CB20D0">
      <w:headerReference w:type="even" r:id="rId11"/>
      <w:headerReference w:type="default" r:id="rId12"/>
      <w:headerReference w:type="first" r:id="rId13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9282" w14:textId="77777777" w:rsidR="007114A1" w:rsidRDefault="007114A1">
      <w:pPr>
        <w:spacing w:before="0" w:after="0" w:line="240" w:lineRule="auto"/>
      </w:pPr>
      <w:r>
        <w:separator/>
      </w:r>
    </w:p>
  </w:endnote>
  <w:endnote w:type="continuationSeparator" w:id="0">
    <w:p w14:paraId="63230436" w14:textId="77777777" w:rsidR="007114A1" w:rsidRDefault="007114A1">
      <w:pPr>
        <w:spacing w:before="0" w:after="0" w:line="240" w:lineRule="auto"/>
      </w:pPr>
      <w:r>
        <w:continuationSeparator/>
      </w:r>
    </w:p>
  </w:endnote>
  <w:endnote w:type="continuationNotice" w:id="1">
    <w:p w14:paraId="3BCC55D6" w14:textId="77777777" w:rsidR="007114A1" w:rsidRDefault="007114A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7B65" w14:textId="77777777" w:rsidR="007114A1" w:rsidRDefault="007114A1">
      <w:r>
        <w:separator/>
      </w:r>
    </w:p>
  </w:footnote>
  <w:footnote w:type="continuationSeparator" w:id="0">
    <w:p w14:paraId="07549EB3" w14:textId="77777777" w:rsidR="007114A1" w:rsidRDefault="007114A1">
      <w:r>
        <w:continuationSeparator/>
      </w:r>
    </w:p>
  </w:footnote>
  <w:footnote w:type="continuationNotice" w:id="1">
    <w:p w14:paraId="72BDD64B" w14:textId="77777777" w:rsidR="007114A1" w:rsidRDefault="007114A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599ED213" w14:textId="00F1734C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E71B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9ED214" w14:textId="77777777" w:rsidR="00AF36ED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599ED215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9ED216" w14:textId="77777777" w:rsidR="00AF36ED" w:rsidRPr="00A05772" w:rsidRDefault="00000000" w:rsidP="00572FF5">
    <w:pPr>
      <w:pStyle w:val="Header"/>
      <w:ind w:right="357"/>
    </w:pPr>
    <w:r>
      <w:t>TITLE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599ED217" w14:textId="77777777" w:rsidR="00DA0F6A" w:rsidRDefault="0000000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9ED218" w14:textId="77777777" w:rsidR="00DA0F6A" w:rsidRDefault="00000000" w:rsidP="00DA0F6A">
    <w:pPr>
      <w:pStyle w:val="Header"/>
      <w:ind w:right="360"/>
    </w:pPr>
    <w:r>
      <w:t>Running head: TITLE</w:t>
    </w:r>
  </w:p>
  <w:p w14:paraId="599ED219" w14:textId="77777777" w:rsidR="00CB20D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E71CB2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87664044">
    <w:abstractNumId w:val="12"/>
  </w:num>
  <w:num w:numId="2" w16cid:durableId="48001000">
    <w:abstractNumId w:val="12"/>
  </w:num>
  <w:num w:numId="3" w16cid:durableId="1465809540">
    <w:abstractNumId w:val="13"/>
  </w:num>
  <w:num w:numId="4" w16cid:durableId="182211208">
    <w:abstractNumId w:val="1"/>
  </w:num>
  <w:num w:numId="5" w16cid:durableId="287860137">
    <w:abstractNumId w:val="2"/>
  </w:num>
  <w:num w:numId="6" w16cid:durableId="1213468285">
    <w:abstractNumId w:val="3"/>
  </w:num>
  <w:num w:numId="7" w16cid:durableId="1719090663">
    <w:abstractNumId w:val="4"/>
  </w:num>
  <w:num w:numId="8" w16cid:durableId="5597718">
    <w:abstractNumId w:val="9"/>
  </w:num>
  <w:num w:numId="9" w16cid:durableId="181481865">
    <w:abstractNumId w:val="5"/>
  </w:num>
  <w:num w:numId="10" w16cid:durableId="233861169">
    <w:abstractNumId w:val="6"/>
  </w:num>
  <w:num w:numId="11" w16cid:durableId="1064571903">
    <w:abstractNumId w:val="7"/>
  </w:num>
  <w:num w:numId="12" w16cid:durableId="831599778">
    <w:abstractNumId w:val="8"/>
  </w:num>
  <w:num w:numId="13" w16cid:durableId="2145156317">
    <w:abstractNumId w:val="10"/>
  </w:num>
  <w:num w:numId="14" w16cid:durableId="744643511">
    <w:abstractNumId w:val="13"/>
  </w:num>
  <w:num w:numId="15" w16cid:durableId="2035887230">
    <w:abstractNumId w:val="0"/>
  </w:num>
  <w:num w:numId="16" w16cid:durableId="929898985">
    <w:abstractNumId w:val="0"/>
  </w:num>
  <w:num w:numId="17" w16cid:durableId="1378237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fa5wf9ac5ffz6eefsqvear65avdrepps9zf&quot;&gt;My EndNote Library&lt;record-ids&gt;&lt;item&gt;353&lt;/item&gt;&lt;item&gt;520&lt;/item&gt;&lt;item&gt;1037&lt;/item&gt;&lt;item&gt;1039&lt;/item&gt;&lt;item&gt;2065&lt;/item&gt;&lt;item&gt;2207&lt;/item&gt;&lt;item&gt;2208&lt;/item&gt;&lt;item&gt;2209&lt;/item&gt;&lt;/record-ids&gt;&lt;/item&gt;&lt;/Libraries&gt;"/>
  </w:docVars>
  <w:rsids>
    <w:rsidRoot w:val="00AE363D"/>
    <w:rsid w:val="0008550A"/>
    <w:rsid w:val="000A0CCB"/>
    <w:rsid w:val="001227D7"/>
    <w:rsid w:val="001604F8"/>
    <w:rsid w:val="001812FF"/>
    <w:rsid w:val="001860AB"/>
    <w:rsid w:val="001D2481"/>
    <w:rsid w:val="00204964"/>
    <w:rsid w:val="00210A1B"/>
    <w:rsid w:val="00255DB8"/>
    <w:rsid w:val="00262397"/>
    <w:rsid w:val="00274637"/>
    <w:rsid w:val="00286ABD"/>
    <w:rsid w:val="0028789E"/>
    <w:rsid w:val="003555CA"/>
    <w:rsid w:val="00382698"/>
    <w:rsid w:val="003E34CF"/>
    <w:rsid w:val="0040777E"/>
    <w:rsid w:val="004206AD"/>
    <w:rsid w:val="004738AE"/>
    <w:rsid w:val="00574D4B"/>
    <w:rsid w:val="005A0DF1"/>
    <w:rsid w:val="005B7E4C"/>
    <w:rsid w:val="005E71B3"/>
    <w:rsid w:val="00611747"/>
    <w:rsid w:val="006140C8"/>
    <w:rsid w:val="006360D5"/>
    <w:rsid w:val="00670BA1"/>
    <w:rsid w:val="00672630"/>
    <w:rsid w:val="006A2012"/>
    <w:rsid w:val="006A652A"/>
    <w:rsid w:val="006C4D5D"/>
    <w:rsid w:val="007114A1"/>
    <w:rsid w:val="007155CD"/>
    <w:rsid w:val="00756163"/>
    <w:rsid w:val="00767C74"/>
    <w:rsid w:val="007851B8"/>
    <w:rsid w:val="00787818"/>
    <w:rsid w:val="0079332E"/>
    <w:rsid w:val="008C7FD0"/>
    <w:rsid w:val="00977613"/>
    <w:rsid w:val="009B2D90"/>
    <w:rsid w:val="009C669C"/>
    <w:rsid w:val="009D5069"/>
    <w:rsid w:val="00A32DA4"/>
    <w:rsid w:val="00A469E6"/>
    <w:rsid w:val="00AA787D"/>
    <w:rsid w:val="00AB44D5"/>
    <w:rsid w:val="00AB6E34"/>
    <w:rsid w:val="00AE363D"/>
    <w:rsid w:val="00B044E8"/>
    <w:rsid w:val="00B43908"/>
    <w:rsid w:val="00BB5FCE"/>
    <w:rsid w:val="00BD7FC8"/>
    <w:rsid w:val="00BF6C8B"/>
    <w:rsid w:val="00C06241"/>
    <w:rsid w:val="00C22711"/>
    <w:rsid w:val="00C31C81"/>
    <w:rsid w:val="00D16E23"/>
    <w:rsid w:val="00D62DBD"/>
    <w:rsid w:val="00D63924"/>
    <w:rsid w:val="00D65B86"/>
    <w:rsid w:val="00DC20A7"/>
    <w:rsid w:val="00DC3443"/>
    <w:rsid w:val="00E6034D"/>
    <w:rsid w:val="00E8099E"/>
    <w:rsid w:val="00E84C48"/>
    <w:rsid w:val="00E9438C"/>
    <w:rsid w:val="00EC64EE"/>
    <w:rsid w:val="00F52884"/>
    <w:rsid w:val="00F802C7"/>
    <w:rsid w:val="00FD1E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ED143"/>
  <w15:docId w15:val="{3810FB69-F858-434C-B40A-3AFEE8DD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link w:val="FirstParagraphChar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qFormat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EndNoteBibliographyTitle">
    <w:name w:val="EndNote Bibliography Title"/>
    <w:basedOn w:val="Normal"/>
    <w:link w:val="EndNoteBibliographyTitleChar"/>
    <w:rsid w:val="00AA787D"/>
    <w:pPr>
      <w:spacing w:after="0"/>
      <w:jc w:val="center"/>
    </w:pPr>
    <w:rPr>
      <w:rFonts w:cs="Times New Roman"/>
    </w:rPr>
  </w:style>
  <w:style w:type="character" w:customStyle="1" w:styleId="FirstParagraphChar">
    <w:name w:val="First Paragraph Char"/>
    <w:basedOn w:val="BodyTextChar"/>
    <w:link w:val="FirstParagraph"/>
    <w:rsid w:val="00AA787D"/>
    <w:rPr>
      <w:rFonts w:ascii="Times New Roman" w:hAnsi="Times New Roman"/>
    </w:rPr>
  </w:style>
  <w:style w:type="character" w:customStyle="1" w:styleId="EndNoteBibliographyTitleChar">
    <w:name w:val="EndNote Bibliography Title Char"/>
    <w:basedOn w:val="FirstParagraphChar"/>
    <w:link w:val="EndNoteBibliographyTitle"/>
    <w:rsid w:val="00AA787D"/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AA787D"/>
    <w:pPr>
      <w:spacing w:line="240" w:lineRule="auto"/>
      <w:jc w:val="center"/>
    </w:pPr>
    <w:rPr>
      <w:rFonts w:cs="Times New Roman"/>
    </w:rPr>
  </w:style>
  <w:style w:type="character" w:customStyle="1" w:styleId="EndNoteBibliographyChar">
    <w:name w:val="EndNote Bibliography Char"/>
    <w:basedOn w:val="FirstParagraphChar"/>
    <w:link w:val="EndNoteBibliography"/>
    <w:rsid w:val="00AA787D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D2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ie.co.at/publications/international-standar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3756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25121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cp:lastModifiedBy>Mushfiqul Anwar Siraji</cp:lastModifiedBy>
  <cp:revision>67</cp:revision>
  <dcterms:created xsi:type="dcterms:W3CDTF">2022-12-27T15:53:00Z</dcterms:created>
  <dcterms:modified xsi:type="dcterms:W3CDTF">2023-01-05T13:29:00Z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/>
  </property>
  <property fmtid="{D5CDD505-2E9C-101B-9397-08002B2CF9AE}" pid="5" name="classoption">
    <vt:lpwstr>man</vt:lpwstr>
  </property>
  <property fmtid="{D5CDD505-2E9C-101B-9397-08002B2CF9AE}" pid="6" name="csl">
    <vt:lpwstr>/Users/mushfiqulanwarsiraji/Library/Caches/org.R-project.R/R/renv/cache/v5/R-4.2/aarch64-apple-darwin20/papaja/0.1.1/f3bf9171176712807aace8167cd1d6e7/papaja/rmd/apa6.csl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False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infont">
    <vt:lpwstr>Arial</vt:lpwstr>
  </property>
  <property fmtid="{D5CDD505-2E9C-101B-9397-08002B2CF9AE}" pid="14" name="mask">
    <vt:lpwstr>False</vt:lpwstr>
  </property>
  <property fmtid="{D5CDD505-2E9C-101B-9397-08002B2CF9AE}" pid="15" name="output">
    <vt:lpwstr/>
  </property>
  <property fmtid="{D5CDD505-2E9C-101B-9397-08002B2CF9AE}" pid="16" name="shorttitle">
    <vt:lpwstr>Title</vt:lpwstr>
  </property>
  <property fmtid="{D5CDD505-2E9C-101B-9397-08002B2CF9AE}" pid="17" name="tablelist">
    <vt:lpwstr>False</vt:lpwstr>
  </property>
  <property fmtid="{D5CDD505-2E9C-101B-9397-08002B2CF9AE}" pid="18" name="wordcount">
    <vt:lpwstr>X</vt:lpwstr>
  </property>
</Properties>
</file>