
<file path=[Content_Types].xml><?xml version="1.0" encoding="utf-8"?>
<Types xmlns="http://schemas.openxmlformats.org/package/2006/content-types">
  <Default Extension="xml" ContentType="application/vnd.openxmlformats-officedocument.wordprocessingml.document.main+xml"/>
  <Default Extension="jpg" ContentType="image/jpe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fd9b1524940e44d4" /></Relationships>
</file>

<file path=word/document.xml><?xml version="1.0" encoding="utf-8"?>
<w:document xmlns:w="http://schemas.openxmlformats.org/wordprocessingml/2006/main">
  <w:body>
    <w:p>
      <w:pPr>
        <w:spacing w:before="119" w:after="119"/>
      </w:pPr>
      <w:r>
        <w:t xml:space="preserve">ECLI: </w:t>
      </w:r>
      <w:r>
        <w:rPr>
          <w:i/>
        </w:rPr>
        <w:t xml:space="preserve">ES:APB:2021:3348A</w:t>
      </w:r>
    </w:p>
    <w:p>
      <w:pPr>
        <w:spacing w:before="119" w:after="119"/>
      </w:pPr>
      <w:hyperlink xmlns:r="http://schemas.openxmlformats.org/officeDocument/2006/relationships" w:history="true" r:id="R347c74c20da8439f">
        <w:r>
          <w:rPr>
            <w:rStyle w:val="Hyperlink"/>
          </w:rPr>
          <w:t xml:space="preserve">Ponente: Rodríguez Vega, Luis</w:t>
        </w:r>
      </w:hyperlink>
      <w:r>
        <w:t xml:space="preserve">Ponente: Rodríguez Vega, Luis.</w:t>
      </w:r>
    </w:p>
    <w:p>
      <w:pPr>
        <w:spacing w:before="119" w:after="119"/>
      </w:pPr>
      <w:r>
        <w:t xml:space="preserve">Estimación</w:t>
      </w:r>
    </w:p>
    <w:p>
      <w:pPr>
        <w:pStyle w:val="Heading2"/>
      </w:pPr>
      <w:r>
        <w:t xml:space="preserve">Audiencia Provincial de Barcelona, Sección 15ª, Auto 91/2021 de 13 May. 2021, Rec. 1035/2021</w:t>
      </w:r>
    </w:p>
    <w:p>
      <w:pPr>
        <w:pStyle w:val="Heading3"/>
        <w:spacing w:before="45" w:after="45"/>
        <w:ind w:left="0"/>
      </w:pPr>
      <w:r>
        <w:t xml:space="preserve">Pasapalabra</w:t>
      </w:r>
    </w:p>
    <w:p>
      <w:pPr>
        <w:pStyle w:val="Heading3"/>
        <w:spacing w:before="45" w:after="45"/>
      </w:pPr>
      <w:r>
        <w:t xml:space="preserve">JUR\2021\194254</w:t>
      </w:r>
    </w:p>
    <w:p>
      <w:pPr>
        <w:pStyle w:val="Heading3"/>
        <w:spacing w:before="45" w:after="45"/>
      </w:pPr>
      <w:r>
        <w:t xml:space="preserve">8</w:t>
      </w:r>
    </w:p>
    <w:p>
      <w:pPr>
        <w:spacing w:before="119" w:after="119"/>
        <w:ind w:left="0" w:right="0"/>
      </w:pPr>
      <w:r>
        <w:rPr>
          <w:b/>
          <w:shd w:val="clear" w:fill="E4EEF4"/>
        </w:rPr>
        <w:t xml:space="preserve">DEFENSA DE LA COMPETENCIA.</w:t>
      </w:r>
    </w:p>
    <w:p>
      <w:r>
        <w:t xml:space="preserve"> </w:t>
      </w:r>
    </w:p>
    <w:p>
      <w:pPr>
        <w:pStyle w:val="Heading3"/>
        <w:spacing w:before="45" w:after="45"/>
      </w:pPr>
      <w:r>
        <w:t xml:space="preserve">Normativa aplicada</w:t>
      </w:r>
    </w:p>
    <w:p>
      <w:pPr>
        <w:spacing w:before="119" w:after="119"/>
      </w:pPr>
      <w:r>
        <w:rPr>
          <w:i/>
        </w:rPr>
        <w:t xml:space="preserve">L 1/2000 de 7 Ene. (Enjuiciamiento Civil)</w:t>
      </w:r>
      <w:hyperlink xmlns:r="http://schemas.openxmlformats.org/officeDocument/2006/relationships" w:history="true" r:id="Rd9cf1e3671e74e06">
        <w:r>
          <w:rPr>
            <w:rStyle w:val="Hyperlink"/>
          </w:rPr>
          <w:t xml:space="preserve">art. 71.4</w:t>
        </w:r>
      </w:hyperlink>
      <w:r>
        <w:t xml:space="preserve">; </w:t>
      </w:r>
      <w:hyperlink xmlns:r="http://schemas.openxmlformats.org/officeDocument/2006/relationships" w:history="true" r:id="Rb80ca382ecde4bc0">
        <w:r>
          <w:rPr>
            <w:rStyle w:val="Hyperlink"/>
          </w:rPr>
          <w:t xml:space="preserve">art. 465.5</w:t>
        </w:r>
      </w:hyperlink>
      <w:r>
        <w:t xml:space="preserve">; </w:t>
      </w:r>
      <w:hyperlink xmlns:r="http://schemas.openxmlformats.org/officeDocument/2006/relationships" w:history="true" r:id="R56efd3fff0784a9b">
        <w:r>
          <w:rPr>
            <w:rStyle w:val="Hyperlink"/>
          </w:rPr>
          <w:t xml:space="preserve">art. 421.1</w:t>
        </w:r>
      </w:hyperlink>
      <w:r>
        <w:t xml:space="preserve">; </w:t>
      </w:r>
      <w:hyperlink xmlns:r="http://schemas.openxmlformats.org/officeDocument/2006/relationships" w:history="true" r:id="R6761bdfa42d843dd">
        <w:r>
          <w:rPr>
            <w:rStyle w:val="Hyperlink"/>
          </w:rPr>
          <w:t xml:space="preserve">art. 416.1</w:t>
        </w:r>
      </w:hyperlink>
      <w:r>
        <w:t xml:space="preserve">; </w:t>
      </w:r>
      <w:hyperlink xmlns:r="http://schemas.openxmlformats.org/officeDocument/2006/relationships" w:history="true" r:id="Rb7c1867c2d5f4e6a">
        <w:r>
          <w:rPr>
            <w:rStyle w:val="Hyperlink"/>
          </w:rPr>
          <w:t xml:space="preserve">art. 222.4</w:t>
        </w:r>
      </w:hyperlink>
      <w:r>
        <w:t xml:space="preserve">; </w:t>
      </w:r>
      <w:hyperlink xmlns:r="http://schemas.openxmlformats.org/officeDocument/2006/relationships" w:history="true" r:id="Rbde520be65b14748">
        <w:r>
          <w:rPr>
            <w:rStyle w:val="Hyperlink"/>
          </w:rPr>
          <w:t xml:space="preserve">art. 222.3</w:t>
        </w:r>
      </w:hyperlink>
    </w:p>
    <w:p>
      <w:pPr>
        <w:spacing w:before="119" w:after="119"/>
      </w:pPr>
      <w:r>
        <w:rPr>
          <w:b/>
        </w:rPr>
        <w:t xml:space="preserve">AUTO</w:t>
      </w:r>
    </w:p>
    <w:p>
      <w:pPr>
        <w:spacing w:before="119" w:after="119"/>
      </w:pPr>
      <w:r>
        <w:rPr>
          <w:b/>
        </w:rPr>
        <w:t xml:space="preserve">Sección nº 15 de la Audiencia Provincial de Barcelona. Civil</w:t>
      </w:r>
    </w:p>
    <w:p>
      <w:pPr>
        <w:spacing w:before="119" w:after="119"/>
      </w:pPr>
      <w:r>
        <w:t xml:space="preserve">Calle Roger de Flor, 62-68 - Barcelona - C.P.: 08071</w:t>
      </w:r>
    </w:p>
    <w:p>
      <w:pPr>
        <w:spacing w:before="119" w:after="119"/>
      </w:pPr>
      <w:r>
        <w:t xml:space="preserve">TEL.: 938294451</w:t>
      </w:r>
    </w:p>
    <w:p>
      <w:pPr>
        <w:spacing w:before="119" w:after="119"/>
      </w:pPr>
      <w:r>
        <w:t xml:space="preserve">FAX: 938294458</w:t>
      </w:r>
    </w:p>
    <w:p>
      <w:pPr>
        <w:spacing w:before="119" w:after="119"/>
      </w:pPr>
      <w:r>
        <w:t xml:space="preserve">N.I.G.: 0801947120208003547</w:t>
      </w:r>
    </w:p>
    <w:p>
      <w:pPr>
        <w:spacing w:before="119" w:after="119"/>
      </w:pPr>
      <w:r>
        <w:rPr>
          <w:b/>
        </w:rPr>
        <w:t xml:space="preserve">Recurso de apelación 1035/2021-2ª</w:t>
      </w:r>
    </w:p>
    <w:p>
      <w:pPr>
        <w:spacing w:before="119" w:after="119"/>
      </w:pPr>
      <w:r>
        <w:t xml:space="preserve">Materia: Juicio Ordinario</w:t>
      </w:r>
    </w:p>
    <w:p>
      <w:pPr>
        <w:spacing w:before="119" w:after="119"/>
      </w:pPr>
      <w:r>
        <w:rPr>
          <w:b/>
        </w:rPr>
        <w:t xml:space="preserve">Órgano de origen: Juzgado de lo Mercantil nº 08 de Barcelona Procedimiento de origen: Procedimiento ordinario (Materia mercantil art. 249.1.4) 881/2020</w:t>
      </w:r>
    </w:p>
    <w:p>
      <w:pPr>
        <w:spacing w:before="119" w:after="119"/>
      </w:pPr>
      <w:r>
        <w:t xml:space="preserve">Entidad bancaria BANCO SANTANDER:</w:t>
      </w:r>
    </w:p>
    <w:p>
      <w:pPr>
        <w:spacing w:before="119" w:after="119"/>
      </w:pPr>
      <w:r>
        <w:t xml:space="preserve">Para ingresos en caja. Concepto: 0661000012103521</w:t>
      </w:r>
    </w:p>
    <w:p>
      <w:pPr>
        <w:spacing w:before="119" w:after="119"/>
      </w:pPr>
      <w:r>
        <w:t xml:space="preserve">Pagos por transferencia bancaria: IBAN ES55 0049 3569 9200 0500 1274.</w:t>
      </w:r>
    </w:p>
    <w:p>
      <w:pPr>
        <w:spacing w:before="119" w:after="119"/>
      </w:pPr>
      <w:r>
        <w:t xml:space="preserve">Beneficiario: Sección nº 15 de la Audiencia Provincial de Barcelona. Civil Concepto: 0661000012103521</w:t>
      </w:r>
    </w:p>
    <w:p>
      <w:pPr>
        <w:spacing w:before="119" w:after="119"/>
      </w:pPr>
      <w:r>
        <w:t xml:space="preserve">Parte recurrente/Solicitante: 1) MC&amp;amp;F BROADCASTING PRODUCTION AND DISTRIBUTION C.V., 2) </w:t>
      </w:r>
      <w:r>
        <w:rPr>
          <w:b/>
        </w:rPr>
        <w:t xml:space="preserve">ATRESMEDIA</w:t>
      </w:r>
      <w:r>
        <w:rPr>
          <w:b/>
        </w:rPr>
        <w:t xml:space="preserve">CORPORACION</w:t>
      </w:r>
      <w:r>
        <w:t xml:space="preserve"> DE MEDIOS DE COMUNICACION S.A., ITV STUDIOS GLOBAL DISTRIBUTION LIMITED</w:t>
      </w:r>
    </w:p>
    <w:p>
      <w:pPr>
        <w:spacing w:before="119" w:after="119"/>
      </w:pPr>
      <w:r>
        <w:t xml:space="preserve">Procurador/a: 1) Angel Joaniquet Tamburini, 2) Ignacio Lopez Chocarro,</w:t>
      </w:r>
    </w:p>
    <w:p>
      <w:pPr>
        <w:spacing w:before="119" w:after="119"/>
      </w:pPr>
      <w:r>
        <w:t xml:space="preserve">Abogado/a: 1) Alvaro Velazquez Saiz y Juan Jose Marin Lopez, 2) Pedro Merino Baylos,</w:t>
      </w:r>
    </w:p>
    <w:p>
      <w:pPr>
        <w:spacing w:before="119" w:after="119"/>
      </w:pPr>
      <w:r>
        <w:t xml:space="preserve">Cuestiones: Propiedad intelectual. Cosa juzgada positiva. No se puede sobreseer el procedimiento en la audiencia previa.</w:t>
      </w:r>
    </w:p>
    <w:p>
      <w:pPr>
        <w:spacing w:before="119" w:after="119"/>
      </w:pPr>
      <w:r>
        <w:rPr>
          <w:b/>
        </w:rPr>
        <w:t xml:space="preserve">Auto núm. 91/2021</w:t>
      </w:r>
    </w:p>
    <w:p>
      <w:pPr>
        <w:spacing w:before="119" w:after="119"/>
      </w:pPr>
      <w:r>
        <w:t xml:space="preserve">Composición del tribunal:</w:t>
      </w:r>
    </w:p>
    <w:p>
      <w:pPr>
        <w:spacing w:before="119" w:after="119"/>
      </w:pPr>
      <w:r>
        <w:t xml:space="preserve">JUAN F. GARNICA MARTÍN</w:t>
      </w:r>
    </w:p>
    <w:p>
      <w:pPr>
        <w:spacing w:before="119" w:after="119"/>
      </w:pPr>
      <w:r>
        <w:t xml:space="preserve">LUIS RODRÍGUEZ VEGA</w:t>
      </w:r>
    </w:p>
    <w:p>
      <w:pPr>
        <w:spacing w:before="119" w:after="119"/>
      </w:pPr>
      <w:r>
        <w:t xml:space="preserve">MARTA CERVERA MARTÍNEZ</w:t>
      </w:r>
    </w:p>
    <w:p>
      <w:pPr>
        <w:spacing w:before="119" w:after="119"/>
      </w:pPr>
      <w:r>
        <w:t xml:space="preserve">Barcelona, a trece de mayo de dos mil veintiuno.</w:t>
      </w:r>
    </w:p>
    <w:p>
      <w:pPr>
        <w:spacing w:before="119" w:after="119"/>
      </w:pPr>
      <w:r>
        <w:rPr>
          <w:b/>
        </w:rPr>
        <w:t xml:space="preserve">Parte apelante/apelada:</w:t>
      </w:r>
      <w:r>
        <w:t xml:space="preserve"> MC&amp;amp;F Broadcasting Production And Distribution C.V</w:t>
      </w:r>
    </w:p>
    <w:p>
      <w:pPr>
        <w:spacing w:before="119" w:after="119"/>
      </w:pPr>
      <w:r>
        <w:rPr>
          <w:b/>
        </w:rPr>
        <w:t xml:space="preserve">Parte apelada/apelante:</w:t>
      </w:r>
      <w:r>
        <w:rPr>
          <w:b/>
        </w:rPr>
        <w:t xml:space="preserve">ATRESMEDIA</w:t>
      </w:r>
      <w:r>
        <w:rPr>
          <w:b/>
        </w:rPr>
        <w:t xml:space="preserve">Corporación</w:t>
      </w:r>
      <w:r>
        <w:t xml:space="preserve"> de Medios de Comunicación S.A. e ITV Studios Global Distribution Limited.</w:t>
      </w:r>
    </w:p>
    <w:p>
      <w:pPr>
        <w:spacing w:before="119" w:after="119"/>
      </w:pPr>
      <w:r>
        <w:t xml:space="preserve">Resolución recurrida: Auto</w:t>
      </w:r>
    </w:p>
    <w:p>
      <w:pPr>
        <w:spacing w:before="119" w:after="119"/>
      </w:pPr>
      <w:r>
        <w:t xml:space="preserve">- Fecha: 4 de febrero de 2021</w:t>
      </w:r>
    </w:p>
    <w:p>
      <w:pPr>
        <w:spacing w:before="119" w:after="119"/>
      </w:pPr>
      <w:r>
        <w:t xml:space="preserve">- Parte demandante: MC&amp;amp;F Broadcasting Production And Distribution C.V</w:t>
      </w:r>
    </w:p>
    <w:p>
      <w:pPr>
        <w:spacing w:before="119" w:after="119"/>
      </w:pPr>
      <w:r>
        <w:t xml:space="preserve">- Parte demandada: </w:t>
      </w:r>
      <w:r>
        <w:rPr>
          <w:b/>
        </w:rPr>
        <w:t xml:space="preserve">ATRESMEDIA</w:t>
      </w:r>
      <w:r>
        <w:rPr>
          <w:b/>
        </w:rPr>
        <w:t xml:space="preserve">Corporación</w:t>
      </w:r>
      <w:r>
        <w:t xml:space="preserve"> de Medios de Comunicación S.A., en la que ha comparecido como interviniente ITV Studios Global Distribution Limited.</w:t>
      </w:r>
    </w:p>
    <w:p>
      <w:r>
        <w:t xml:space="preserve"> </w:t>
      </w:r>
    </w:p>
    <w:p>
      <w:pPr>
        <w:pStyle w:val="Heading3"/>
        <w:spacing w:before="45" w:after="45"/>
      </w:pPr>
      <w:r>
        <w:t xml:space="preserve">ANTECEDENTES DE HECHO</w:t>
      </w:r>
    </w:p>
    <w:p>
      <w:r>
        <w:t xml:space="preserve"> </w:t>
      </w:r>
    </w:p>
    <w:p>
      <w:pPr>
        <w:spacing w:before="119" w:after="119"/>
      </w:pPr>
      <w:r>
        <w:rPr>
          <w:b/>
        </w:rPr>
        <w:t xml:space="preserve">PRIMERO. </w:t>
      </w:r>
      <w:r>
        <w:t xml:space="preserve">La parte dispositiva del auto apelado es del tenor literal siguiente:</w:t>
      </w:r>
    </w:p>
    <w:p>
      <w:pPr>
        <w:spacing w:before="119" w:after="119"/>
      </w:pPr>
      <w:r>
        <w:t xml:space="preserve">" </w:t>
      </w:r>
      <w:r>
        <w:rPr>
          <w:i/>
        </w:rPr>
        <w:t xml:space="preserve">1º.- Desestimar la cuestión procesal de cosa juzgada material en sentido negativo que había sido alegada en su escrito de contestación a la demanda por las sociedades demandadas "</w:t>
      </w:r>
      <w:r>
        <w:rPr>
          <w:b/>
          <w:i/>
        </w:rPr>
        <w:t xml:space="preserve">ATRESMEDIA</w:t>
      </w:r>
      <w:r>
        <w:rPr>
          <w:b/>
          <w:i/>
        </w:rPr>
        <w:t xml:space="preserve">CORPORACIÓN</w:t>
      </w:r>
      <w:r>
        <w:rPr>
          <w:i/>
        </w:rPr>
        <w:t xml:space="preserve">DE MEDIOS DE COMUNICACIÓN, S.A." y "ITV STUDIOS GLOBAL DISTRIBUTION LTD".</w:t>
      </w:r>
    </w:p>
    <w:p>
      <w:pPr>
        <w:spacing w:before="119" w:after="119"/>
      </w:pPr>
      <w:r>
        <w:rPr>
          <w:i/>
        </w:rPr>
        <w:t xml:space="preserve">2º.- Estimar la cuestión procesal de cosa juzgada material en sentido positivo que había sido alegada en su escrito de contestación a la demanda por las sociedades demandadas "</w:t>
      </w:r>
      <w:r>
        <w:rPr>
          <w:b/>
          <w:i/>
        </w:rPr>
        <w:t xml:space="preserve">ATRESMEDIA</w:t>
      </w:r>
      <w:r>
        <w:rPr>
          <w:b/>
          <w:i/>
        </w:rPr>
        <w:t xml:space="preserve">CORPORACIÓN</w:t>
      </w:r>
      <w:r>
        <w:rPr>
          <w:i/>
        </w:rPr>
        <w:t xml:space="preserve">DE MEDIOS DE COMUNICACIÓN, S.A." y "ITV STUDIOS GLOBAL DISTRIBUTION LTD".</w:t>
      </w:r>
    </w:p>
    <w:p>
      <w:pPr>
        <w:spacing w:before="119" w:after="119"/>
      </w:pPr>
      <w:r>
        <w:rPr>
          <w:i/>
        </w:rPr>
        <w:t xml:space="preserve">3º.- El sobreseimiento y archivo definitivo del presente procedimiento.</w:t>
      </w:r>
    </w:p>
    <w:p>
      <w:pPr>
        <w:spacing w:before="119" w:after="119"/>
      </w:pPr>
      <w:r>
        <w:rPr>
          <w:i/>
        </w:rPr>
        <w:t xml:space="preserve">4º.- No haber lugar a realizar mención especial sobre las costas procesales de la primera instancia</w:t>
      </w:r>
      <w:r>
        <w:t xml:space="preserve">".</w:t>
      </w:r>
    </w:p>
    <w:p>
      <w:r>
        <w:t xml:space="preserve"> </w:t>
      </w:r>
    </w:p>
    <w:p>
      <w:pPr>
        <w:spacing w:before="119" w:after="119"/>
      </w:pPr>
      <w:r>
        <w:rPr>
          <w:b/>
        </w:rPr>
        <w:t xml:space="preserve">SEGUNDO. </w:t>
      </w:r>
      <w:r>
        <w:t xml:space="preserve">Contra el anterior auto se interpuso recurso de apelación por ambas partes. Admitido el recurso se dio traslado a la contraparte, que presentó escrito impugnándolo y solicitando la confirmación de la resolución recurrida, tras lo cual se elevaron las actuaciones a esta Sección de la Audiencia Provincial, que señaló votación y fallo para el día 29 de abril de 2021 pasado.</w:t>
      </w:r>
    </w:p>
    <w:p>
      <w:pPr>
        <w:spacing w:before="119" w:after="119"/>
      </w:pPr>
      <w:r>
        <w:t xml:space="preserve">Ponente: magistrado Luis Rodríguez Vega.</w:t>
      </w:r>
    </w:p>
    <w:p>
      <w:r>
        <w:t xml:space="preserve"> </w:t>
      </w:r>
    </w:p>
    <w:p>
      <w:pPr>
        <w:pStyle w:val="Heading3"/>
        <w:spacing w:before="45" w:after="45"/>
      </w:pPr>
      <w:r>
        <w:t xml:space="preserve">FUNDAMENTOS JURÍDICOS</w:t>
      </w:r>
    </w:p>
    <w:p>
      <w:r>
        <w:t xml:space="preserve"> </w:t>
      </w:r>
    </w:p>
    <w:p>
      <w:pPr>
        <w:spacing w:before="119" w:after="119"/>
      </w:pPr>
      <w:r>
        <w:rPr>
          <w:b/>
        </w:rPr>
        <w:t xml:space="preserve">PRIMERO.</w:t>
      </w:r>
      <w:r>
        <w:t xml:space="preserve"> </w:t>
      </w:r>
      <w:r>
        <w:rPr>
          <w:b/>
        </w:rPr>
        <w:t xml:space="preserve">Términos en los que aparece determinado el conflicto en esta instancia</w:t>
      </w:r>
    </w:p>
    <w:p>
      <w:pPr>
        <w:spacing w:before="119" w:after="119"/>
      </w:pPr>
      <w:r>
        <w:t xml:space="preserve">1. La actora, la compañía holandesa MC&amp;amp;F Broadcasting Production And Distribution C.V. (en adelante "MC&amp;amp;F"), presentó demanda el día 9 de marzo de 2020 contra la compañía </w:t>
      </w:r>
      <w:r>
        <w:rPr>
          <w:b/>
        </w:rPr>
        <w:t xml:space="preserve">ATRESMEDIA</w:t>
      </w:r>
      <w:r>
        <w:rPr>
          <w:b/>
        </w:rPr>
        <w:t xml:space="preserve">Corporación</w:t>
      </w:r>
      <w:r>
        <w:t xml:space="preserve"> de Medios de Comunicación, S.A. (en adelante, " </w:t>
      </w:r>
      <w:r>
        <w:rPr>
          <w:b/>
        </w:rPr>
        <w:t xml:space="preserve">ATRESMEDIA</w:t>
      </w:r>
      <w:r>
        <w:t xml:space="preserve">"), ejercitado acciones por infracción de derechos de propiedad intelectual y, subsidiariamente, por competencia desleal. Resumidamente el objeto del litigio es que se declare la infracción de los derechos de propiedad intelectual que MC&amp;amp;F afirma tener sobre el famoso formato de televisión comúnmente denominado " </w:t>
      </w:r>
      <w:r>
        <w:rPr>
          <w:i/>
        </w:rPr>
        <w:t xml:space="preserve">El Rosco</w:t>
      </w:r>
      <w:r>
        <w:t xml:space="preserve">" (originalmente llamado "21X100" o también " Juego Final") que ha venido siendo explotado desde hace años en España como la parte final del célebre concurso de televisión " </w:t>
      </w:r>
      <w:r>
        <w:rPr>
          <w:i/>
        </w:rPr>
        <w:t xml:space="preserve">Pasapalabra</w:t>
      </w:r>
      <w:r>
        <w:t xml:space="preserve">", con el fin de prohibir o, en su caso, cesar la infracción e indemnizar los daños y perjuicios ocasionados a la actora. Subsidiariamente, para el supuesto que se considere que " </w:t>
      </w:r>
      <w:r>
        <w:rPr>
          <w:i/>
        </w:rPr>
        <w:t xml:space="preserve">El Rosco</w:t>
      </w:r>
      <w:r>
        <w:t xml:space="preserve">" no puede ser objeto de propiedad intelectual, la actora sostiene que la demandada ha imitado deslealmente dicha prueba y que, por tanto, debe de cesar en dicha conducta ilícita e indemnizar los perjuicios causados.</w:t>
      </w:r>
    </w:p>
    <w:p>
      <w:pPr>
        <w:spacing w:before="119" w:after="119"/>
      </w:pPr>
      <w:r>
        <w:t xml:space="preserve">2. </w:t>
      </w:r>
      <w:r>
        <w:rPr>
          <w:b/>
        </w:rPr>
        <w:t xml:space="preserve">ATRESMEDIA</w:t>
      </w:r>
      <w:r>
        <w:t xml:space="preserve">, junto con ITV Studios Global Distribution Limited, que actúa como interviniente, comparecieron para oponerse a la demanda alegando, entre otros motivos, la excepción de cosa jugada, en sus dos vertientes material y positiva, por haber sido resuelta la cuestión de fondo litigiosa en el juicio ordinario que enfrentó a ITV y Mediaset España sobre el formato del concurso </w:t>
      </w:r>
      <w:r>
        <w:rPr>
          <w:i/>
        </w:rPr>
        <w:t xml:space="preserve">Pasapalabra</w:t>
      </w:r>
      <w:r>
        <w:t xml:space="preserve">, incluyendo " </w:t>
      </w:r>
      <w:r>
        <w:rPr>
          <w:i/>
        </w:rPr>
        <w:t xml:space="preserve">El Rosco</w:t>
      </w:r>
      <w:r>
        <w:t xml:space="preserve">".</w:t>
      </w:r>
    </w:p>
    <w:p>
      <w:pPr>
        <w:spacing w:before="119" w:after="119"/>
      </w:pPr>
      <w:r>
        <w:t xml:space="preserve">3. En la audiencia previa, el juez de primera instancia rechazó la excepción de cosa juzgada negativa, pero entendió que existía cosa juzgada en su vertiente positiva derivada del litigo entre ITV y Mediaset España, dado que el Juzgado de lo Mercantil de Madrid, que resolvió en primera instancia sobre el asunto, había declarado que la prueba "El Rosco" carecía de la originalidad necesaria para ser considerada objeto de propiedad intelectual, dicha declaración vinculaba al tribunal en este nuevo proceso. Por lo tanto, estimó que dicha declaración producía efectos de cosa juzgada positiva, lo que le obligaba a sobreseer el presente procedimiento al quedar las acciones de propiedad intelectual y de competencia desleal sin objeto. Dicho auto fue objeto de recurso de apelación por MC&amp;amp;F, al que se oponen las codemandadas.</w:t>
      </w:r>
    </w:p>
    <w:p>
      <w:pPr>
        <w:spacing w:before="119" w:after="119"/>
      </w:pPr>
      <w:r>
        <w:t xml:space="preserve">4. En el auto no se impusieron las costas, motivo por el cual </w:t>
      </w:r>
      <w:r>
        <w:rPr>
          <w:b/>
        </w:rPr>
        <w:t xml:space="preserve">ATRESMEDIA</w:t>
      </w:r>
      <w:r>
        <w:t xml:space="preserve"> recurre en apelación el auto, recurso al que también se opuso MC&amp;amp;F.</w:t>
      </w:r>
    </w:p>
    <w:p>
      <w:pPr>
        <w:spacing w:before="119" w:after="119"/>
      </w:pPr>
      <w:r>
        <w:t xml:space="preserve">5. En consecuencia, lo que se recurre es, por una parte, la estimación de la excepción de cosa juzgada en sentido positivo y el sobreseimiento del procedimiento en la audiencia previa, por otra, la no imposición de las costas del litigio a la actora.</w:t>
      </w:r>
    </w:p>
    <w:p>
      <w:pPr>
        <w:spacing w:before="119" w:after="119"/>
      </w:pPr>
      <w:r>
        <w:t xml:space="preserve">6. Antes de entrar a analizar el recurso de apelación de la actora conviene aclarar que este tribunal está vinculado por los motivos del recurso, pero no por el orden en el que se han planteado, aun cuando se hayan formulado de forma subsidiaria. No estamos ante un supuesto de acumulación eventual de acciones, previsto en el </w:t>
      </w:r>
      <w:hyperlink xmlns:r="http://schemas.openxmlformats.org/officeDocument/2006/relationships" w:history="true" r:id="Rf20775d797254456">
        <w:r>
          <w:rPr>
            <w:rStyle w:val="Hyperlink"/>
          </w:rPr>
          <w:t xml:space="preserve">art. 71.4 LEC</w:t>
        </w:r>
      </w:hyperlink>
      <w:r>
        <w:t xml:space="preserve">, que efectivamente nos obligaría a resolver por ese orden, sino ante la impugnación de un mismo pronunciamiento por varios motivos o argumentos, cuyo orden expositivo no vincula al tribunal. Así se desprende del </w:t>
      </w:r>
      <w:hyperlink xmlns:r="http://schemas.openxmlformats.org/officeDocument/2006/relationships" w:history="true" r:id="Re75a22a7b5634e4e">
        <w:r>
          <w:rPr>
            <w:rStyle w:val="Hyperlink"/>
          </w:rPr>
          <w:t xml:space="preserve">art. 465.5 LEC</w:t>
        </w:r>
      </w:hyperlink>
      <w:r>
        <w:t xml:space="preserve"> en el que se dice que "el auto o sentencia que se dicte en apelación deberá pronunciarse exclusivamente sobre los puntos y cuestiones planteados en el recurso y, en su caso, en los escritos de oposición o impugnación a que se refiere el artículo 461".</w:t>
      </w:r>
    </w:p>
    <w:p>
      <w:r>
        <w:t xml:space="preserve"> </w:t>
      </w:r>
    </w:p>
    <w:p>
      <w:pPr>
        <w:spacing w:before="119" w:after="119"/>
      </w:pPr>
      <w:r>
        <w:rPr>
          <w:b/>
        </w:rPr>
        <w:t xml:space="preserve">SEGUNDO.</w:t>
      </w:r>
      <w:r>
        <w:t xml:space="preserve"> </w:t>
      </w:r>
      <w:r>
        <w:rPr>
          <w:b/>
        </w:rPr>
        <w:t xml:space="preserve">Hechos y antecedentes relevantes y no controvertidos en esta instancia.</w:t>
      </w:r>
    </w:p>
    <w:p>
      <w:pPr>
        <w:spacing w:before="119" w:after="119"/>
      </w:pPr>
      <w:r>
        <w:t xml:space="preserve">7. Son hechos y antecedentes relevantes para resolver la presente cuestión, tal y como ha sido planteada, los siguientes:</w:t>
      </w:r>
    </w:p>
    <w:p>
      <w:pPr>
        <w:spacing w:before="119" w:after="119"/>
      </w:pPr>
      <w:r>
        <w:t xml:space="preserve">a) MC&amp;amp;F sostiene en su demanda que es la creadora y la legítima titular de los derechos de propiedad intelectual sobre una prueba televisiva conocida en España como "El Rosco", que tradicionalmente ha estado incluida en el programa de televisión denominado en España "Pasapalabra".</w:t>
      </w:r>
    </w:p>
    <w:p>
      <w:pPr>
        <w:spacing w:before="119" w:after="119"/>
      </w:pPr>
      <w:r>
        <w:t xml:space="preserve">b) Las demandadas sostienen que esta cuestión fue resuelta, con efectos de cosa juzgada, en el litigo que enfrentó a Mediaset España Comunicación, S.A. y a ITV Global Entertainment Ltd. negando las cualidades necesarias para ser objeto de propiedad intelectual.</w:t>
      </w:r>
    </w:p>
    <w:p>
      <w:pPr>
        <w:spacing w:before="119" w:after="119"/>
      </w:pPr>
      <w:r>
        <w:t xml:space="preserve">c) Mediaset España Comunicación, S.A. (en aquel momento Gestevisión Telecinco, S.A.) interpuso demanda, de fecha 19 de noviembre de 2010, contra ITV Global Entertainment Ltd., sociedad constituida con arreglo al Derecho inglés, con las peticiones que figuran en su suplico.</w:t>
      </w:r>
    </w:p>
    <w:p>
      <w:pPr>
        <w:spacing w:before="119" w:after="119"/>
      </w:pPr>
      <w:r>
        <w:t xml:space="preserve">d) La demandada ITV Global Entertainment Ltd., por medio de escrito fechado el 23 de diciembre de 2011, presentó su contestación y, además, formuló reconvención. Dado traslado de la reconvención, Mediaset España Comunicación, S.A. (en aquel momento Gestevisión Telecinco, S.A.) presentó, en escrito fechado el 7 de febrero de 2012, su contestación a la reconvención.</w:t>
      </w:r>
    </w:p>
    <w:p>
      <w:pPr>
        <w:spacing w:before="119" w:after="119"/>
      </w:pPr>
      <w:r>
        <w:t xml:space="preserve">e) El proceso fue resuelto en primera instancia por la sentencia del Juzgado de lo Mercantil nº 6 de Madrid </w:t>
      </w:r>
      <w:hyperlink xmlns:r="http://schemas.openxmlformats.org/officeDocument/2006/relationships" w:history="true" r:id="R22d14552e4b644b8">
        <w:r>
          <w:rPr>
            <w:rStyle w:val="Hyperlink"/>
          </w:rPr>
          <w:t xml:space="preserve">50/2014, de 3 de febrero (ECLI:ES:JMM:2014:3172</w:t>
        </w:r>
      </w:hyperlink>
      <w:r>
        <w:t xml:space="preserve">) que desestimó íntegramente la demanda y acogió parcialmente la reconvención.</w:t>
      </w:r>
    </w:p>
    <w:p>
      <w:pPr>
        <w:spacing w:before="119" w:after="119"/>
      </w:pPr>
      <w:r>
        <w:t xml:space="preserve">f) Interpuesto recurso de apelación por Mediaset España Comunicación, S.A., y formulada impugnación del recurso por ITV Global Entertainment Ltd., el asunto fue resuelto en apelación por la sentencia de la Audiencia Provincial de Madrid, Sección 28ª, Rollo 308/2016, de 20 de septiembre (ECLI:ES:APM:2016:12100), que estimó parcialmente tanto el recurso de Mediaset Comunicación España, S.A. como la impugnación de ITV Global Entertainment Ltd.</w:t>
      </w:r>
    </w:p>
    <w:p>
      <w:pPr>
        <w:spacing w:before="119" w:after="119"/>
      </w:pPr>
      <w:r>
        <w:t xml:space="preserve">g) Finalmente, la </w:t>
      </w:r>
      <w:hyperlink xmlns:r="http://schemas.openxmlformats.org/officeDocument/2006/relationships" w:history="true" r:id="Rb45b232fef3d45a6">
        <w:r>
          <w:rPr>
            <w:rStyle w:val="Hyperlink"/>
          </w:rPr>
          <w:t xml:space="preserve">sentencia del Tribunal Supremo 504/2019, de 30 de septiembre (ECLI:ES: TS:2019:2852</w:t>
        </w:r>
      </w:hyperlink>
      <w:r>
        <w:t xml:space="preserve">), desestimó el único motivo del recurso de casación de Mediaset España Comunicación S.A. que había sido admitido.</w:t>
      </w:r>
    </w:p>
    <w:p>
      <w:r>
        <w:t xml:space="preserve"> </w:t>
      </w:r>
    </w:p>
    <w:p>
      <w:pPr>
        <w:spacing w:before="119" w:after="119"/>
      </w:pPr>
      <w:r>
        <w:rPr>
          <w:b/>
        </w:rPr>
        <w:t xml:space="preserve">TERCERO.-</w:t>
      </w:r>
      <w:r>
        <w:t xml:space="preserve"> </w:t>
      </w:r>
      <w:r>
        <w:rPr>
          <w:b/>
        </w:rPr>
        <w:t xml:space="preserve">La función positiva de la cosa juzgada positiva y sobreseimiento del procedimiento</w:t>
      </w:r>
      <w:r>
        <w:t xml:space="preserve">.</w:t>
      </w:r>
    </w:p>
    <w:p>
      <w:pPr>
        <w:spacing w:before="119" w:after="119"/>
      </w:pPr>
      <w:r>
        <w:t xml:space="preserve">8. El </w:t>
      </w:r>
      <w:hyperlink xmlns:r="http://schemas.openxmlformats.org/officeDocument/2006/relationships" w:history="true" r:id="R0e65a381b88f47cf">
        <w:r>
          <w:rPr>
            <w:rStyle w:val="Hyperlink"/>
          </w:rPr>
          <w:t xml:space="preserve">art. 222 LEC</w:t>
        </w:r>
      </w:hyperlink>
      <w:r>
        <w:t xml:space="preserve"> regula la llamada cosa juzgada material de las sentencias firmes, es decir, el efecto de lo juzgado en una sentencia de fondo contra la que no cabe recurso alguno. En su apartado primero, se refiere a su efecto o función negativa, es decir, excluir un ulterior proceso cuyo objeto sea idéntico al del proceso en que aquélla se produjo. Mientras que en su apartado cuarto, se refiere a su función positiva, al establecer que "lo resuelto con fuerza de cosa juzgada en la sentencia firme que haya puesto fin a un proceso vinculará al tribunal de un proceso posterior cuando en éste aparezca como antecedente lógico de lo que sea su objeto, siempre que los litigantes de ambos procesos sean los mismos o la cosa juzgada se extienda a ellos por disposición legal".</w:t>
      </w:r>
    </w:p>
    <w:p>
      <w:pPr>
        <w:spacing w:before="119" w:after="119"/>
      </w:pPr>
      <w:r>
        <w:t xml:space="preserve">9. Pues bien, el </w:t>
      </w:r>
      <w:hyperlink xmlns:r="http://schemas.openxmlformats.org/officeDocument/2006/relationships" w:history="true" r:id="R58e54fa1552e4024">
        <w:r>
          <w:rPr>
            <w:rStyle w:val="Hyperlink"/>
          </w:rPr>
          <w:t xml:space="preserve">art. 421. 1 LEC</w:t>
        </w:r>
      </w:hyperlink>
      <w:r>
        <w:t xml:space="preserve">, después de ordenar el sobreseimiento del procedimiento cuando el tribunal aprecie litispendencia o cosa juzgada, dice claramente que "sin embargo, no se sobreseerá el proceso en el caso de que, conforme al apartado 4 del artículo 222, el efecto de una sentencia firme anterior haya de ser vinculante para el tribunal que está conociendo del proceso posterior".</w:t>
      </w:r>
    </w:p>
    <w:p>
      <w:pPr>
        <w:spacing w:before="119" w:after="119"/>
      </w:pPr>
      <w:r>
        <w:t xml:space="preserve">10. Por lo tanto, aun en la hipótesis de que el juez se debiera considerar vinculado por lo resuelto en el litigo anterior, en ningún caso podría sobreseer el procedimiento. Esta es una cuestión que ha de resolverse en sentencia. El sistema legal parte de la base de que la cuestión juzgada constituye un antecedente lógico de lo que sea el objeto del proceso, pero no coincide con el objeto del proceso en el que ha sido invocada, por lo que dicha cuestión litigiosa ha de resolverse en sentencia definitiva. El precepto parte de que el objeto del litigio anterior y el nuevo litigo son diferentes, ya que, como sabemos, si el objeto es el mismo el efecto de la cosa juzgada material es impedir ese nuevo juicio. Así lo explica el Tribunal Supremo en su reciente </w:t>
      </w:r>
      <w:hyperlink xmlns:r="http://schemas.openxmlformats.org/officeDocument/2006/relationships" w:history="true" r:id="R0dc266ed6cfd4f97">
        <w:r>
          <w:rPr>
            <w:rStyle w:val="Hyperlink"/>
          </w:rPr>
          <w:t xml:space="preserve">sentencia núm. 164/2021, de 23 de marzo (ECLI:ES:TS:2021:1083</w:t>
        </w:r>
      </w:hyperlink>
      <w:r>
        <w:t xml:space="preserve">) en la que se dice que " </w:t>
      </w:r>
      <w:r>
        <w:rPr>
          <w:i/>
        </w:rPr>
        <w:t xml:space="preserve">la apreciación de la cosa juzgada material en sentido positivo no exige identidades objetivas, sino que el objeto del ulterior recurso sea parcialmente idéntico ya que si se produjese la identidad de objeto plena estaríamos ante el efecto excluyente y, por otra parte, la identidad de la causa de pedir no puede exigirse desde el momento que ésta es presupuesto del objeto del proceso. Sin embargo, es exigible la identidad subjetiva</w:t>
      </w:r>
      <w:r>
        <w:t xml:space="preserve"> ( </w:t>
      </w:r>
      <w:r>
        <w:rPr>
          <w:i/>
        </w:rPr>
        <w:t xml:space="preserve">FJ 5.2</w:t>
      </w:r>
      <w:r>
        <w:t xml:space="preserve">)". Por lo tanto, el juez debió de limitarse a desestimar el efecto negativo de la cosa juzgada alegada, y una vez desestimado continuar con el procedimiento. Sencillamente, porque ese efecto positivo ni debe ni puede valorarse en la audiencia previa.</w:t>
      </w:r>
    </w:p>
    <w:p>
      <w:pPr>
        <w:spacing w:before="119" w:after="119"/>
      </w:pPr>
      <w:r>
        <w:t xml:space="preserve">11. El </w:t>
      </w:r>
      <w:hyperlink xmlns:r="http://schemas.openxmlformats.org/officeDocument/2006/relationships" w:history="true" r:id="R042d1213a91848f5">
        <w:r>
          <w:rPr>
            <w:rStyle w:val="Hyperlink"/>
          </w:rPr>
          <w:t xml:space="preserve">art. 416.1 LEC</w:t>
        </w:r>
      </w:hyperlink>
      <w:r>
        <w:t xml:space="preserve"> impone al juez la obligación de resolver sobre cualesquiera circunstancia que pueda impedir la válida prosecución y término del proceso mediante sentencia sobre el fondo, en particular la cosa juzgada. Ahora bien, el precepto se refiere al efecto negativo de la cosa juzgada material, a la que se refiere el </w:t>
      </w:r>
      <w:hyperlink xmlns:r="http://schemas.openxmlformats.org/officeDocument/2006/relationships" w:history="true" r:id="Rc3f95c25eef24f41">
        <w:r>
          <w:rPr>
            <w:rStyle w:val="Hyperlink"/>
          </w:rPr>
          <w:t xml:space="preserve">art. 222.1 LEC</w:t>
        </w:r>
      </w:hyperlink>
      <w:r>
        <w:t xml:space="preserve">. Pero ello no comprende la función de la cosa juzgada positiva, a la que se refiere el </w:t>
      </w:r>
      <w:hyperlink xmlns:r="http://schemas.openxmlformats.org/officeDocument/2006/relationships" w:history="true" r:id="R0cb4102ce3334b31">
        <w:r>
          <w:rPr>
            <w:rStyle w:val="Hyperlink"/>
          </w:rPr>
          <w:t xml:space="preserve">art. 222.4 LEC</w:t>
        </w:r>
      </w:hyperlink>
      <w:r>
        <w:t xml:space="preserve">, ya que ella, en ningún caso, permite sobreseer el procedimiento, tal y como dispone el </w:t>
      </w:r>
      <w:hyperlink xmlns:r="http://schemas.openxmlformats.org/officeDocument/2006/relationships" w:history="true" r:id="Rfbba22dccaa04372">
        <w:r>
          <w:rPr>
            <w:rStyle w:val="Hyperlink"/>
          </w:rPr>
          <w:t xml:space="preserve">art. 421.1 párrafo segundo LEC</w:t>
        </w:r>
      </w:hyperlink>
      <w:r>
        <w:t xml:space="preserve">.</w:t>
      </w:r>
    </w:p>
    <w:p>
      <w:pPr>
        <w:spacing w:before="119" w:after="119"/>
      </w:pPr>
      <w:r>
        <w:t xml:space="preserve">12. El juez ha partido de la base de que en el litigio anterior se desestimó la pretensión de que la prueba conocida como "El Rosco" pudiera ser objeto de propiedad intelectual. Así como que esa resolución obligaba a la actora y vinculaba al propio juez, a pesar de que la actora MC&amp;amp;F no había sido parte en ese primer proceso.</w:t>
      </w:r>
    </w:p>
    <w:p>
      <w:r>
        <w:t xml:space="preserve"> </w:t>
      </w:r>
    </w:p>
    <w:p>
      <w:pPr>
        <w:spacing w:before="119" w:after="119"/>
      </w:pPr>
      <w:r>
        <w:rPr>
          <w:b/>
        </w:rPr>
        <w:t xml:space="preserve">CUARTO.-</w:t>
      </w:r>
      <w:r>
        <w:t xml:space="preserve"> </w:t>
      </w:r>
      <w:r>
        <w:rPr>
          <w:b/>
        </w:rPr>
        <w:t xml:space="preserve">El elemento subjetivo de la cosa juzgada</w:t>
      </w:r>
      <w:r>
        <w:t xml:space="preserve">.</w:t>
      </w:r>
    </w:p>
    <w:p>
      <w:pPr>
        <w:spacing w:before="119" w:after="119"/>
      </w:pPr>
      <w:r>
        <w:t xml:space="preserve">13. Volviendo al texto del </w:t>
      </w:r>
      <w:hyperlink xmlns:r="http://schemas.openxmlformats.org/officeDocument/2006/relationships" w:history="true" r:id="R0510f59338754336">
        <w:r>
          <w:rPr>
            <w:rStyle w:val="Hyperlink"/>
          </w:rPr>
          <w:t xml:space="preserve">art. 222.4 LEC</w:t>
        </w:r>
      </w:hyperlink>
      <w:r>
        <w:t xml:space="preserve">, apreciar cosa juzgada exige que "los litigantes de ambos procesos sean los mismos o la cosa juzgada se extienda a ellos por disposición legal", es decir, que haya identidad subjetiva. Por su parte, el art. 222.3 nos dice que "la cosa juzgada afectará a las partes del proceso en que se dicte y a sus herederos y causahabientes, así como a los sujetos, no litigantes, titulares de los derechos que fundamenten la legitimación de las partes conforme a lo previsto en el </w:t>
      </w:r>
      <w:r>
        <w:t xml:space="preserve">artículo 11 de esta Ley</w:t>
      </w:r>
      <w:r>
        <w:t xml:space="preserve">".</w:t>
      </w:r>
    </w:p>
    <w:p>
      <w:pPr>
        <w:spacing w:before="119" w:after="119"/>
      </w:pPr>
      <w:r>
        <w:t xml:space="preserve">14. Pues bien, las partes aceptan, como no podría ser de otra forma, que MC&amp;amp;F no participó en el primer pleito, pero la demandada defiende en su contestación que "lo que realmente importa es la titularidad de la relación jurídica, </w:t>
      </w:r>
      <w:r>
        <w:rPr>
          <w:b/>
        </w:rPr>
        <w:t xml:space="preserve">la identidad jurídica</w:t>
      </w:r>
      <w:r>
        <w:t xml:space="preserve">, y no la identidad física". Esa alegación,- según la demandada- se apoya en dos sentencias del Tribunal Supremo. La primera es la sentencia núm. 712/2003, de 12 de julio (ECLI:ES: TS:2003:4949) en la que se dice que:</w:t>
      </w:r>
    </w:p>
    <w:p>
      <w:pPr>
        <w:spacing w:before="119" w:after="119"/>
      </w:pPr>
      <w:r>
        <w:t xml:space="preserve">"Algo semejante ha de decirse de la alegada diversidad de litigantes, por cuanto -según sentencias de 14 de Noviembre de 1983 y 5 de Mayo de 1981- la identidad personal puede entenderse existente, aun cuando en el segundo proceso intervenga alguna persona más que en el primero, pues es factible que la misma haya sido llamada a los autos precisamente con el propósito de intentar eludir la cosa juzgada".</w:t>
      </w:r>
    </w:p>
    <w:p>
      <w:pPr>
        <w:spacing w:before="119" w:after="119"/>
      </w:pPr>
      <w:r>
        <w:t xml:space="preserve">15. En este caso, se ha demandado a </w:t>
      </w:r>
      <w:r>
        <w:rPr>
          <w:b/>
        </w:rPr>
        <w:t xml:space="preserve">ATRESMEDIA</w:t>
      </w:r>
      <w:r>
        <w:t xml:space="preserve">, que no intervino en el primero de los pleitos, pero ITV, que efectivamente fue demandada y actora reconvencional en el primero de los juicio, ha comparecido voluntariamente. Si la alegada doctrina tiene por finalidad impedir que se pueda demandar a un tercero para eludir la excepción, lo cierto es que el demandado solo dirigió su acción contra </w:t>
      </w:r>
      <w:r>
        <w:rPr>
          <w:b/>
        </w:rPr>
        <w:t xml:space="preserve">ATRESMEDIA</w:t>
      </w:r>
      <w:r>
        <w:t xml:space="preserve">, en su condición de presunto infractor. Ha sido ITV quien ha comparecido voluntariamente como interesado legítimo. Ahora bien, parece que es indudable que los derechos de </w:t>
      </w:r>
      <w:r>
        <w:rPr>
          <w:b/>
        </w:rPr>
        <w:t xml:space="preserve">ATRESMEDIA</w:t>
      </w:r>
      <w:r>
        <w:t xml:space="preserve"> proceden de su cesión por parte de ITV. Como explica ITV: "ITV le ha licenciado a </w:t>
      </w:r>
      <w:r>
        <w:rPr>
          <w:b/>
        </w:rPr>
        <w:t xml:space="preserve">Atresmedia</w:t>
      </w:r>
      <w:r>
        <w:t xml:space="preserve"> su formato "The Alphabet Game" (incluyendo "El Rosco") para que esta última produzca y emita en España el concurso televisivo </w:t>
      </w:r>
      <w:r>
        <w:rPr>
          <w:i/>
        </w:rPr>
        <w:t xml:space="preserve">Pasapalabra"</w:t>
      </w:r>
      <w:r>
        <w:t xml:space="preserve">. Por lo tanto, podríamos aceptar que habría identidad en el lado pasivo de la relación jurídica procesal, ya que </w:t>
      </w:r>
      <w:r>
        <w:rPr>
          <w:b/>
        </w:rPr>
        <w:t xml:space="preserve">ATRESMEDIA</w:t>
      </w:r>
      <w:r>
        <w:t xml:space="preserve"> sería licenciatario de ITV, de tal manera que sus derechos, caso de ser jurídicamente eficaces, provienen de ITV que ha comparecido para hacer una defensa de los mismos. Por tanto, es un causahabiente de quien fue parte en aquel otro proceso, en el sentido que concede a esa expresión el </w:t>
      </w:r>
      <w:hyperlink xmlns:r="http://schemas.openxmlformats.org/officeDocument/2006/relationships" w:history="true" r:id="Re95471d96e334d14">
        <w:r>
          <w:rPr>
            <w:rStyle w:val="Hyperlink"/>
          </w:rPr>
          <w:t xml:space="preserve">art. 222.3 LEC</w:t>
        </w:r>
      </w:hyperlink>
      <w:r>
        <w:t xml:space="preserve">, de forma que permite extender a ella los efectos de cosa juzgada.</w:t>
      </w:r>
    </w:p>
    <w:p>
      <w:pPr>
        <w:spacing w:before="119" w:after="119"/>
      </w:pPr>
      <w:r>
        <w:t xml:space="preserve">16. La segunda de las sentencias, de fecha 14 noviembre 1983 (imposible de localizar en el CENDOJ), cuya doctrina es reiterada por el propio Alto Tribunal en sentencia núm. 68, de 1 de febrero (ECLI:ES:TS:1991:560), mantiene que:</w:t>
      </w:r>
    </w:p>
    <w:p>
      <w:pPr>
        <w:pStyle w:val="IntenseQuote"/>
        <w:spacing w:before="119" w:after="119"/>
      </w:pPr>
      <w:r>
        <w:t xml:space="preserve">" </w:t>
      </w:r>
      <w:r>
        <w:rPr>
          <w:i/>
        </w:rPr>
        <w:t xml:space="preserve">existe jurídicamente identidad de personas, aunque no sean físicamente las mismas las que litiguen en los pleitos, cuando la que litiga en el segundo ejercita la misma acción, invoca iguales fundamentos y se apoya en los mismos títulos que en el primero, pues ello implica la solidaridad jurídica entre los demandantes a que se refiere el art. 1252</w:t>
      </w:r>
      <w:r>
        <w:t xml:space="preserve">"</w:t>
      </w:r>
    </w:p>
    <w:p>
      <w:pPr>
        <w:spacing w:before="119" w:after="119"/>
      </w:pPr>
      <w:r>
        <w:t xml:space="preserve">17. La demandada sostiene que entre Mediaset, la actora en el primer proceso, y MC&amp;amp;F, la actora en este proceso, se da esa solidaridad jurídica lo que determinaría identidad subjetiva presupuesto de la cosa juzgada.</w:t>
      </w:r>
    </w:p>
    <w:p>
      <w:pPr>
        <w:spacing w:before="119" w:after="119"/>
      </w:pPr>
      <w:r>
        <w:t xml:space="preserve">18. Mediaset, en el primer litigio, promovió la declaración de nulidad del contrato que tenía suscrito con ITV, que resumidamente le autorizaba a producir y retrasmitir el concurso de televisión </w:t>
      </w:r>
      <w:r>
        <w:rPr>
          <w:i/>
        </w:rPr>
        <w:t xml:space="preserve">Pasapalabra</w:t>
      </w:r>
      <w:r>
        <w:t xml:space="preserve">. La actora sostenía que la demandada ITV no era realmente la titular de los derechos de propiedad intelectual cedidos, que estos derechos pertenecían a MC&amp;amp;F, con el que había firmado un nuevo contrato, por lo que aquel contrato era nulo por falta de objeto. Por su parte ITV no solo se opuso a la demanda, sino que reconvino para que, resumidamente, se declarase el incumplimiento del contrato por parte de Mediaset (Tele 5), y, entre otros pronunciamientos, se declarase que: "Que ITV ostenta derechos de exclusiva preferentes sobre Tele 5 (Mediaset) con respecto al formato del programa "Pasapalabra" (derechos de propiedad intelectual) y su denominación, ya sea como título del programa (derechos de propiedad intelectual) ya sea como marca notoria no registrada (derechos de propiedad industrial)". Por lo tanto, ITV reclamó frente a Madiaset la propiedad intelectual del concurso televisivo </w:t>
      </w:r>
      <w:r>
        <w:rPr>
          <w:i/>
        </w:rPr>
        <w:t xml:space="preserve">Pasapalabra</w:t>
      </w:r>
      <w:r>
        <w:t xml:space="preserve">, en el que uno de sus elementos es " </w:t>
      </w:r>
      <w:r>
        <w:rPr>
          <w:i/>
        </w:rPr>
        <w:t xml:space="preserve">El Rosco</w:t>
      </w:r>
      <w:r>
        <w:t xml:space="preserve">".</w:t>
      </w:r>
    </w:p>
    <w:p>
      <w:pPr>
        <w:spacing w:before="119" w:after="119"/>
      </w:pPr>
      <w:r>
        <w:t xml:space="preserve">19. La sentencia de primera instancia contiene el siguiente pronunciamiento: "4.- declarar que ITV ostenta derechos de </w:t>
      </w:r>
      <w:r>
        <w:t xml:space="preserve">exclusiva preferentes</w:t>
      </w:r>
      <w:r>
        <w:t xml:space="preserve"> sobre Telecinco con respecto al formato del programa denominado " </w:t>
      </w:r>
      <w:r>
        <w:rPr>
          <w:i/>
        </w:rPr>
        <w:t xml:space="preserve">pasapalabra</w:t>
      </w:r>
      <w:r>
        <w:t xml:space="preserve">" y su denominación " </w:t>
      </w:r>
      <w:r>
        <w:rPr>
          <w:i/>
        </w:rPr>
        <w:t xml:space="preserve">pasapalabra</w:t>
      </w:r>
      <w:r>
        <w:t xml:space="preserve">", en cuanto título del formato y parte integrante de él". Ese pronunciamiento es firme, al haber sido confirmado en las sucesivas instancias. Ahora bien, ese pronunciamiento se refiere a derechos preferentes respecto de Telecinco (Mediaset), que no se puede extender a MC&amp;amp;F, al no haber sido parte en el procedimiento.</w:t>
      </w:r>
    </w:p>
    <w:p>
      <w:pPr>
        <w:spacing w:before="119" w:after="119"/>
      </w:pPr>
      <w:r>
        <w:t xml:space="preserve">20. Nada hubiera impedido a ITV dirigir la demanda reconvencional contra MC&amp;amp;F, lo que hubiera obligado a MC&amp;amp;F a defender sus derechos en aquel litigio y, en consecuencia, hacer extensivo a MC&amp;amp;F el fallo del primero de los pleitos. Sin embargo, no lo hizo. Esa decisión fue una estrategia procesal lícita, pero lo que no puede hacer es extender la eficacia de lo juzgado en aquel litigio a los que no fueron parte del mismo, ya sea por voluntad de ITV o por voluntad de MC&amp;amp;F al decidir no intervenir en el proceso.</w:t>
      </w:r>
    </w:p>
    <w:p>
      <w:pPr>
        <w:spacing w:before="119" w:after="119"/>
      </w:pPr>
      <w:r>
        <w:t xml:space="preserve">21. Lo cierto es que Mediaset, no pretendió atribuirse la propiedad intelectual de concurso televisivo, sino lo que pretendió fue la declaración de nulidad del contrato que le ligaba con ITV, para lo cual, se resolvió sobre la propiedad intelectual del formato. Mediaset no se atribuyó la condición de titular de los derechos de propiedad de la prueba "El Rosco", sino que lo que hizo fue negar la propiedad intelectual de ITV. Por ello, ITV reconvino para que se declarasen sus "derechos de exclusiva preferentes sobre Tele 5 con respecto al formato del programa "Pasapalabra" (derechos de propiedad intelectual)". Por lo tanto, el litigio quedó circunscrito a las partes del procedimiento, Mediaset e ITV. Es cierto que Mediaset sostuvo que ITV no era la propietaria intelectual del concurso </w:t>
      </w:r>
      <w:r>
        <w:rPr>
          <w:i/>
        </w:rPr>
        <w:t xml:space="preserve">Pasapalabra</w:t>
      </w:r>
      <w:r>
        <w:t xml:space="preserve">, ya que la prueba "El Rosco" era propiedad de MC&amp;amp;F, la cual le había licenciado sus derechos. Sin embargo, la legitimación de Mediaset, es decir, el título en virtud del cual actuaba, no es el de licenciataria de MC&amp;amp;F, sino como licenciataria de ITV, contrato cuya resolución pretendía en aquel juicio. Por lo tanto, no existe identidad jurídica entre Mediaset, que actuó como parte del contrato que le ligaba con ITV, y MC&amp;amp;F que ahora reivindica la propiedad de la prueba "El Rosco", que forma parte del concurso Pasapalabra.</w:t>
      </w:r>
    </w:p>
    <w:p>
      <w:pPr>
        <w:spacing w:before="119" w:after="119"/>
      </w:pPr>
      <w:r>
        <w:t xml:space="preserve">22. El juez considera que se cumple el requisito de la identidad subjetiva por dos motivos, en primer lugar, porque MC&amp;amp;F apoyó extraprocesalmente las pretensiones de Mediaset en el juicio anterior, y, en segundo lugar, porque MC&amp;amp;F no intervino voluntariamente en dicho procedimiento, a pesar de haber tenido conocimiento del mismo. Ninguno de dichos motivos puede justificar en este caso la extensión de la cosa juzgada a quien no fue parte en el proceso anterior. Es indudable que MC&amp;amp;F tuvo conocimiento del litigio anterior, en que tenía un interés que le permitía intervenir voluntariamente, pero, decidió no hacerlo, igual que ITV, como hemos dicho, decidió no demandar reconvencionalmente a MC&amp;amp;F. Solo se puede extender la cosa juzgada a los que sean causahabientes de las partes, y en este caso, Mediaset no tenía esa condición. En primer lugar, como licenciatario de MC&amp;amp;F solo tenía un derecho limitado de explotación de los derechos de MC&amp;amp;F, por lo tanto no puede atribuirse la defensa de una derechos de los que no es titular. En segundo lugar, como hemos explicado, realmente Mediaset ni tan siquiera accionó en esa condición.</w:t>
      </w:r>
    </w:p>
    <w:p>
      <w:pPr>
        <w:spacing w:before="119" w:after="119"/>
      </w:pPr>
      <w:r>
        <w:t xml:space="preserve">23. Descartado el efecto positivo de la cosa juzgada, es indudable que las declaraciones que se hicieron en el primer de los litigios han de ser respetadas por los tribunales que nos enfrentamos al segundo de los litigios. Pero eso no supone que estemos vinculados por ellas, hemos de valorar libremente las pruebas que se aporten sobre las cuestiones fáctica y jurídicas controvertidas, motivar nuestra decisión y, en su caso, explicar qué nos lleva a separarnos del criterio seguido anteriormente por los tribunales.</w:t>
      </w:r>
    </w:p>
    <w:p>
      <w:r>
        <w:t xml:space="preserve"> </w:t>
      </w:r>
    </w:p>
    <w:p>
      <w:pPr>
        <w:spacing w:before="119" w:after="119"/>
      </w:pPr>
      <w:r>
        <w:rPr>
          <w:b/>
        </w:rPr>
        <w:t xml:space="preserve">QUINTO.</w:t>
      </w:r>
      <w:r>
        <w:t xml:space="preserve"> </w:t>
      </w:r>
      <w:r>
        <w:rPr>
          <w:b/>
        </w:rPr>
        <w:t xml:space="preserve">Costas.</w:t>
      </w:r>
    </w:p>
    <w:p>
      <w:pPr>
        <w:spacing w:before="119" w:after="119"/>
      </w:pPr>
      <w:r>
        <w:t xml:space="preserve">24. </w:t>
      </w:r>
      <w:r>
        <w:rPr>
          <w:b/>
        </w:rPr>
        <w:t xml:space="preserve">ATRESMEDIA</w:t>
      </w:r>
      <w:r>
        <w:t xml:space="preserve"> recurre la decisión de la resolución de no imponer las costas de primera instancia, recurso que ha de ser desestimado al haber sido estimado el recurso principal y desestimando la excepción, con imposición de las costas de su impugnación.</w:t>
      </w:r>
    </w:p>
    <w:p>
      <w:pPr>
        <w:spacing w:before="119" w:after="119"/>
      </w:pPr>
      <w:r>
        <w:t xml:space="preserve">25. Conforme a lo que se establece en el </w:t>
      </w:r>
      <w:hyperlink xmlns:r="http://schemas.openxmlformats.org/officeDocument/2006/relationships" w:history="true" r:id="R2fef69d09fda4389">
        <w:r>
          <w:rPr>
            <w:rStyle w:val="Hyperlink"/>
          </w:rPr>
          <w:t xml:space="preserve">art. 398 LEC</w:t>
        </w:r>
      </w:hyperlink>
      <w:r>
        <w:t xml:space="preserve">, no procede hacer imposición de las costas del recurso de apelación MC&amp;amp;F, al haberse estimado el recurso, razón por la que es procedente ordenar la devolución del depósito constituido al recurrir.</w:t>
      </w:r>
    </w:p>
    <w:p>
      <w:r>
        <w:t xml:space="preserve"> </w:t>
      </w:r>
    </w:p>
    <w:p>
      <w:pPr>
        <w:pStyle w:val="Heading3"/>
        <w:spacing w:before="45" w:after="45"/>
      </w:pPr>
      <w:r>
        <w:t xml:space="preserve">PARTE DISPOSITIVA</w:t>
      </w:r>
    </w:p>
    <w:p>
      <w:pPr>
        <w:spacing w:before="119" w:after="119"/>
      </w:pPr>
      <w:r>
        <w:t xml:space="preserve">Estimamos el recurso de apelación interpuesto por MC&amp;amp;F BROADCASTING PRODUCTION AND DISTRIBUTION C.V contra la resolución del Juzgado Mercantil núm. 8 de Barcelona de fecha 4 de febrero de 2021, dictada en las actuaciones de las que procede este rollo, que se revoca, y en consecuencia, se desestima la excepción de cosa juzgada y se ordena continuar el procedimiento, sin hacer especial imposición de las costas del recurso de apelación y con devolución del depósito constituido para recurrir.</w:t>
      </w:r>
    </w:p>
    <w:p>
      <w:pPr>
        <w:spacing w:before="119" w:after="119"/>
      </w:pPr>
      <w:r>
        <w:t xml:space="preserve">Desestimamos el recurso de ATRESMEDIA/ITV, a la que imponernos las costas de dicho recurso.</w:t>
      </w:r>
    </w:p>
    <w:p>
      <w:pPr>
        <w:spacing w:before="119" w:after="119"/>
      </w:pPr>
      <w:r>
        <w:t xml:space="preserve">Remítanse los autos originales al juzgado de procedencia con testimonio de esta resolución, a los efectos pertinentes.</w:t>
      </w:r>
    </w:p>
    <w:p>
      <w:pPr>
        <w:spacing w:before="119" w:after="119"/>
      </w:pPr>
      <w:r>
        <w:t xml:space="preserve">Contra esta resolución no cabe interponer recurso extraordinario alguno.</w:t>
      </w:r>
    </w:p>
    <w:p>
      <w:pPr>
        <w:spacing w:before="119" w:after="119"/>
      </w:pPr>
      <w:r>
        <w:t xml:space="preserve">Así lo pronuncian mandan y firman los ilustrísimos señores magistrados componentes del tribunal, de lo que doy fe.</w:t>
      </w:r>
    </w:p>
    <w:p>
      <w:r>
        <w:t/>
      </w:r>
    </w:p>
    <w:sectPr>
      <w:pgMar w:top="1440" w:right="1440" w:bottom="1440" w:left="1440" w:header="708" w:footer="708"/>
      <w:headerReference xmlns:r="http://schemas.openxmlformats.org/officeDocument/2006/relationships" w:type="default" r:id="Ra7193da5a2ef465d"/>
      <w:footerReference xmlns:r="http://schemas.openxmlformats.org/officeDocument/2006/relationships" w:type="default" r:id="R4d50f3ae686f412b"/>
    </w:sectPr>
  </w:body>
</w:document>
</file>

<file path=word/footer1.xml><?xml version="1.0" encoding="utf-8"?>
<w:ftr xmlns:w="http://schemas.openxmlformats.org/wordprocessingml/2006/main">
  <w:tbl>
    <w:tblPr>
      <w:tblStyle w:val="TableGrid"/>
      <w:tblW w:w="5000" w:type="pct"/>
    </w:tblPr>
    <w:tblGrid>
      <w:gridCol/>
      <w:gridCol/>
    </w:tblGrid>
    <w:tr>
      <w:trPr/>
      <w:tc>
        <w:tcPr>
          <w:tcBorders>
            <w:top w:val="none" w:color="000000" w:sz="24" w:space="1"/>
            <w:left w:val="none" w:color="000000" w:sz="24" w:space="1"/>
            <w:bottom w:val="none" w:color="000000" w:sz="24" w:space="1"/>
            <w:right w:val="none" w:color="000000" w:sz="24" w:space="1"/>
          </w:tcBorders>
          <w:vAlign w:val="center"/>
        </w:tcPr>
        <w:p/>
      </w:tc>
      <w:tc>
        <w:tcPr>
          <w:tcBorders>
            <w:top w:val="none" w:color="000000" w:sz="24" w:space="1"/>
            <w:left w:val="none" w:color="000000" w:sz="24" w:space="1"/>
            <w:bottom w:val="none" w:color="000000" w:sz="24" w:space="1"/>
            <w:right w:val="none" w:color="000000" w:sz="24" w:space="1"/>
          </w:tcBorders>
          <w:vAlign w:val="center"/>
        </w:tcPr>
        <w:p>
          <w:pPr>
            <w:jc w:val="right"/>
          </w:pPr>
          <w:r>
            <w:t xml:space="preserve">Página </w:t>
          </w:r>
          <w:fldSimple w:instr=" PAGE ">
            <w:r>
              <w:t>1</w:t>
            </w:r>
          </w:fldSimple>
          <w:r>
            <w:t xml:space="preserve"> de </w:t>
          </w:r>
          <w:fldSimple w:instr=" NUMPAGES ">
            <w:r>
              <w:t>1</w:t>
            </w:r>
          </w:fldSimple>
        </w:p>
      </w:tc>
    </w:tr>
  </w:tbl>
</w:ftr>
</file>

<file path=word/header1.xml><?xml version="1.0" encoding="utf-8"?>
<w:hdr xmlns:w="http://schemas.openxmlformats.org/wordprocessingml/2006/main">
  <w:tbl>
    <w:tblPr>
      <w:tblStyle w:val="TableGrid"/>
      <w:tblW w:w="5000" w:type="pct"/>
    </w:tblPr>
    <w:tblGrid>
      <w:gridCol/>
      <w:gridCol/>
    </w:tblGrid>
    <w:tr>
      <w:trPr/>
      <w:tc>
        <w:tcPr>
          <w:tcW w:w="10500" w:type="dxa"/>
          <w:tcBorders>
            <w:top w:val="none" w:color="000000" w:sz="24" w:space="1"/>
            <w:left w:val="none" w:color="000000" w:sz="24" w:space="1"/>
            <w:bottom w:val="none" w:color="000000" w:sz="24" w:space="1"/>
            <w:right w:val="none" w:color="000000" w:sz="24" w:space="1"/>
          </w:tcBorders>
          <w:vAlign w:val="center"/>
        </w:tcPr>
        <w:p>
          <w:r>
            <w:drawing>
              <wp:inline xmlns:wp="http://schemas.openxmlformats.org/drawingml/2006/wordprocessingDrawing" distT="0" distB="0" distL="0" distR="0">
                <wp:extent cx="2857500" cy="247649"/>
                <wp:effectExtent l="1905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logo"/>
                        <pic:cNvPicPr>
                          <a:picLocks noChangeAspect="1" noChangeArrowheads="1"/>
                        </pic:cNvPicPr>
                      </pic:nvPicPr>
                      <pic:blipFill>
                        <a:blip xmlns:r="http://schemas.openxmlformats.org/officeDocument/2006/relationships" r:embed="Rcba02156197545dc"/>
                        <a:srcRect/>
                        <a:stretch>
                          <a:fillRect/>
                        </a:stretch>
                      </pic:blipFill>
                      <pic:spPr bwMode="auto">
                        <a:xfrm>
                          <a:off x="0" y="0"/>
                          <a:ext cx="2857500" cy="247649"/>
                        </a:xfrm>
                        <a:prstGeom prst="rect">
                          <a:avLst/>
                        </a:prstGeom>
                      </pic:spPr>
                    </pic:pic>
                  </a:graphicData>
                </a:graphic>
              </wp:inline>
            </w:drawing>
          </w:r>
        </w:p>
      </w:tc>
      <w:tc>
        <w:tcPr>
          <w:tcBorders>
            <w:top w:val="none" w:color="000000" w:sz="24" w:space="1"/>
            <w:left w:val="none" w:color="000000" w:sz="24" w:space="1"/>
            <w:bottom w:val="none" w:color="000000" w:sz="24" w:space="1"/>
            <w:right w:val="none" w:color="000000" w:sz="24" w:space="1"/>
          </w:tcBorders>
          <w:vAlign w:val="center"/>
        </w:tcPr>
        <w:p>
          <w:pPr>
            <w:keepNext/>
            <w:jc w:val="right"/>
          </w:pPr>
          <w:r>
            <w:t xml:space="preserve">10/06/2026</w:t>
          </w:r>
        </w:p>
      </w:tc>
    </w:tr>
  </w:tbl>
</w:hdr>
</file>

<file path=word/styles.xml><?xml version="1.0" encoding="utf-8"?>
<w:styles xmlns:w="http://schemas.openxmlformats.org/wordprocessingml/2006/main">
  <w:style xmlns:w="http://schemas.openxmlformats.org/wordprocessingml/2006/main" w:type="character" w:styleId="Hyperlink">
    <w:name w:val="Hyperlink"/>
    <w:unhideWhenUsed/>
    <w:rPr>
      <w:color w:val="0000FF" w:themeColor="hyperlink"/>
      <w:u w:val="single"/>
    </w:rPr>
  </w:style>
  <w:style xmlns:w="http://schemas.openxmlformats.org/wordprocessingml/2006/main" w:type="paragraph" w:styleId="Heading2">
    <w:name w:val="heading 2"/>
    <w:basedOn w:val="Normal"/>
    <w:next w:val="Normal"/>
    <w:link w:val="Heading2Char"/>
    <w:unhideWhenUsed/>
    <w:qFormat/>
    <w:pPr>
      <w:keepNext/>
      <w:keepLines/>
      <w:spacing w:before="200" w:after="0"/>
      <w:outlineLvl w:val="1"/>
    </w:pPr>
    <w:rPr>
      <w:rFonts w:asciiTheme="majorHAnsi" w:hAnsiTheme="majorHAnsi" w:eastAsiaTheme="majorEastAsia" w:cstheme="majorBidi"/>
      <w:b/>
      <w:bCs/>
      <w:color w:val="5B9BD5" w:themeColor="accent1"/>
      <w:sz w:val="26"/>
      <w:szCs w:val="26"/>
    </w:rPr>
  </w:style>
  <w:style xmlns:w="http://schemas.openxmlformats.org/wordprocessingml/2006/main" w:type="paragraph" w:styleId="Heading3">
    <w:name w:val="heading 3"/>
    <w:basedOn w:val="Normal"/>
    <w:next w:val="Normal"/>
    <w:link w:val="Heading3Char"/>
    <w:unhideWhenUsed/>
    <w:qFormat/>
    <w:pPr>
      <w:keepNext/>
      <w:keepLines/>
      <w:spacing w:before="200" w:after="0"/>
      <w:outlineLvl w:val="2"/>
    </w:pPr>
    <w:rPr>
      <w:rFonts w:asciiTheme="majorHAnsi" w:hAnsiTheme="majorHAnsi" w:eastAsiaTheme="majorEastAsia" w:cstheme="majorBidi"/>
      <w:b/>
      <w:bCs/>
      <w:color w:val="5B9BD5" w:themeColor="accent1"/>
    </w:rPr>
  </w:style>
  <w:style xmlns:w="http://schemas.openxmlformats.org/wordprocessingml/2006/main" w:type="paragraph" w:styleId="IntenseQuote">
    <w:name w:val="Intense Quote"/>
    <w:basedOn w:val="Normal"/>
    <w:next w:val="Normal"/>
    <w:link w:val="IntenseQuoteChar"/>
    <w:qFormat/>
    <w:pPr>
      <w:pBdr>
        <w:top w:val="single" w:color="5B9BD5" w:themeColor="accent1" w:sz="4" w:space="10"/>
        <w:bottom w:val="single" w:color="5B9BD5" w:themeColor="accent1" w:sz="4" w:space="10"/>
      </w:pBdr>
      <w:spacing w:before="360" w:after="360"/>
      <w:ind w:start="864" w:end="864"/>
      <w:jc w:val="center"/>
    </w:pPr>
    <w:rPr>
      <w:i/>
      <w:iCs/>
      <w:color w:val="5B9BD5" w:themeColor="accent1"/>
    </w:rPr>
  </w:style>
  <w:style xmlns:w="http://schemas.openxmlformats.org/wordprocessingml/2006/main" w:type="table" w:styleId="TableGrid">
    <w:name w:val="Table Grid"/>
    <w:basedOn w:val="TableNormal"/>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hyperlink" Target="https://jurimetria.laleynext.es/content/JurimetriaMagistrado.aspx?tabs=99&amp;actualDoc=1&amp;activeTab=99&amp;orderBy=0&amp;showNavigationBar=True&amp;assisData=DOCTYPE$JU&amp;operation=SearchGroup&amp;preselectedFilterData=PONENTE$Rodr%C3%ADguez%20Vega%2C%20Luis" TargetMode="External" Id="R347c74c20da8439f" /><Relationship Type="http://schemas.openxmlformats.org/officeDocument/2006/relationships/styles" Target="/word/styles.xml" Id="Reb47b5636fad42d9" /><Relationship Type="http://schemas.openxmlformats.org/officeDocument/2006/relationships/hyperlink" Target="https://soluciones.aranzadilaley.es/Content/Documento.aspx?idd=LE0000025866&amp;version=Vigente&amp;anchor=art_71" TargetMode="External" Id="Rd9cf1e3671e74e06" /><Relationship Type="http://schemas.openxmlformats.org/officeDocument/2006/relationships/hyperlink" Target="https://soluciones.aranzadilaley.es/Content/Documento.aspx?idd=LE0000025866&amp;version=Vigente&amp;anchor=art_465" TargetMode="External" Id="Rb80ca382ecde4bc0" /><Relationship Type="http://schemas.openxmlformats.org/officeDocument/2006/relationships/hyperlink" Target="https://soluciones.aranzadilaley.es/Content/Documento.aspx?idd=LE0000025866&amp;version=Vigente&amp;anchor=art_421" TargetMode="External" Id="R56efd3fff0784a9b" /><Relationship Type="http://schemas.openxmlformats.org/officeDocument/2006/relationships/hyperlink" Target="https://soluciones.aranzadilaley.es/Content/Documento.aspx?idd=LE0000025866&amp;version=Vigente&amp;anchor=art_416" TargetMode="External" Id="R6761bdfa42d843dd" /><Relationship Type="http://schemas.openxmlformats.org/officeDocument/2006/relationships/hyperlink" Target="https://soluciones.aranzadilaley.es/Content/Documento.aspx?idd=LE0000025866&amp;version=Vigente&amp;anchor=art_222" TargetMode="External" Id="Rb7c1867c2d5f4e6a" /><Relationship Type="http://schemas.openxmlformats.org/officeDocument/2006/relationships/hyperlink" Target="https://soluciones.aranzadilaley.es/Content/Documento.aspx?idd=LE0000025866&amp;version=Vigente&amp;anchor=art_222" TargetMode="External" Id="Rbde520be65b14748" /><Relationship Type="http://schemas.openxmlformats.org/officeDocument/2006/relationships/hyperlink" Target="https://soluciones.aranzadilaley.es/Content/Documento.aspx?idd=LE0000025866&amp;version=Vigente&amp;anchor=I171" TargetMode="External" Id="Rf20775d797254456" /><Relationship Type="http://schemas.openxmlformats.org/officeDocument/2006/relationships/hyperlink" Target="https://soluciones.aranzadilaley.es/Content/Documento.aspx?idd=LE0000025866&amp;version=Vigente&amp;anchor=I4389" TargetMode="External" Id="Re75a22a7b5634e4e" /><Relationship Type="http://schemas.openxmlformats.org/officeDocument/2006/relationships/hyperlink" Target="https://soluciones.aranzadilaley.es/Content/Documento.aspx?idd=JU0005592601&amp;version=Vigente" TargetMode="External" Id="R22d14552e4b644b8" /><Relationship Type="http://schemas.openxmlformats.org/officeDocument/2006/relationships/hyperlink" Target="https://soluciones.aranzadilaley.es/Content/Documento.aspx?idd=JU0006467105&amp;version=Vigente" TargetMode="External" Id="Rb45b232fef3d45a6" /><Relationship Type="http://schemas.openxmlformats.org/officeDocument/2006/relationships/hyperlink" Target="https://soluciones.aranzadilaley.es/Content/Documento.aspx?idd=LE0000025866&amp;version=Vigente&amp;anchor=I324" TargetMode="External" Id="R0e65a381b88f47cf" /><Relationship Type="http://schemas.openxmlformats.org/officeDocument/2006/relationships/hyperlink" Target="https://soluciones.aranzadilaley.es/Content/Documento.aspx?idd=LE0000025866&amp;version=Vigente&amp;anchor=I526" TargetMode="External" Id="R58e54fa1552e4024" /><Relationship Type="http://schemas.openxmlformats.org/officeDocument/2006/relationships/hyperlink" Target="https://soluciones.aranzadilaley.es/Content/Documento.aspx?idd=JU0006890430&amp;version=Vigente" TargetMode="External" Id="R0dc266ed6cfd4f97" /><Relationship Type="http://schemas.openxmlformats.org/officeDocument/2006/relationships/hyperlink" Target="https://soluciones.aranzadilaley.es/Content/Documento.aspx?idd=LE0000025866&amp;version=Vigente&amp;anchor=I522" TargetMode="External" Id="R042d1213a91848f5" /><Relationship Type="http://schemas.openxmlformats.org/officeDocument/2006/relationships/hyperlink" Target="https://soluciones.aranzadilaley.es/Content/Documento.aspx?idd=LE0000025866&amp;version=Vigente&amp;anchor=I324" TargetMode="External" Id="Rc3f95c25eef24f41" /><Relationship Type="http://schemas.openxmlformats.org/officeDocument/2006/relationships/hyperlink" Target="https://soluciones.aranzadilaley.es/Content/Documento.aspx?idd=LE0000025866&amp;version=Vigente&amp;anchor=I324" TargetMode="External" Id="R0cb4102ce3334b31" /><Relationship Type="http://schemas.openxmlformats.org/officeDocument/2006/relationships/hyperlink" Target="https://soluciones.aranzadilaley.es/Content/Documento.aspx?idd=LE0000025866&amp;version=Vigente&amp;anchor=I526" TargetMode="External" Id="Rfbba22dccaa04372" /><Relationship Type="http://schemas.openxmlformats.org/officeDocument/2006/relationships/hyperlink" Target="https://soluciones.aranzadilaley.es/Content/Documento.aspx?idd=LE0000025866&amp;version=Vigente&amp;anchor=I324" TargetMode="External" Id="R0510f59338754336" /><Relationship Type="http://schemas.openxmlformats.org/officeDocument/2006/relationships/hyperlink" Target="https://soluciones.aranzadilaley.es/Content/Documento.aspx?idd=LE0000025866&amp;version=Vigente&amp;anchor=I324" TargetMode="External" Id="Re95471d96e334d14" /><Relationship Type="http://schemas.openxmlformats.org/officeDocument/2006/relationships/hyperlink" Target="https://soluciones.aranzadilaley.es/Content/Documento.aspx?idd=LE0000025866&amp;version=Vigente&amp;anchor=I506" TargetMode="External" Id="R2fef69d09fda4389" /><Relationship Type="http://schemas.openxmlformats.org/officeDocument/2006/relationships/header" Target="/word/header1.xml" Id="Ra7193da5a2ef465d" /><Relationship Type="http://schemas.openxmlformats.org/officeDocument/2006/relationships/footer" Target="/word/footer1.xml" Id="R4d50f3ae686f412b" /><Relationship Type="http://schemas.openxmlformats.org/officeDocument/2006/relationships/image" Target="/media/image.jpg" Id="img_d9356916dd7e439d901320a3f5ab9e97" /></Relationships>
</file>

<file path=word/_rels/header1.xml.rels>&#65279;<?xml version="1.0" encoding="utf-8"?><Relationships xmlns="http://schemas.openxmlformats.org/package/2006/relationships"><Relationship Type="http://schemas.openxmlformats.org/officeDocument/2006/relationships/image" Target="/media/image2.jpg" Id="Rcba02156197545dc" /></Relationships>
</file>