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DEV-00003</w:t>
      </w:r>
    </w:p>
    <w:p>
      <w:pPr>
        <w:jc w:val="center"/>
      </w:pPr>
      <w:r>
        <w:t>Asignacion original: ASG-2026-00040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21/04/2026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Ana Perez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0123456789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Analista TI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TI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Matriz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 de Compra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Logitech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Danado</w:t>
            </w:r>
          </w:p>
        </w:tc>
        <w:tc>
          <w:tcPr>
            <w:tcW w:type="dxa" w:w="1440"/>
          </w:tcPr>
          <w:p>
            <w:r>
              <w:t>Modelo: M185 | Serie: MOU001</w:t>
            </w:r>
          </w:p>
        </w:tc>
        <w:tc>
          <w:tcPr>
            <w:tcW w:type="dxa" w:w="1440"/>
          </w:tcPr>
          <w:p>
            <w:r>
              <w:t>Mouse recibido | Devuelve solo mouse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Ana Perez</w:t>
              <w:br/>
              <w:t>Analista TI</w:t>
            </w:r>
          </w:p>
        </w:tc>
        <w:tc>
          <w:tcPr>
            <w:tcW w:type="dxa" w:w="4320"/>
          </w:tcPr>
          <w:p>
            <w:r>
              <w:t>tester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