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asis-pengetahuan"/>
    <w:p>
      <w:pPr>
        <w:pStyle w:val="Heading1"/>
      </w:pPr>
      <w:r>
        <w:t xml:space="preserve">3.5 Basis Pengetahuan</w:t>
      </w:r>
    </w:p>
    <w:p>
      <w:pPr>
        <w:pStyle w:val="FirstParagraph"/>
      </w:pPr>
      <w:r>
        <w:t xml:space="preserve">Basis pengetahuan sistem pendukung keputusan Enerlyze terdiri atas hierarki keputusan, penilaian perbandingan berpasangan dari narasumber, aturan perhitungan</w:t>
      </w:r>
      <w:r>
        <w:t xml:space="preserve"> </w:t>
      </w:r>
      <w:r>
        <w:rPr>
          <w:i/>
          <w:iCs/>
        </w:rPr>
        <w:t xml:space="preserve">Analytical Hierarchy Process</w:t>
      </w:r>
      <w:r>
        <w:t xml:space="preserve"> </w:t>
      </w:r>
      <w:r>
        <w:t xml:space="preserve">(AHP), dan aturan rekomendasi. Seluruh rumus dan angka pada subbab ini diturunkan dari perhitungan aplikasi dan data periode Mei–September 2026. Subbab 3.5.1 menguraikan penerapan AHP, 3.5.2 kriteria, alternatif, dan penilaian narasumber, 3.5.3 aturan perhitungan dan rekomendasi, 3.5.4 contoh perhitungan, dan 3.5.5 pengujian.</w:t>
      </w:r>
    </w:p>
    <w:bookmarkStart w:id="9" w:name="penerapan-ahp-pada-penelitian"/>
    <w:p>
      <w:pPr>
        <w:pStyle w:val="Heading2"/>
      </w:pPr>
      <w:r>
        <w:t xml:space="preserve">3.5.1 Penerapan AHP pada Penelitian</w:t>
      </w:r>
    </w:p>
    <w:p>
      <w:pPr>
        <w:pStyle w:val="FirstParagraph"/>
      </w:pPr>
      <w:r>
        <w:t xml:space="preserve">Tujuan keputusan adalah menentukan area Lippo Mall Puri yang paling diprioritaskan untuk optimasi penggunaan energi. Tujuan tersebut dinilai dengan empat kriteria terhadap enam alternatif area, sebagaimana ditunjukkan Tabel 3.1.</w:t>
      </w:r>
    </w:p>
    <w:p>
      <w:pPr>
        <w:pStyle w:val="Caption"/>
        <w:keepNext/>
      </w:pPr>
      <w:r>
        <w:rPr>
          <w:rFonts w:ascii="Times New Roman" w:hAnsi="Times New Roman"/>
          <w:sz w:val="22"/>
        </w:rPr>
        <w:t xml:space="preserve">Tabel 3.1 Hierarki keputusan</w:t>
      </w:r>
    </w:p>
    <w:tbl>
      <w:tblPr>
        <w:tblStyle w:val="Table"/>
        <w:tblW w:type="pct" w:w="5000"/>
        <w:jc w:val="center"/>
        <w:tblLayout w:type="fixed"/>
        <w:tblLook w:firstRow="1" w:lastRow="0" w:firstColumn="0" w:lastColumn="0" w:noHBand="0" w:noVBand="0" w:val="0020"/>
        <w:tblLayout w:type="fixed"/>
      </w:tblPr>
      <w:tblGrid>
        <w:gridCol w:w="1274"/>
        <w:gridCol w:w="6663"/>
      </w:tblGrid>
      <w:tr>
        <w:trPr>
          <w:tblHeader w:val="on"/>
          <w:cantSplit/>
          <w:tblHeader/>
        </w:trPr>
        <w:tc>
          <w:tcPr>
            <w:tcW w:type="dxa" w:w="1274"/>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Tingkat</w:t>
            </w:r>
          </w:p>
        </w:tc>
        <w:tc>
          <w:tcPr>
            <w:tcW w:type="dxa" w:w="6663"/>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Elemen</w:t>
            </w:r>
          </w:p>
        </w:tc>
      </w:tr>
      <w:tr>
        <w:trPr>
          <w:cantSplit/>
        </w:trPr>
        <w:tc>
          <w:tcPr>
            <w:tcW w:type="dxa" w:w="127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Tujuan</w:t>
            </w:r>
          </w:p>
        </w:tc>
        <w:tc>
          <w:tcPr>
            <w:tcW w:type="dxa" w:w="666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Menentukan area prioritas optimasi penggunaan energi</w:t>
            </w:r>
          </w:p>
        </w:tc>
      </w:tr>
      <w:tr>
        <w:trPr>
          <w:cantSplit/>
        </w:trPr>
        <w:tc>
          <w:tcPr>
            <w:tcW w:type="dxa" w:w="127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Kriteria</w:t>
            </w:r>
          </w:p>
        </w:tc>
        <w:tc>
          <w:tcPr>
            <w:tcW w:type="dxa" w:w="666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KE Konsumsi Energi · BL Biaya Listrik · DO Durasi Operasional · FM Frekuensi Maintenance</w:t>
            </w:r>
          </w:p>
        </w:tc>
      </w:tr>
      <w:tr>
        <w:trPr>
          <w:cantSplit/>
        </w:trPr>
        <w:tc>
          <w:tcPr>
            <w:tcW w:type="dxa" w:w="1274"/>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Alternatif</w:t>
            </w:r>
          </w:p>
        </w:tc>
        <w:tc>
          <w:tcPr>
            <w:tcW w:type="dxa" w:w="666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BS · LG · GF · UG · 1F · 2F</w:t>
            </w:r>
          </w:p>
        </w:tc>
      </w:tr>
    </w:tbl>
    <w:p>
      <w:pPr>
        <w:pStyle w:val="BodyText"/>
      </w:pPr>
      <w:r>
        <w:t xml:space="preserve">Penilaian kepentingan antarkriteria memakai skala Saaty 1–9 (Tabel 3.2). Aplikasi hanya menerima tujuh belas nilai: 1/9, 1/8, …, 1/2, 1, 2, …, 9.</w:t>
      </w:r>
    </w:p>
    <w:p>
      <w:pPr>
        <w:pStyle w:val="Caption"/>
        <w:keepNext/>
      </w:pPr>
      <w:r>
        <w:rPr>
          <w:rFonts w:ascii="Times New Roman" w:hAnsi="Times New Roman"/>
          <w:sz w:val="22"/>
        </w:rPr>
        <w:t xml:space="preserve">Tabel 3.2 Skala perbandingan Saaty</w:t>
      </w:r>
    </w:p>
    <w:tbl>
      <w:tblPr>
        <w:tblStyle w:val="Table"/>
        <w:tblW w:type="pct" w:w="5000"/>
        <w:jc w:val="center"/>
        <w:tblLayout w:type="fixed"/>
        <w:tblLook w:firstRow="1" w:lastRow="0" w:firstColumn="0" w:lastColumn="0" w:noHBand="0" w:noVBand="0" w:val="0020"/>
        <w:tblLayout w:type="fixed"/>
      </w:tblPr>
      <w:tblGrid>
        <w:gridCol w:w="1395"/>
        <w:gridCol w:w="4242"/>
        <w:gridCol w:w="2299"/>
      </w:tblGrid>
      <w:tr>
        <w:trPr>
          <w:tblHeader w:val="on"/>
          <w:cantSplit/>
          <w:tblHeader/>
        </w:trPr>
        <w:tc>
          <w:tcPr>
            <w:tcW w:type="dxa" w:w="1395"/>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Nilai</w:t>
            </w:r>
          </w:p>
        </w:tc>
        <w:tc>
          <w:tcPr>
            <w:tcW w:type="dxa" w:w="4242"/>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Definisi</w:t>
            </w:r>
          </w:p>
        </w:tc>
        <w:tc>
          <w:tcPr>
            <w:tcW w:type="dxa" w:w="2299"/>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Resiprokal</w:t>
            </w:r>
          </w:p>
        </w:tc>
      </w:tr>
      <w:tr>
        <w:trPr>
          <w:cantSplit/>
        </w:trPr>
        <w:tc>
          <w:tcPr>
            <w:tcW w:type="dxa" w:w="139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1</w:t>
            </w:r>
          </w:p>
        </w:tc>
        <w:tc>
          <w:tcPr>
            <w:tcW w:type="dxa" w:w="424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Kedua kriteria sama penting</w:t>
            </w:r>
          </w:p>
        </w:tc>
        <w:tc>
          <w:tcPr>
            <w:tcW w:type="dxa" w:w="22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1</w:t>
            </w:r>
          </w:p>
        </w:tc>
      </w:tr>
      <w:tr>
        <w:trPr>
          <w:cantSplit/>
        </w:trPr>
        <w:tc>
          <w:tcPr>
            <w:tcW w:type="dxa" w:w="139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3</w:t>
            </w:r>
          </w:p>
        </w:tc>
        <w:tc>
          <w:tcPr>
            <w:tcW w:type="dxa" w:w="424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Kriteria kiri sedikit lebih penting</w:t>
            </w:r>
          </w:p>
        </w:tc>
        <w:tc>
          <w:tcPr>
            <w:tcW w:type="dxa" w:w="22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1/3</w:t>
            </w:r>
          </w:p>
        </w:tc>
      </w:tr>
      <w:tr>
        <w:trPr>
          <w:cantSplit/>
        </w:trPr>
        <w:tc>
          <w:tcPr>
            <w:tcW w:type="dxa" w:w="139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5</w:t>
            </w:r>
          </w:p>
        </w:tc>
        <w:tc>
          <w:tcPr>
            <w:tcW w:type="dxa" w:w="424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Kriteria kiri lebih penting</w:t>
            </w:r>
          </w:p>
        </w:tc>
        <w:tc>
          <w:tcPr>
            <w:tcW w:type="dxa" w:w="22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1/5</w:t>
            </w:r>
          </w:p>
        </w:tc>
      </w:tr>
      <w:tr>
        <w:trPr>
          <w:cantSplit/>
        </w:trPr>
        <w:tc>
          <w:tcPr>
            <w:tcW w:type="dxa" w:w="139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7</w:t>
            </w:r>
          </w:p>
        </w:tc>
        <w:tc>
          <w:tcPr>
            <w:tcW w:type="dxa" w:w="424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Kriteria kiri sangat lebih penting</w:t>
            </w:r>
          </w:p>
        </w:tc>
        <w:tc>
          <w:tcPr>
            <w:tcW w:type="dxa" w:w="22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1/7</w:t>
            </w:r>
          </w:p>
        </w:tc>
      </w:tr>
      <w:tr>
        <w:trPr>
          <w:cantSplit/>
        </w:trPr>
        <w:tc>
          <w:tcPr>
            <w:tcW w:type="dxa" w:w="139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9</w:t>
            </w:r>
          </w:p>
        </w:tc>
        <w:tc>
          <w:tcPr>
            <w:tcW w:type="dxa" w:w="424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Kriteria kiri mutlak lebih penting</w:t>
            </w:r>
          </w:p>
        </w:tc>
        <w:tc>
          <w:tcPr>
            <w:tcW w:type="dxa" w:w="22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1/9</w:t>
            </w:r>
          </w:p>
        </w:tc>
      </w:tr>
      <w:tr>
        <w:trPr>
          <w:cantSplit/>
        </w:trPr>
        <w:tc>
          <w:tcPr>
            <w:tcW w:type="dxa" w:w="1395"/>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2, 4, 6, 8</w:t>
            </w:r>
          </w:p>
        </w:tc>
        <w:tc>
          <w:tcPr>
            <w:tcW w:type="dxa" w:w="4242"/>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Nilai antara dua penilaian berdekatan</w:t>
            </w:r>
          </w:p>
        </w:tc>
        <w:tc>
          <w:tcPr>
            <w:tcW w:type="dxa" w:w="229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1/2, 1/4, 1/6, 1/8</w:t>
            </w:r>
          </w:p>
        </w:tc>
      </w:tr>
    </w:tbl>
    <w:p>
      <w:pPr>
        <w:pStyle w:val="BodyText"/>
      </w:pPr>
      <w:r>
        <w:t xml:space="preserve">Tahapan AHP pada aplikasi adalah: (1) menyusun matriks perbandingan berpasangan tiap narasumber; (2) menggabungkan matriks narasumber; (3) menghitung bobot kriteria; (4) menguji konsistensi; (5) menghitung prioritas lokal alternatif dari data bulanan; (6) menghitung skor akhir dan peringkat. Rumus umum tahap (1), (3), dan (4) sebagai berikut, dengan</w:t>
      </w:r>
      <w:r>
        <w:t xml:space="preserve"> </w:t>
      </w:r>
      <m:oMath>
        <m:r>
          <m:t>n</m:t>
        </m:r>
        <m:r>
          <m:rPr>
            <m:sty m:val="p"/>
          </m:rPr>
          <m:t>=</m:t>
        </m:r>
        <m:r>
          <m:t>4</m:t>
        </m:r>
      </m:oMath>
      <w:r>
        <w:t xml:space="preserve"> </w:t>
      </w:r>
      <w:r>
        <w:t xml:space="preserve">kriteria.</w:t>
      </w:r>
    </w:p>
    <w:p>
      <w:pPr>
        <w:pStyle w:val="BodyText"/>
      </w:pPr>
      <w:r>
        <w:t xml:space="preserve">Matriks perbandingan berpasangan</w:t>
      </w:r>
      <w:r>
        <w:t xml:space="preserve"> </w:t>
      </w:r>
      <m:oMath>
        <m:r>
          <m:t>A</m:t>
        </m:r>
        <m:r>
          <m:rPr>
            <m:sty m:val="p"/>
          </m:rPr>
          <m:t>=</m:t>
        </m:r>
        <m:r>
          <m:rPr>
            <m:sty m:val="p"/>
          </m:rPr>
          <m:t>[</m:t>
        </m:r>
        <m:sSub>
          <m:e>
            <m:r>
              <m:t>a</m:t>
            </m:r>
          </m:e>
          <m:sub>
            <m:r>
              <m:t>i</m:t>
            </m:r>
            <m:r>
              <m:t>j</m:t>
            </m:r>
          </m:sub>
        </m:sSub>
        <m:r>
          <m:rPr>
            <m:sty m:val="p"/>
          </m:rPr>
          <m:t>]</m:t>
        </m:r>
      </m:oMath>
      <w:r>
        <w:t xml:space="preserve"> </w:t>
      </w:r>
      <w:r>
        <w:t xml:space="preserve">bersifat resiprokal:</w:t>
      </w:r>
    </w:p>
    <w:tbl>
      <w:tblPr>
        <w:tblW w:type="auto" w:w="0"/>
        <w:jc w:val="center"/>
        <w:tblLook w:firstColumn="1" w:firstRow="1" w:lastColumn="0" w:lastRow="0" w:noHBand="0" w:noVBand="1" w:val="04A0"/>
      </w:tblPr>
      <w:tblGrid>
        <w:gridCol w:w="680"/>
        <w:gridCol w:w="6350"/>
        <w:gridCol w:w="907"/>
      </w:tblGrid>
      <w:tr>
        <w:tc>
          <w:tcPr>
            <w:tcW w:type="dxa" w:w="680"/>
            <w:vAlign w:val="center"/>
            <w:tcBorders>
              <w:top w:val="nil" w:sz="4" w:space="0" w:color="000000"/>
              <w:left w:val="nil" w:sz="4" w:space="0" w:color="000000"/>
              <w:bottom w:val="nil" w:sz="4" w:space="0" w:color="000000"/>
              <w:right w:val="nil" w:sz="4" w:space="0" w:color="000000"/>
            </w:tcBorders>
          </w:tcPr>
          <w:p>
            <w:pPr>
              <w:spacing w:after="0" w:before="0"/>
            </w:pPr>
          </w:p>
        </w:tc>
        <w:tc>
          <w:tcPr>
            <w:tcW w:type="dxa" w:w="6350"/>
            <w:vAlign w:val="center"/>
            <w:tcBorders>
              <w:top w:val="nil" w:sz="4" w:space="0" w:color="000000"/>
              <w:left w:val="nil" w:sz="4" w:space="0" w:color="000000"/>
              <w:bottom w:val="nil" w:sz="4" w:space="0" w:color="000000"/>
              <w:right w:val="nil" w:sz="4" w:space="0" w:color="000000"/>
            </w:tcBorders>
          </w:tcPr>
          <w:p>
            <w:pPr>
              <w:spacing w:after="0" w:before="0"/>
              <w:jc w:val="center"/>
            </w:pPr>
            <m:oMathPara>
              <m:oMathParaPr>
                <m:jc m:val="center"/>
              </m:oMathParaPr>
              <m:oMath>
                <m:sSub>
                  <m:e>
                    <m:r>
                      <m:t>a</m:t>
                    </m:r>
                  </m:e>
                  <m:sub>
                    <m:r>
                      <m:t>i</m:t>
                    </m:r>
                    <m:r>
                      <m:t>i</m:t>
                    </m:r>
                  </m:sub>
                </m:sSub>
                <m:r>
                  <m:rPr>
                    <m:sty m:val="p"/>
                  </m:rPr>
                  <m:t>=</m:t>
                </m:r>
                <m:r>
                  <m:t>1</m:t>
                </m:r>
                <m:r>
                  <m:rPr>
                    <m:sty m:val="p"/>
                  </m:rPr>
                  <m:t>,</m:t>
                </m:r>
                <m:r>
                  <m:t>  </m:t>
                </m:r>
                <m:sSub>
                  <m:e>
                    <m:r>
                      <m:t>a</m:t>
                    </m:r>
                  </m:e>
                  <m:sub>
                    <m:r>
                      <m:t>j</m:t>
                    </m:r>
                    <m:r>
                      <m:t>i</m:t>
                    </m:r>
                  </m:sub>
                </m:sSub>
                <m:r>
                  <m:rPr>
                    <m:sty m:val="p"/>
                  </m:rPr>
                  <m:t>=</m:t>
                </m:r>
                <m:f>
                  <m:fPr>
                    <m:type m:val="bar"/>
                  </m:fPr>
                  <m:num>
                    <m:r>
                      <m:t>1</m:t>
                    </m:r>
                  </m:num>
                  <m:den>
                    <m:sSub>
                      <m:e>
                        <m:r>
                          <m:t>a</m:t>
                        </m:r>
                      </m:e>
                      <m:sub>
                        <m:r>
                          <m:t>i</m:t>
                        </m:r>
                        <m:r>
                          <m:t>j</m:t>
                        </m:r>
                      </m:sub>
                    </m:sSub>
                  </m:den>
                </m:f>
              </m:oMath>
            </m:oMathPara>
          </w:p>
        </w:tc>
        <w:tc>
          <w:tcPr>
            <w:tcW w:type="dxa" w:w="907"/>
            <w:vAlign w:val="center"/>
            <w:tcBorders>
              <w:top w:val="nil" w:sz="4" w:space="0" w:color="000000"/>
              <w:left w:val="nil" w:sz="4" w:space="0" w:color="000000"/>
              <w:bottom w:val="nil" w:sz="4" w:space="0" w:color="000000"/>
              <w:right w:val="nil" w:sz="4" w:space="0" w:color="000000"/>
            </w:tcBorders>
          </w:tcPr>
          <w:p>
            <w:pPr>
              <w:spacing w:after="0" w:before="0"/>
              <w:jc w:val="right"/>
            </w:pPr>
            <w:r>
              <w:rPr>
                <w:rFonts w:ascii="Times New Roman" w:hAnsi="Times New Roman"/>
                <w:sz w:val="24"/>
              </w:rPr>
              <w:t>(3.1)</w:t>
            </w:r>
          </w:p>
        </w:tc>
      </w:tr>
    </w:tbl>
    <w:p>
      <w:pPr>
        <w:pStyle w:val="BodyText"/>
      </w:pPr>
      <w:r>
        <w:t xml:space="preserve">Setiap elemen dinormalisasi terhadap jumlah kolomnya:</w:t>
      </w:r>
    </w:p>
    <w:tbl>
      <w:tblPr>
        <w:tblW w:type="auto" w:w="0"/>
        <w:jc w:val="center"/>
        <w:tblLook w:firstColumn="1" w:firstRow="1" w:lastColumn="0" w:lastRow="0" w:noHBand="0" w:noVBand="1" w:val="04A0"/>
      </w:tblPr>
      <w:tblGrid>
        <w:gridCol w:w="680"/>
        <w:gridCol w:w="6350"/>
        <w:gridCol w:w="907"/>
      </w:tblGrid>
      <w:tr>
        <w:tc>
          <w:tcPr>
            <w:tcW w:type="dxa" w:w="680"/>
            <w:vAlign w:val="center"/>
            <w:tcBorders>
              <w:top w:val="nil" w:sz="4" w:space="0" w:color="000000"/>
              <w:left w:val="nil" w:sz="4" w:space="0" w:color="000000"/>
              <w:bottom w:val="nil" w:sz="4" w:space="0" w:color="000000"/>
              <w:right w:val="nil" w:sz="4" w:space="0" w:color="000000"/>
            </w:tcBorders>
          </w:tcPr>
          <w:p>
            <w:pPr>
              <w:spacing w:after="0" w:before="0"/>
            </w:pPr>
          </w:p>
        </w:tc>
        <w:tc>
          <w:tcPr>
            <w:tcW w:type="dxa" w:w="6350"/>
            <w:vAlign w:val="center"/>
            <w:tcBorders>
              <w:top w:val="nil" w:sz="4" w:space="0" w:color="000000"/>
              <w:left w:val="nil" w:sz="4" w:space="0" w:color="000000"/>
              <w:bottom w:val="nil" w:sz="4" w:space="0" w:color="000000"/>
              <w:right w:val="nil" w:sz="4" w:space="0" w:color="000000"/>
            </w:tcBorders>
          </w:tcPr>
          <w:p>
            <w:pPr>
              <w:spacing w:after="0" w:before="0"/>
              <w:jc w:val="center"/>
            </w:pPr>
            <m:oMathPara>
              <m:oMathParaPr>
                <m:jc m:val="center"/>
              </m:oMathParaPr>
              <m:oMath>
                <m:sSub>
                  <m:e>
                    <m:acc>
                      <m:accPr>
                        <m:chr m:val="‾"/>
                      </m:accPr>
                      <m:e>
                        <m:r>
                          <m:t>a</m:t>
                        </m:r>
                      </m:e>
                    </m:acc>
                  </m:e>
                  <m:sub>
                    <m:r>
                      <m:t>i</m:t>
                    </m:r>
                    <m:r>
                      <m:t>j</m:t>
                    </m:r>
                  </m:sub>
                </m:sSub>
                <m:r>
                  <m:rPr>
                    <m:sty m:val="p"/>
                  </m:rPr>
                  <m:t>=</m:t>
                </m:r>
                <m:f>
                  <m:fPr>
                    <m:type m:val="bar"/>
                  </m:fPr>
                  <m:num>
                    <m:sSub>
                      <m:e>
                        <m:r>
                          <m:t>a</m:t>
                        </m:r>
                      </m:e>
                      <m:sub>
                        <m:r>
                          <m:t>i</m:t>
                        </m:r>
                        <m:r>
                          <m:t>j</m:t>
                        </m:r>
                      </m:sub>
                    </m:sSub>
                  </m:num>
                  <m:den>
                    <m:nary>
                      <m:naryPr>
                        <m:chr m:val="∑"/>
                        <m:limLoc m:val="undOvr"/>
                        <m:subHide m:val="off"/>
                        <m:supHide m:val="off"/>
                      </m:naryPr>
                      <m:sub>
                        <m:r>
                          <m:t>i</m:t>
                        </m:r>
                        <m:r>
                          <m:rPr>
                            <m:sty m:val="p"/>
                          </m:rPr>
                          <m:t>=</m:t>
                        </m:r>
                        <m:r>
                          <m:t>1</m:t>
                        </m:r>
                      </m:sub>
                      <m:sup>
                        <m:r>
                          <m:t>n</m:t>
                        </m:r>
                      </m:sup>
                      <m:e>
                        <m:sSub>
                          <m:e>
                            <m:r>
                              <m:t>a</m:t>
                            </m:r>
                          </m:e>
                          <m:sub>
                            <m:r>
                              <m:t>i</m:t>
                            </m:r>
                            <m:r>
                              <m:t>j</m:t>
                            </m:r>
                          </m:sub>
                        </m:sSub>
                      </m:e>
                    </m:nary>
                  </m:den>
                </m:f>
              </m:oMath>
            </m:oMathPara>
          </w:p>
        </w:tc>
        <w:tc>
          <w:tcPr>
            <w:tcW w:type="dxa" w:w="907"/>
            <w:vAlign w:val="center"/>
            <w:tcBorders>
              <w:top w:val="nil" w:sz="4" w:space="0" w:color="000000"/>
              <w:left w:val="nil" w:sz="4" w:space="0" w:color="000000"/>
              <w:bottom w:val="nil" w:sz="4" w:space="0" w:color="000000"/>
              <w:right w:val="nil" w:sz="4" w:space="0" w:color="000000"/>
            </w:tcBorders>
          </w:tcPr>
          <w:p>
            <w:pPr>
              <w:spacing w:after="0" w:before="0"/>
              <w:jc w:val="right"/>
            </w:pPr>
            <w:r>
              <w:rPr>
                <w:rFonts w:ascii="Times New Roman" w:hAnsi="Times New Roman"/>
                <w:sz w:val="24"/>
              </w:rPr>
              <w:t>(3.2)</w:t>
            </w:r>
          </w:p>
        </w:tc>
      </w:tr>
    </w:tbl>
    <w:p>
      <w:pPr>
        <w:pStyle w:val="BodyText"/>
      </w:pPr>
      <w:r>
        <w:t xml:space="preserve">Bobot kriteria adalah rata-rata baris matriks ternormalisasi:</w:t>
      </w:r>
    </w:p>
    <w:tbl>
      <w:tblPr>
        <w:tblW w:type="auto" w:w="0"/>
        <w:jc w:val="center"/>
        <w:tblLook w:firstColumn="1" w:firstRow="1" w:lastColumn="0" w:lastRow="0" w:noHBand="0" w:noVBand="1" w:val="04A0"/>
      </w:tblPr>
      <w:tblGrid>
        <w:gridCol w:w="680"/>
        <w:gridCol w:w="6350"/>
        <w:gridCol w:w="907"/>
      </w:tblGrid>
      <w:tr>
        <w:tc>
          <w:tcPr>
            <w:tcW w:type="dxa" w:w="680"/>
            <w:vAlign w:val="center"/>
            <w:tcBorders>
              <w:top w:val="nil" w:sz="4" w:space="0" w:color="000000"/>
              <w:left w:val="nil" w:sz="4" w:space="0" w:color="000000"/>
              <w:bottom w:val="nil" w:sz="4" w:space="0" w:color="000000"/>
              <w:right w:val="nil" w:sz="4" w:space="0" w:color="000000"/>
            </w:tcBorders>
          </w:tcPr>
          <w:p>
            <w:pPr>
              <w:spacing w:after="0" w:before="0"/>
            </w:pPr>
          </w:p>
        </w:tc>
        <w:tc>
          <w:tcPr>
            <w:tcW w:type="dxa" w:w="6350"/>
            <w:vAlign w:val="center"/>
            <w:tcBorders>
              <w:top w:val="nil" w:sz="4" w:space="0" w:color="000000"/>
              <w:left w:val="nil" w:sz="4" w:space="0" w:color="000000"/>
              <w:bottom w:val="nil" w:sz="4" w:space="0" w:color="000000"/>
              <w:right w:val="nil" w:sz="4" w:space="0" w:color="000000"/>
            </w:tcBorders>
          </w:tcPr>
          <w:p>
            <w:pPr>
              <w:spacing w:after="0" w:before="0"/>
              <w:jc w:val="center"/>
            </w:pPr>
            <m:oMathPara>
              <m:oMathParaPr>
                <m:jc m:val="center"/>
              </m:oMathParaPr>
              <m:oMath>
                <m:sSub>
                  <m:e>
                    <m:r>
                      <m:t>w</m:t>
                    </m:r>
                  </m:e>
                  <m:sub>
                    <m:r>
                      <m:t>i</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
                      <m:e>
                        <m:acc>
                          <m:accPr>
                            <m:chr m:val="‾"/>
                          </m:accPr>
                          <m:e>
                            <m:r>
                              <m:t>a</m:t>
                            </m:r>
                          </m:e>
                        </m:acc>
                      </m:e>
                      <m:sub>
                        <m:r>
                          <m:t>i</m:t>
                        </m:r>
                        <m:r>
                          <m:t>j</m:t>
                        </m:r>
                      </m:sub>
                    </m:sSub>
                  </m:e>
                </m:nary>
              </m:oMath>
            </m:oMathPara>
          </w:p>
        </w:tc>
        <w:tc>
          <w:tcPr>
            <w:tcW w:type="dxa" w:w="907"/>
            <w:vAlign w:val="center"/>
            <w:tcBorders>
              <w:top w:val="nil" w:sz="4" w:space="0" w:color="000000"/>
              <w:left w:val="nil" w:sz="4" w:space="0" w:color="000000"/>
              <w:bottom w:val="nil" w:sz="4" w:space="0" w:color="000000"/>
              <w:right w:val="nil" w:sz="4" w:space="0" w:color="000000"/>
            </w:tcBorders>
          </w:tcPr>
          <w:p>
            <w:pPr>
              <w:spacing w:after="0" w:before="0"/>
              <w:jc w:val="right"/>
            </w:pPr>
            <w:r>
              <w:rPr>
                <w:rFonts w:ascii="Times New Roman" w:hAnsi="Times New Roman"/>
                <w:sz w:val="24"/>
              </w:rPr>
              <w:t>(3.3)</w:t>
            </w:r>
          </w:p>
        </w:tc>
      </w:tr>
    </w:tbl>
    <w:p>
      <w:pPr>
        <w:pStyle w:val="BodyText"/>
      </w:pPr>
      <w:r>
        <w:t xml:space="preserve">Nilai eigen maksimum dihitung dari hasil kali matriks dan vektor bobot:</w:t>
      </w:r>
    </w:p>
    <w:tbl>
      <w:tblPr>
        <w:tblW w:type="auto" w:w="0"/>
        <w:jc w:val="center"/>
        <w:tblLook w:firstColumn="1" w:firstRow="1" w:lastColumn="0" w:lastRow="0" w:noHBand="0" w:noVBand="1" w:val="04A0"/>
      </w:tblPr>
      <w:tblGrid>
        <w:gridCol w:w="680"/>
        <w:gridCol w:w="6350"/>
        <w:gridCol w:w="907"/>
      </w:tblGrid>
      <w:tr>
        <w:tc>
          <w:tcPr>
            <w:tcW w:type="dxa" w:w="680"/>
            <w:vAlign w:val="center"/>
            <w:tcBorders>
              <w:top w:val="nil" w:sz="4" w:space="0" w:color="000000"/>
              <w:left w:val="nil" w:sz="4" w:space="0" w:color="000000"/>
              <w:bottom w:val="nil" w:sz="4" w:space="0" w:color="000000"/>
              <w:right w:val="nil" w:sz="4" w:space="0" w:color="000000"/>
            </w:tcBorders>
          </w:tcPr>
          <w:p>
            <w:pPr>
              <w:spacing w:after="0" w:before="0"/>
            </w:pPr>
          </w:p>
        </w:tc>
        <w:tc>
          <w:tcPr>
            <w:tcW w:type="dxa" w:w="6350"/>
            <w:vAlign w:val="center"/>
            <w:tcBorders>
              <w:top w:val="nil" w:sz="4" w:space="0" w:color="000000"/>
              <w:left w:val="nil" w:sz="4" w:space="0" w:color="000000"/>
              <w:bottom w:val="nil" w:sz="4" w:space="0" w:color="000000"/>
              <w:right w:val="nil" w:sz="4" w:space="0" w:color="000000"/>
            </w:tcBorders>
          </w:tcPr>
          <w:p>
            <w:pPr>
              <w:spacing w:after="0" w:before="0"/>
              <w:jc w:val="center"/>
            </w:pPr>
            <m:oMathPara>
              <m:oMathParaPr>
                <m:jc m:val="center"/>
              </m:oMathParaPr>
              <m:oMath>
                <m:sSub>
                  <m:e>
                    <m:r>
                      <m:t>λ</m:t>
                    </m:r>
                  </m:e>
                  <m:sub>
                    <m:r>
                      <m:rPr>
                        <m:sty m:val="p"/>
                      </m:rPr>
                      <m:t>max</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rPr>
                            <m:sty m:val="p"/>
                          </m:rPr>
                          <m:t>(</m:t>
                        </m:r>
                        <m:r>
                          <m:t>A</m:t>
                        </m:r>
                        <m:r>
                          <m:rPr>
                            <m:sty m:val="b"/>
                          </m:rPr>
                          <m:t>w</m:t>
                        </m:r>
                        <m:sSub>
                          <m:e>
                            <m:r>
                              <m:rPr>
                                <m:sty m:val="p"/>
                              </m:rPr>
                              <m:t>)</m:t>
                            </m:r>
                          </m:e>
                          <m:sub>
                            <m:r>
                              <m:t>i</m:t>
                            </m:r>
                          </m:sub>
                        </m:sSub>
                      </m:num>
                      <m:den>
                        <m:sSub>
                          <m:e>
                            <m:r>
                              <m:t>w</m:t>
                            </m:r>
                          </m:e>
                          <m:sub>
                            <m:r>
                              <m:t>i</m:t>
                            </m:r>
                          </m:sub>
                        </m:sSub>
                      </m:den>
                    </m:f>
                  </m:e>
                </m:nary>
                <m:r>
                  <m:rPr>
                    <m:sty m:val="p"/>
                  </m:rPr>
                  <m:t>,</m:t>
                </m:r>
                <m:r>
                  <m:t>  </m:t>
                </m:r>
                <m:r>
                  <m:rPr>
                    <m:sty m:val="p"/>
                  </m:rPr>
                  <m:t>(</m:t>
                </m:r>
                <m:r>
                  <m:t>A</m:t>
                </m:r>
                <m:r>
                  <m:rPr>
                    <m:sty m:val="b"/>
                  </m:rPr>
                  <m:t>w</m:t>
                </m:r>
                <m:sSub>
                  <m:e>
                    <m:r>
                      <m:rPr>
                        <m:sty m:val="p"/>
                      </m:rPr>
                      <m:t>)</m:t>
                    </m:r>
                  </m:e>
                  <m:sub>
                    <m:r>
                      <m:t>i</m:t>
                    </m:r>
                  </m:sub>
                </m:sSub>
                <m:r>
                  <m:rPr>
                    <m:sty m:val="p"/>
                  </m:rPr>
                  <m:t>=</m:t>
                </m:r>
                <m:nary>
                  <m:naryPr>
                    <m:chr m:val="∑"/>
                    <m:limLoc m:val="undOvr"/>
                    <m:subHide m:val="off"/>
                    <m:supHide m:val="off"/>
                  </m:naryPr>
                  <m:sub>
                    <m:r>
                      <m:t>j</m:t>
                    </m:r>
                    <m:r>
                      <m:rPr>
                        <m:sty m:val="p"/>
                      </m:rPr>
                      <m:t>=</m:t>
                    </m:r>
                    <m:r>
                      <m:t>1</m:t>
                    </m:r>
                  </m:sub>
                  <m:sup>
                    <m:r>
                      <m:t>n</m:t>
                    </m:r>
                  </m:sup>
                  <m:e>
                    <m:sSub>
                      <m:e>
                        <m:r>
                          <m:t>a</m:t>
                        </m:r>
                      </m:e>
                      <m:sub>
                        <m:r>
                          <m:t>i</m:t>
                        </m:r>
                        <m:r>
                          <m:t>j</m:t>
                        </m:r>
                      </m:sub>
                    </m:sSub>
                  </m:e>
                </m:nary>
                <m:sSub>
                  <m:e>
                    <m:r>
                      <m:t>w</m:t>
                    </m:r>
                  </m:e>
                  <m:sub>
                    <m:r>
                      <m:t>j</m:t>
                    </m:r>
                  </m:sub>
                </m:sSub>
              </m:oMath>
            </m:oMathPara>
          </w:p>
        </w:tc>
        <w:tc>
          <w:tcPr>
            <w:tcW w:type="dxa" w:w="907"/>
            <w:vAlign w:val="center"/>
            <w:tcBorders>
              <w:top w:val="nil" w:sz="4" w:space="0" w:color="000000"/>
              <w:left w:val="nil" w:sz="4" w:space="0" w:color="000000"/>
              <w:bottom w:val="nil" w:sz="4" w:space="0" w:color="000000"/>
              <w:right w:val="nil" w:sz="4" w:space="0" w:color="000000"/>
            </w:tcBorders>
          </w:tcPr>
          <w:p>
            <w:pPr>
              <w:spacing w:after="0" w:before="0"/>
              <w:jc w:val="right"/>
            </w:pPr>
            <w:r>
              <w:rPr>
                <w:rFonts w:ascii="Times New Roman" w:hAnsi="Times New Roman"/>
                <w:sz w:val="24"/>
              </w:rPr>
              <w:t>(3.4)</w:t>
            </w:r>
          </w:p>
        </w:tc>
      </w:tr>
    </w:tbl>
    <w:p>
      <w:pPr>
        <w:pStyle w:val="BodyText"/>
      </w:pPr>
      <w:r>
        <w:t xml:space="preserve">Indeks konsistensi dan rasio konsistensi:</w:t>
      </w:r>
    </w:p>
    <w:tbl>
      <w:tblPr>
        <w:tblW w:type="auto" w:w="0"/>
        <w:jc w:val="center"/>
        <w:tblLook w:firstColumn="1" w:firstRow="1" w:lastColumn="0" w:lastRow="0" w:noHBand="0" w:noVBand="1" w:val="04A0"/>
      </w:tblPr>
      <w:tblGrid>
        <w:gridCol w:w="680"/>
        <w:gridCol w:w="6350"/>
        <w:gridCol w:w="907"/>
      </w:tblGrid>
      <w:tr>
        <w:tc>
          <w:tcPr>
            <w:tcW w:type="dxa" w:w="680"/>
            <w:vAlign w:val="center"/>
            <w:tcBorders>
              <w:top w:val="nil" w:sz="4" w:space="0" w:color="000000"/>
              <w:left w:val="nil" w:sz="4" w:space="0" w:color="000000"/>
              <w:bottom w:val="nil" w:sz="4" w:space="0" w:color="000000"/>
              <w:right w:val="nil" w:sz="4" w:space="0" w:color="000000"/>
            </w:tcBorders>
          </w:tcPr>
          <w:p>
            <w:pPr>
              <w:spacing w:after="0" w:before="0"/>
            </w:pPr>
          </w:p>
        </w:tc>
        <w:tc>
          <w:tcPr>
            <w:tcW w:type="dxa" w:w="6350"/>
            <w:vAlign w:val="center"/>
            <w:tcBorders>
              <w:top w:val="nil" w:sz="4" w:space="0" w:color="000000"/>
              <w:left w:val="nil" w:sz="4" w:space="0" w:color="000000"/>
              <w:bottom w:val="nil" w:sz="4" w:space="0" w:color="000000"/>
              <w:right w:val="nil" w:sz="4" w:space="0" w:color="000000"/>
            </w:tcBorders>
          </w:tcPr>
          <w:p>
            <w:pPr>
              <w:spacing w:after="0" w:before="0"/>
              <w:jc w:val="center"/>
            </w:pPr>
            <m:oMathPara>
              <m:oMathParaPr>
                <m:jc m:val="center"/>
              </m:oMathParaPr>
              <m:oMath>
                <m:r>
                  <m:t>C</m:t>
                </m:r>
                <m:r>
                  <m:t>I</m:t>
                </m:r>
                <m:r>
                  <m:rPr>
                    <m:sty m:val="p"/>
                  </m:rPr>
                  <m:t>=</m:t>
                </m:r>
                <m:f>
                  <m:fPr>
                    <m:type m:val="bar"/>
                  </m:fPr>
                  <m:num>
                    <m:sSub>
                      <m:e>
                        <m:r>
                          <m:t>λ</m:t>
                        </m:r>
                      </m:e>
                      <m:sub>
                        <m:r>
                          <m:rPr>
                            <m:sty m:val="p"/>
                          </m:rPr>
                          <m:t>max</m:t>
                        </m:r>
                      </m:sub>
                    </m:sSub>
                    <m:r>
                      <m:rPr>
                        <m:sty m:val="p"/>
                      </m:rPr>
                      <m:t>−</m:t>
                    </m:r>
                    <m:r>
                      <m:t>n</m:t>
                    </m:r>
                  </m:num>
                  <m:den>
                    <m:r>
                      <m:t>n</m:t>
                    </m:r>
                    <m:r>
                      <m:rPr>
                        <m:sty m:val="p"/>
                      </m:rPr>
                      <m:t>−</m:t>
                    </m:r>
                    <m:r>
                      <m:t>1</m:t>
                    </m:r>
                  </m:den>
                </m:f>
              </m:oMath>
            </m:oMathPara>
          </w:p>
        </w:tc>
        <w:tc>
          <w:tcPr>
            <w:tcW w:type="dxa" w:w="907"/>
            <w:vAlign w:val="center"/>
            <w:tcBorders>
              <w:top w:val="nil" w:sz="4" w:space="0" w:color="000000"/>
              <w:left w:val="nil" w:sz="4" w:space="0" w:color="000000"/>
              <w:bottom w:val="nil" w:sz="4" w:space="0" w:color="000000"/>
              <w:right w:val="nil" w:sz="4" w:space="0" w:color="000000"/>
            </w:tcBorders>
          </w:tcPr>
          <w:p>
            <w:pPr>
              <w:spacing w:after="0" w:before="0"/>
              <w:jc w:val="right"/>
            </w:pPr>
            <w:r>
              <w:rPr>
                <w:rFonts w:ascii="Times New Roman" w:hAnsi="Times New Roman"/>
                <w:sz w:val="24"/>
              </w:rPr>
              <w:t>(3.5)</w:t>
            </w:r>
          </w:p>
        </w:tc>
      </w:tr>
    </w:tbl>
    <w:tbl>
      <w:tblPr>
        <w:tblW w:type="auto" w:w="0"/>
        <w:jc w:val="center"/>
        <w:tblLook w:firstColumn="1" w:firstRow="1" w:lastColumn="0" w:lastRow="0" w:noHBand="0" w:noVBand="1" w:val="04A0"/>
      </w:tblPr>
      <w:tblGrid>
        <w:gridCol w:w="680"/>
        <w:gridCol w:w="6350"/>
        <w:gridCol w:w="907"/>
      </w:tblGrid>
      <w:tr>
        <w:tc>
          <w:tcPr>
            <w:tcW w:type="dxa" w:w="680"/>
            <w:vAlign w:val="center"/>
            <w:tcBorders>
              <w:top w:val="nil" w:sz="4" w:space="0" w:color="000000"/>
              <w:left w:val="nil" w:sz="4" w:space="0" w:color="000000"/>
              <w:bottom w:val="nil" w:sz="4" w:space="0" w:color="000000"/>
              <w:right w:val="nil" w:sz="4" w:space="0" w:color="000000"/>
            </w:tcBorders>
          </w:tcPr>
          <w:p>
            <w:pPr>
              <w:spacing w:after="0" w:before="0"/>
            </w:pPr>
          </w:p>
        </w:tc>
        <w:tc>
          <w:tcPr>
            <w:tcW w:type="dxa" w:w="6350"/>
            <w:vAlign w:val="center"/>
            <w:tcBorders>
              <w:top w:val="nil" w:sz="4" w:space="0" w:color="000000"/>
              <w:left w:val="nil" w:sz="4" w:space="0" w:color="000000"/>
              <w:bottom w:val="nil" w:sz="4" w:space="0" w:color="000000"/>
              <w:right w:val="nil" w:sz="4" w:space="0" w:color="000000"/>
            </w:tcBorders>
          </w:tcPr>
          <w:p>
            <w:pPr>
              <w:spacing w:after="0" w:before="0"/>
              <w:jc w:val="center"/>
            </w:pPr>
            <m:oMathPara>
              <m:oMathParaPr>
                <m:jc m:val="center"/>
              </m:oMathParaPr>
              <m:oMath>
                <m:r>
                  <m:t>C</m:t>
                </m:r>
                <m:r>
                  <m:t>R</m:t>
                </m:r>
                <m:r>
                  <m:rPr>
                    <m:sty m:val="p"/>
                  </m:rPr>
                  <m:t>=</m:t>
                </m:r>
                <m:f>
                  <m:fPr>
                    <m:type m:val="bar"/>
                  </m:fPr>
                  <m:num>
                    <m:r>
                      <m:t>C</m:t>
                    </m:r>
                    <m:r>
                      <m:t>I</m:t>
                    </m:r>
                  </m:num>
                  <m:den>
                    <m:r>
                      <m:t>R</m:t>
                    </m:r>
                    <m:r>
                      <m:t>I</m:t>
                    </m:r>
                  </m:den>
                </m:f>
              </m:oMath>
            </m:oMathPara>
          </w:p>
        </w:tc>
        <w:tc>
          <w:tcPr>
            <w:tcW w:type="dxa" w:w="907"/>
            <w:vAlign w:val="center"/>
            <w:tcBorders>
              <w:top w:val="nil" w:sz="4" w:space="0" w:color="000000"/>
              <w:left w:val="nil" w:sz="4" w:space="0" w:color="000000"/>
              <w:bottom w:val="nil" w:sz="4" w:space="0" w:color="000000"/>
              <w:right w:val="nil" w:sz="4" w:space="0" w:color="000000"/>
            </w:tcBorders>
          </w:tcPr>
          <w:p>
            <w:pPr>
              <w:spacing w:after="0" w:before="0"/>
              <w:jc w:val="right"/>
            </w:pPr>
            <w:r>
              <w:rPr>
                <w:rFonts w:ascii="Times New Roman" w:hAnsi="Times New Roman"/>
                <w:sz w:val="24"/>
              </w:rPr>
              <w:t>(3.6)</w:t>
            </w:r>
          </w:p>
        </w:tc>
      </w:tr>
    </w:tbl>
    <w:p>
      <w:pPr>
        <w:pStyle w:val="BodyText"/>
      </w:pPr>
      <w:r>
        <w:t xml:space="preserve">Untuk</w:t>
      </w:r>
      <w:r>
        <w:t xml:space="preserve"> </w:t>
      </w:r>
      <m:oMath>
        <m:r>
          <m:t>n</m:t>
        </m:r>
        <m:r>
          <m:rPr>
            <m:sty m:val="p"/>
          </m:rPr>
          <m:t>=</m:t>
        </m:r>
        <m:r>
          <m:t>4</m:t>
        </m:r>
      </m:oMath>
      <w:r>
        <w:t xml:space="preserve">, RI = 0,90. Matriks dinyatakan konsisten bila CR &lt; 0,1.</w:t>
      </w:r>
    </w:p>
    <w:p>
      <w:pPr>
        <w:pStyle w:val="Caption"/>
        <w:keepNext/>
      </w:pPr>
      <w:r>
        <w:rPr>
          <w:rFonts w:ascii="Times New Roman" w:hAnsi="Times New Roman"/>
          <w:sz w:val="22"/>
        </w:rPr>
        <w:t xml:space="preserve">Tabel 3.3 Random Index (RI)</w:t>
      </w:r>
    </w:p>
    <w:tbl>
      <w:tblPr>
        <w:tblStyle w:val="Table"/>
        <w:tblW w:type="auto" w:w="0"/>
        <w:jc w:val="center"/>
        <w:tblLook w:firstRow="1" w:lastRow="0" w:firstColumn="0" w:lastColumn="0" w:noHBand="0" w:noVBand="0" w:val="0020"/>
        <w:tblLayout w:type="fixed"/>
      </w:tblPr>
      <w:tblGrid>
        <w:gridCol w:w="1323"/>
        <w:gridCol w:w="1323"/>
        <w:gridCol w:w="1323"/>
        <w:gridCol w:w="1323"/>
        <w:gridCol w:w="1323"/>
        <w:gridCol w:w="1323"/>
      </w:tblGrid>
      <w:tr>
        <w:trPr>
          <w:tblHeader w:val="on"/>
          <w:cantSplit/>
          <w:tblHeader/>
        </w:trPr>
        <w:tc>
          <w:tcPr>
            <w:tcW w:type="dxa" w:w="1323"/>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n</w:t>
            </w:r>
          </w:p>
        </w:tc>
        <w:tc>
          <w:tcPr>
            <w:tcW w:type="dxa" w:w="1323"/>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1</w:t>
            </w:r>
          </w:p>
        </w:tc>
        <w:tc>
          <w:tcPr>
            <w:tcW w:type="dxa" w:w="1323"/>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2</w:t>
            </w:r>
          </w:p>
        </w:tc>
        <w:tc>
          <w:tcPr>
            <w:tcW w:type="dxa" w:w="1323"/>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3</w:t>
            </w:r>
          </w:p>
        </w:tc>
        <w:tc>
          <w:tcPr>
            <w:tcW w:type="dxa" w:w="1323"/>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4</w:t>
            </w:r>
          </w:p>
        </w:tc>
        <w:tc>
          <w:tcPr>
            <w:tcW w:type="dxa" w:w="1323"/>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5</w:t>
            </w:r>
          </w:p>
        </w:tc>
      </w:tr>
      <w:tr>
        <w:trPr>
          <w:cantSplit/>
        </w:trPr>
        <w:tc>
          <w:tcPr>
            <w:tcW w:type="dxa" w:w="132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RI</w:t>
            </w:r>
          </w:p>
        </w:tc>
        <w:tc>
          <w:tcPr>
            <w:tcW w:type="dxa" w:w="132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0</w:t>
            </w:r>
          </w:p>
        </w:tc>
        <w:tc>
          <w:tcPr>
            <w:tcW w:type="dxa" w:w="132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0</w:t>
            </w:r>
          </w:p>
        </w:tc>
        <w:tc>
          <w:tcPr>
            <w:tcW w:type="dxa" w:w="132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0,58</w:t>
            </w:r>
          </w:p>
        </w:tc>
        <w:tc>
          <w:tcPr>
            <w:tcW w:type="dxa" w:w="132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0,90</w:t>
            </w:r>
          </w:p>
        </w:tc>
        <w:tc>
          <w:tcPr>
            <w:tcW w:type="dxa" w:w="132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1,12</w:t>
            </w:r>
          </w:p>
        </w:tc>
      </w:tr>
    </w:tbl>
    <w:bookmarkEnd w:id="9"/>
    <w:bookmarkStart w:id="10" w:name="X42c76848beff9242d881af97ab83219688da503"/>
    <w:p>
      <w:pPr>
        <w:pStyle w:val="Heading2"/>
      </w:pPr>
      <w:r>
        <w:t xml:space="preserve">3.5.2 Kriteria, Alternatif, dan Penilaian Narasumber</w:t>
      </w:r>
    </w:p>
    <w:p>
      <w:pPr>
        <w:pStyle w:val="FirstParagraph"/>
      </w:pPr>
      <w:r>
        <w:t xml:space="preserve">Kriteria dan arahnya terhadap skor ditunjukkan Tabel 3.4. Skor tinggi berarti area makin perlu dioptimalkan.</w:t>
      </w:r>
    </w:p>
    <w:p>
      <w:pPr>
        <w:pStyle w:val="Caption"/>
        <w:keepNext/>
      </w:pPr>
      <w:r>
        <w:rPr>
          <w:rFonts w:ascii="Times New Roman" w:hAnsi="Times New Roman"/>
          <w:sz w:val="22"/>
        </w:rPr>
        <w:t xml:space="preserve">Tabel 3.4 Kriteria penilaian</w:t>
      </w:r>
    </w:p>
    <w:tbl>
      <w:tblPr>
        <w:tblStyle w:val="Table"/>
        <w:tblW w:type="pct" w:w="5000"/>
        <w:jc w:val="center"/>
        <w:tblLayout w:type="fixed"/>
        <w:tblLook w:firstRow="1" w:lastRow="0" w:firstColumn="0" w:lastColumn="0" w:noHBand="0" w:noVBand="0" w:val="0020"/>
        <w:tblLayout w:type="fixed"/>
      </w:tblPr>
      <w:tblGrid>
        <w:gridCol w:w="582"/>
        <w:gridCol w:w="1688"/>
        <w:gridCol w:w="899"/>
        <w:gridCol w:w="3288"/>
        <w:gridCol w:w="1481"/>
      </w:tblGrid>
      <w:tr>
        <w:trPr>
          <w:tblHeader w:val="on"/>
          <w:cantSplit/>
          <w:tblHeader/>
        </w:trPr>
        <w:tc>
          <w:tcPr>
            <w:tcW w:type="dxa" w:w="582"/>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Simbol</w:t>
            </w:r>
          </w:p>
        </w:tc>
        <w:tc>
          <w:tcPr>
            <w:tcW w:type="dxa" w:w="1688"/>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Kriteria</w:t>
            </w:r>
          </w:p>
        </w:tc>
        <w:tc>
          <w:tcPr>
            <w:tcW w:type="dxa" w:w="899"/>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Satuan</w:t>
            </w:r>
          </w:p>
        </w:tc>
        <w:tc>
          <w:tcPr>
            <w:tcW w:type="dxa" w:w="3288"/>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Arah terhadap skor</w:t>
            </w:r>
          </w:p>
        </w:tc>
        <w:tc>
          <w:tcPr>
            <w:tcW w:type="dxa" w:w="1481"/>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Sumber data</w:t>
            </w:r>
          </w:p>
        </w:tc>
      </w:tr>
      <w:tr>
        <w:trPr>
          <w:cantSplit/>
        </w:trPr>
        <w:tc>
          <w:tcPr>
            <w:tcW w:type="dxa" w:w="58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KE</w:t>
            </w:r>
          </w:p>
        </w:tc>
        <w:tc>
          <w:tcPr>
            <w:tcW w:type="dxa" w:w="168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Konsumsi Energi</w:t>
            </w:r>
          </w:p>
        </w:tc>
        <w:tc>
          <w:tcPr>
            <w:tcW w:type="dxa" w:w="8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kWh/bulan</w:t>
            </w:r>
          </w:p>
        </w:tc>
        <w:tc>
          <w:tcPr>
            <w:tcW w:type="dxa" w:w="328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Makin tinggi, skor makin tinggi</w:t>
            </w:r>
          </w:p>
        </w:tc>
        <w:tc>
          <w:tcPr>
            <w:tcW w:type="dxa" w:w="148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Input bulanan area</w:t>
            </w:r>
          </w:p>
        </w:tc>
      </w:tr>
      <w:tr>
        <w:trPr>
          <w:cantSplit/>
        </w:trPr>
        <w:tc>
          <w:tcPr>
            <w:tcW w:type="dxa" w:w="58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BL</w:t>
            </w:r>
          </w:p>
        </w:tc>
        <w:tc>
          <w:tcPr>
            <w:tcW w:type="dxa" w:w="168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Biaya Listrik</w:t>
            </w:r>
          </w:p>
        </w:tc>
        <w:tc>
          <w:tcPr>
            <w:tcW w:type="dxa" w:w="8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Rp/bulan</w:t>
            </w:r>
          </w:p>
        </w:tc>
        <w:tc>
          <w:tcPr>
            <w:tcW w:type="dxa" w:w="328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Makin tinggi, skor makin tinggi</w:t>
            </w:r>
          </w:p>
        </w:tc>
        <w:tc>
          <w:tcPr>
            <w:tcW w:type="dxa" w:w="148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Input bulanan area</w:t>
            </w:r>
          </w:p>
        </w:tc>
      </w:tr>
      <w:tr>
        <w:trPr>
          <w:cantSplit/>
        </w:trPr>
        <w:tc>
          <w:tcPr>
            <w:tcW w:type="dxa" w:w="58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DO</w:t>
            </w:r>
          </w:p>
        </w:tc>
        <w:tc>
          <w:tcPr>
            <w:tcW w:type="dxa" w:w="168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Durasi Operasional</w:t>
            </w:r>
          </w:p>
        </w:tc>
        <w:tc>
          <w:tcPr>
            <w:tcW w:type="dxa" w:w="8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jam/bulan</w:t>
            </w:r>
          </w:p>
        </w:tc>
        <w:tc>
          <w:tcPr>
            <w:tcW w:type="dxa" w:w="328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Makin tinggi, skor makin tinggi</w:t>
            </w:r>
          </w:p>
        </w:tc>
        <w:tc>
          <w:tcPr>
            <w:tcW w:type="dxa" w:w="148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Input bulanan area</w:t>
            </w:r>
          </w:p>
        </w:tc>
      </w:tr>
      <w:tr>
        <w:trPr>
          <w:cantSplit/>
        </w:trPr>
        <w:tc>
          <w:tcPr>
            <w:tcW w:type="dxa" w:w="582"/>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FM</w:t>
            </w:r>
          </w:p>
        </w:tc>
        <w:tc>
          <w:tcPr>
            <w:tcW w:type="dxa" w:w="1688"/>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Frekuensi Maintenance</w:t>
            </w:r>
          </w:p>
        </w:tc>
        <w:tc>
          <w:tcPr>
            <w:tcW w:type="dxa" w:w="89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kali/bulan</w:t>
            </w:r>
          </w:p>
        </w:tc>
        <w:tc>
          <w:tcPr>
            <w:tcW w:type="dxa" w:w="3288"/>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Dibalik (1/v): makin jarang, skor makin tinggi</w:t>
            </w:r>
          </w:p>
        </w:tc>
        <w:tc>
          <w:tcPr>
            <w:tcW w:type="dxa" w:w="14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Input bulanan area</w:t>
            </w:r>
          </w:p>
        </w:tc>
      </w:tr>
    </w:tbl>
    <w:p>
      <w:pPr>
        <w:pStyle w:val="Caption"/>
        <w:keepNext/>
      </w:pPr>
      <w:r>
        <w:rPr>
          <w:rFonts w:ascii="Times New Roman" w:hAnsi="Times New Roman"/>
          <w:sz w:val="22"/>
        </w:rPr>
        <w:t xml:space="preserve">Tabel 3.5 Alternatif (area)</w:t>
      </w:r>
    </w:p>
    <w:tbl>
      <w:tblPr>
        <w:tblStyle w:val="Table"/>
        <w:tblW w:type="auto" w:w="0"/>
        <w:jc w:val="center"/>
        <w:tblLook w:firstRow="1" w:lastRow="0" w:firstColumn="0" w:lastColumn="0" w:noHBand="0" w:noVBand="0" w:val="0020"/>
        <w:tblLayout w:type="fixed"/>
      </w:tblPr>
      <w:tblGrid>
        <w:gridCol w:w="2098"/>
        <w:gridCol w:w="5839"/>
      </w:tblGrid>
      <w:tr>
        <w:trPr>
          <w:tblHeader w:val="on"/>
          <w:cantSplit/>
          <w:tblHeader/>
        </w:trPr>
        <w:tc>
          <w:tcPr>
            <w:tcW w:type="dxa" w:w="2098"/>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Simbol</w:t>
            </w:r>
          </w:p>
        </w:tc>
        <w:tc>
          <w:tcPr>
            <w:tcW w:type="dxa" w:w="5839"/>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Area</w:t>
            </w:r>
          </w:p>
        </w:tc>
      </w:tr>
      <w:tr>
        <w:trPr>
          <w:cantSplit/>
        </w:trPr>
        <w:tc>
          <w:tcPr>
            <w:tcW w:type="dxa" w:w="2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BS</w:t>
            </w:r>
          </w:p>
        </w:tc>
        <w:tc>
          <w:tcPr>
            <w:tcW w:type="dxa" w:w="583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Basement</w:t>
            </w:r>
          </w:p>
        </w:tc>
      </w:tr>
      <w:tr>
        <w:trPr>
          <w:cantSplit/>
        </w:trPr>
        <w:tc>
          <w:tcPr>
            <w:tcW w:type="dxa" w:w="2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LG</w:t>
            </w:r>
          </w:p>
        </w:tc>
        <w:tc>
          <w:tcPr>
            <w:tcW w:type="dxa" w:w="583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Lower Ground</w:t>
            </w:r>
          </w:p>
        </w:tc>
      </w:tr>
      <w:tr>
        <w:trPr>
          <w:cantSplit/>
        </w:trPr>
        <w:tc>
          <w:tcPr>
            <w:tcW w:type="dxa" w:w="2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GF</w:t>
            </w:r>
          </w:p>
        </w:tc>
        <w:tc>
          <w:tcPr>
            <w:tcW w:type="dxa" w:w="583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Ground Floor</w:t>
            </w:r>
          </w:p>
        </w:tc>
      </w:tr>
      <w:tr>
        <w:trPr>
          <w:cantSplit/>
        </w:trPr>
        <w:tc>
          <w:tcPr>
            <w:tcW w:type="dxa" w:w="2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UG</w:t>
            </w:r>
          </w:p>
        </w:tc>
        <w:tc>
          <w:tcPr>
            <w:tcW w:type="dxa" w:w="583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Upper Ground</w:t>
            </w:r>
          </w:p>
        </w:tc>
      </w:tr>
      <w:tr>
        <w:trPr>
          <w:cantSplit/>
        </w:trPr>
        <w:tc>
          <w:tcPr>
            <w:tcW w:type="dxa" w:w="2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1F</w:t>
            </w:r>
          </w:p>
        </w:tc>
        <w:tc>
          <w:tcPr>
            <w:tcW w:type="dxa" w:w="583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Lantai 1 (1st Floor)</w:t>
            </w:r>
          </w:p>
        </w:tc>
      </w:tr>
      <w:tr>
        <w:trPr>
          <w:cantSplit/>
        </w:trPr>
        <w:tc>
          <w:tcPr>
            <w:tcW w:type="dxa" w:w="2098"/>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2F</w:t>
            </w:r>
          </w:p>
        </w:tc>
        <w:tc>
          <w:tcPr>
            <w:tcW w:type="dxa" w:w="583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Lantai 2 (2nd Floor)</w:t>
            </w:r>
          </w:p>
        </w:tc>
      </w:tr>
    </w:tbl>
    <w:p>
      <w:pPr>
        <w:pStyle w:val="BodyText"/>
      </w:pPr>
      <w:r>
        <w:t xml:space="preserve">Aturan data input: (1) satu record per area per bulan; (2) setiap nilai berupa bilangan bulat ≥ 0 karena formulir hanya menerima digit; (3) record diinput oleh staf penanggung jawab area; (4) luas area (m²) ikut dicatat tetapi tidak dipakai dalam perhitungan AHP.</w:t>
      </w:r>
    </w:p>
    <w:p>
      <w:pPr>
        <w:pStyle w:val="BodyText"/>
      </w:pPr>
      <w:r>
        <w:t xml:space="preserve">Penilaian kepentingan kriteria diperoleh dari kuesioner tiga narasumber. Jawaban kuesioner A</w:t>
      </w:r>
      <w:r>
        <w:rPr>
          <w:i/>
          <w:iCs/>
        </w:rPr>
        <w:t xml:space="preserve">n</w:t>
      </w:r>
      <w:r>
        <w:t xml:space="preserve"> </w:t>
      </w:r>
      <w:r>
        <w:t xml:space="preserve">berarti kriteria kiri lebih penting dengan nilai</w:t>
      </w:r>
      <w:r>
        <w:t xml:space="preserve"> </w:t>
      </w:r>
      <w:r>
        <w:rPr>
          <w:i/>
          <w:iCs/>
        </w:rPr>
        <w:t xml:space="preserve">n</w:t>
      </w:r>
      <w:r>
        <w:t xml:space="preserve">, sedangkan B</w:t>
      </w:r>
      <w:r>
        <w:rPr>
          <w:i/>
          <w:iCs/>
        </w:rPr>
        <w:t xml:space="preserve">n</w:t>
      </w:r>
      <w:r>
        <w:t xml:space="preserve"> </w:t>
      </w:r>
      <w:r>
        <w:t xml:space="preserve">berarti kriteria kanan lebih penting sehingga nilai yang disimpan 1/</w:t>
      </w:r>
      <w:r>
        <w:rPr>
          <w:i/>
          <w:iCs/>
        </w:rPr>
        <w:t xml:space="preserve">n</w:t>
      </w:r>
      <w:r>
        <w:t xml:space="preserve">. Matriks 4×4 tiap narasumber dibentuk dari enam nilai tersebut dengan Persamaan 3.1.</w:t>
      </w:r>
    </w:p>
    <w:p>
      <w:pPr>
        <w:pStyle w:val="Caption"/>
        <w:keepNext/>
      </w:pPr>
      <w:r>
        <w:rPr>
          <w:rFonts w:ascii="Times New Roman" w:hAnsi="Times New Roman"/>
          <w:sz w:val="22"/>
        </w:rPr>
        <w:t xml:space="preserve">Tabel 3.6 Narasumber dan nilai perbandingan berpasangan</w:t>
      </w:r>
    </w:p>
    <w:tbl>
      <w:tblPr>
        <w:tblStyle w:val="Table"/>
        <w:tblW w:type="pct" w:w="5000"/>
        <w:jc w:val="center"/>
        <w:tblLayout w:type="fixed"/>
        <w:tblLook w:firstRow="1" w:lastRow="0" w:firstColumn="0" w:lastColumn="0" w:noHBand="0" w:noVBand="0" w:val="0020"/>
        <w:tblLayout w:type="fixed"/>
      </w:tblPr>
      <w:tblGrid>
        <w:gridCol w:w="689"/>
        <w:gridCol w:w="2240"/>
        <w:gridCol w:w="2358"/>
        <w:gridCol w:w="2650"/>
      </w:tblGrid>
      <w:tr>
        <w:trPr>
          <w:tblHeader w:val="on"/>
          <w:cantSplit/>
          <w:tblHeader/>
        </w:trPr>
        <w:tc>
          <w:tcPr>
            <w:tcW w:type="dxa" w:w="689"/>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Pasangan</w:t>
            </w:r>
          </w:p>
        </w:tc>
        <w:tc>
          <w:tcPr>
            <w:tcW w:type="dxa" w:w="2240"/>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Ahmad Sopian (Assistant Manager)</w:t>
            </w:r>
          </w:p>
        </w:tc>
        <w:tc>
          <w:tcPr>
            <w:tcW w:type="dxa" w:w="2358"/>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Anggie Kusworo (Chief Engginering)</w:t>
            </w:r>
          </w:p>
        </w:tc>
        <w:tc>
          <w:tcPr>
            <w:tcW w:type="dxa" w:w="2650"/>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Agus Setiyanto (Supervisor Engineering)</w:t>
            </w:r>
          </w:p>
        </w:tc>
      </w:tr>
      <w:tr>
        <w:trPr>
          <w:cantSplit/>
        </w:trPr>
        <w:tc>
          <w:tcPr>
            <w:tcW w:type="dxa" w:w="68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KE–BL</w:t>
            </w:r>
          </w:p>
        </w:tc>
        <w:tc>
          <w:tcPr>
            <w:tcW w:type="dxa" w:w="2240"/>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B3 → 1/3</w:t>
            </w:r>
          </w:p>
        </w:tc>
        <w:tc>
          <w:tcPr>
            <w:tcW w:type="dxa" w:w="235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B2 → 1/2</w:t>
            </w:r>
          </w:p>
        </w:tc>
        <w:tc>
          <w:tcPr>
            <w:tcW w:type="dxa" w:w="2650"/>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B4 → 1/4</w:t>
            </w:r>
          </w:p>
        </w:tc>
      </w:tr>
      <w:tr>
        <w:trPr>
          <w:cantSplit/>
        </w:trPr>
        <w:tc>
          <w:tcPr>
            <w:tcW w:type="dxa" w:w="68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KE–DO</w:t>
            </w:r>
          </w:p>
        </w:tc>
        <w:tc>
          <w:tcPr>
            <w:tcW w:type="dxa" w:w="2240"/>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A3 → 3</w:t>
            </w:r>
          </w:p>
        </w:tc>
        <w:tc>
          <w:tcPr>
            <w:tcW w:type="dxa" w:w="235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A5 → 5</w:t>
            </w:r>
          </w:p>
        </w:tc>
        <w:tc>
          <w:tcPr>
            <w:tcW w:type="dxa" w:w="2650"/>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A4 → 4</w:t>
            </w:r>
          </w:p>
        </w:tc>
      </w:tr>
      <w:tr>
        <w:trPr>
          <w:cantSplit/>
        </w:trPr>
        <w:tc>
          <w:tcPr>
            <w:tcW w:type="dxa" w:w="68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KE–FM</w:t>
            </w:r>
          </w:p>
        </w:tc>
        <w:tc>
          <w:tcPr>
            <w:tcW w:type="dxa" w:w="2240"/>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A2 → 2</w:t>
            </w:r>
          </w:p>
        </w:tc>
        <w:tc>
          <w:tcPr>
            <w:tcW w:type="dxa" w:w="235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A3 → 3</w:t>
            </w:r>
          </w:p>
        </w:tc>
        <w:tc>
          <w:tcPr>
            <w:tcW w:type="dxa" w:w="2650"/>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A2 → 2</w:t>
            </w:r>
          </w:p>
        </w:tc>
      </w:tr>
      <w:tr>
        <w:trPr>
          <w:cantSplit/>
        </w:trPr>
        <w:tc>
          <w:tcPr>
            <w:tcW w:type="dxa" w:w="68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BL–DO</w:t>
            </w:r>
          </w:p>
        </w:tc>
        <w:tc>
          <w:tcPr>
            <w:tcW w:type="dxa" w:w="2240"/>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A7 → 7</w:t>
            </w:r>
          </w:p>
        </w:tc>
        <w:tc>
          <w:tcPr>
            <w:tcW w:type="dxa" w:w="235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A7 → 7</w:t>
            </w:r>
          </w:p>
        </w:tc>
        <w:tc>
          <w:tcPr>
            <w:tcW w:type="dxa" w:w="2650"/>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A9 → 9</w:t>
            </w:r>
          </w:p>
        </w:tc>
      </w:tr>
      <w:tr>
        <w:trPr>
          <w:cantSplit/>
        </w:trPr>
        <w:tc>
          <w:tcPr>
            <w:tcW w:type="dxa" w:w="68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BL–FM</w:t>
            </w:r>
          </w:p>
        </w:tc>
        <w:tc>
          <w:tcPr>
            <w:tcW w:type="dxa" w:w="2240"/>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A5 → 5</w:t>
            </w:r>
          </w:p>
        </w:tc>
        <w:tc>
          <w:tcPr>
            <w:tcW w:type="dxa" w:w="235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A5 → 5</w:t>
            </w:r>
          </w:p>
        </w:tc>
        <w:tc>
          <w:tcPr>
            <w:tcW w:type="dxa" w:w="2650"/>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A5 → 5</w:t>
            </w:r>
          </w:p>
        </w:tc>
      </w:tr>
      <w:tr>
        <w:trPr>
          <w:cantSplit/>
        </w:trPr>
        <w:tc>
          <w:tcPr>
            <w:tcW w:type="dxa" w:w="68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DO–FM</w:t>
            </w:r>
          </w:p>
        </w:tc>
        <w:tc>
          <w:tcPr>
            <w:tcW w:type="dxa" w:w="2240"/>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B2 → 1/2</w:t>
            </w:r>
          </w:p>
        </w:tc>
        <w:tc>
          <w:tcPr>
            <w:tcW w:type="dxa" w:w="2358"/>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B2 → 1/2</w:t>
            </w:r>
          </w:p>
        </w:tc>
        <w:tc>
          <w:tcPr>
            <w:tcW w:type="dxa" w:w="2650"/>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B3 → 1/3</w:t>
            </w:r>
          </w:p>
        </w:tc>
      </w:tr>
    </w:tbl>
    <w:p>
      <w:pPr>
        <w:pStyle w:val="BodyText"/>
      </w:pPr>
      <w:r>
        <w:t xml:space="preserve">Ketiga penilaian berstatus</w:t>
      </w:r>
      <w:r>
        <w:t xml:space="preserve"> </w:t>
      </w:r>
      <w:r>
        <w:rPr>
          <w:i/>
          <w:iCs/>
        </w:rPr>
        <w:t xml:space="preserve">final</w:t>
      </w:r>
      <w:r>
        <w:t xml:space="preserve">. Bobot kriteria tiap narasumber hasil Persamaan 3.2–3.3 ditunjukkan Tabel 3.7; uji konsistensinya disajikan pada subbab 3.5.5.1.</w:t>
      </w:r>
    </w:p>
    <w:p>
      <w:pPr>
        <w:pStyle w:val="Caption"/>
        <w:keepNext/>
      </w:pPr>
      <w:r>
        <w:rPr>
          <w:rFonts w:ascii="Times New Roman" w:hAnsi="Times New Roman"/>
          <w:sz w:val="22"/>
        </w:rPr>
        <w:t xml:space="preserve">Tabel 3.7 Bobot kriteria tiap narasumber</w:t>
      </w:r>
    </w:p>
    <w:tbl>
      <w:tblPr>
        <w:tblStyle w:val="Table"/>
        <w:tblW w:type="auto" w:w="0"/>
        <w:jc w:val="center"/>
        <w:tblLook w:firstRow="1" w:lastRow="0" w:firstColumn="0" w:lastColumn="0" w:noHBand="0" w:noVBand="0" w:val="0020"/>
        <w:tblLayout w:type="fixed"/>
      </w:tblPr>
      <w:tblGrid>
        <w:gridCol w:w="2694"/>
        <w:gridCol w:w="1311"/>
        <w:gridCol w:w="1311"/>
        <w:gridCol w:w="1311"/>
        <w:gridCol w:w="1311"/>
      </w:tblGrid>
      <w:tr>
        <w:trPr>
          <w:tblHeader w:val="on"/>
          <w:cantSplit/>
          <w:tblHeader/>
        </w:trPr>
        <w:tc>
          <w:tcPr>
            <w:tcW w:type="dxa" w:w="2694"/>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Narasumber</w:t>
            </w:r>
          </w:p>
        </w:tc>
        <w:tc>
          <w:tcPr>
            <w:tcW w:type="dxa" w:w="1311"/>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KE</w:t>
            </w:r>
          </w:p>
        </w:tc>
        <w:tc>
          <w:tcPr>
            <w:tcW w:type="dxa" w:w="1311"/>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BL</w:t>
            </w:r>
          </w:p>
        </w:tc>
        <w:tc>
          <w:tcPr>
            <w:tcW w:type="dxa" w:w="1311"/>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DO</w:t>
            </w:r>
          </w:p>
        </w:tc>
        <w:tc>
          <w:tcPr>
            <w:tcW w:type="dxa" w:w="1311"/>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FM</w:t>
            </w:r>
          </w:p>
        </w:tc>
      </w:tr>
      <w:tr>
        <w:trPr>
          <w:cantSplit/>
        </w:trPr>
        <w:tc>
          <w:tcPr>
            <w:tcW w:type="dxa" w:w="269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Ahmad Sopian</w:t>
            </w:r>
          </w:p>
        </w:tc>
        <w:tc>
          <w:tcPr>
            <w:tcW w:type="dxa" w:w="131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0,2180</w:t>
            </w:r>
          </w:p>
        </w:tc>
        <w:tc>
          <w:tcPr>
            <w:tcW w:type="dxa" w:w="131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0,5860</w:t>
            </w:r>
          </w:p>
        </w:tc>
        <w:tc>
          <w:tcPr>
            <w:tcW w:type="dxa" w:w="131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0,0725</w:t>
            </w:r>
          </w:p>
        </w:tc>
        <w:tc>
          <w:tcPr>
            <w:tcW w:type="dxa" w:w="131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0,1236</w:t>
            </w:r>
          </w:p>
        </w:tc>
      </w:tr>
      <w:tr>
        <w:trPr>
          <w:cantSplit/>
        </w:trPr>
        <w:tc>
          <w:tcPr>
            <w:tcW w:type="dxa" w:w="269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Anggie Kusworo</w:t>
            </w:r>
          </w:p>
        </w:tc>
        <w:tc>
          <w:tcPr>
            <w:tcW w:type="dxa" w:w="131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0,3009</w:t>
            </w:r>
          </w:p>
        </w:tc>
        <w:tc>
          <w:tcPr>
            <w:tcW w:type="dxa" w:w="131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0,5254</w:t>
            </w:r>
          </w:p>
        </w:tc>
        <w:tc>
          <w:tcPr>
            <w:tcW w:type="dxa" w:w="131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0,0634</w:t>
            </w:r>
          </w:p>
        </w:tc>
        <w:tc>
          <w:tcPr>
            <w:tcW w:type="dxa" w:w="131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0,1104</w:t>
            </w:r>
          </w:p>
        </w:tc>
      </w:tr>
      <w:tr>
        <w:trPr>
          <w:cantSplit/>
        </w:trPr>
        <w:tc>
          <w:tcPr>
            <w:tcW w:type="dxa" w:w="2694"/>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Agus Setiyanto</w:t>
            </w:r>
          </w:p>
        </w:tc>
        <w:tc>
          <w:tcPr>
            <w:tcW w:type="dxa" w:w="131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0,2023</w:t>
            </w:r>
          </w:p>
        </w:tc>
        <w:tc>
          <w:tcPr>
            <w:tcW w:type="dxa" w:w="131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0,6164</w:t>
            </w:r>
          </w:p>
        </w:tc>
        <w:tc>
          <w:tcPr>
            <w:tcW w:type="dxa" w:w="131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0,0534</w:t>
            </w:r>
          </w:p>
        </w:tc>
        <w:tc>
          <w:tcPr>
            <w:tcW w:type="dxa" w:w="131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0,1279</w:t>
            </w:r>
          </w:p>
        </w:tc>
      </w:tr>
    </w:tbl>
    <w:bookmarkEnd w:id="10"/>
    <w:bookmarkStart w:id="11" w:name="aturan-perhitungan-dan-rekomendasi"/>
    <w:p>
      <w:pPr>
        <w:pStyle w:val="Heading2"/>
      </w:pPr>
      <w:r>
        <w:t xml:space="preserve">3.5.3 Aturan Perhitungan dan Rekomendasi</w:t>
      </w:r>
    </w:p>
    <w:p>
      <w:pPr>
        <w:pStyle w:val="FirstParagraph"/>
      </w:pPr>
      <w:r>
        <w:rPr>
          <w:b/>
          <w:bCs/>
        </w:rPr>
        <w:t xml:space="preserve">Penggabungan narasumber.</w:t>
      </w:r>
      <w:r>
        <w:t xml:space="preserve"> </w:t>
      </w:r>
      <w:r>
        <w:t xml:space="preserve">Hanya penilaian berstatus</w:t>
      </w:r>
      <w:r>
        <w:t xml:space="preserve"> </w:t>
      </w:r>
      <w:r>
        <w:rPr>
          <w:i/>
          <w:iCs/>
        </w:rPr>
        <w:t xml:space="preserve">final</w:t>
      </w:r>
      <w:r>
        <w:t xml:space="preserve"> </w:t>
      </w:r>
      <w:r>
        <w:t xml:space="preserve">yang digabungkan. Untuk</w:t>
      </w:r>
      <w:r>
        <w:t xml:space="preserve"> </w:t>
      </w:r>
      <m:oMath>
        <m:r>
          <m:t>K</m:t>
        </m:r>
      </m:oMath>
      <w:r>
        <w:t xml:space="preserve"> </w:t>
      </w:r>
      <w:r>
        <w:t xml:space="preserve">narasumber, setiap sel segitiga atas dirata-ratakan secara geometrik dan segitiga bawah diisi resiprokalnya, sehingga matriks gabungan tetap resiprokal:</w:t>
      </w:r>
    </w:p>
    <w:tbl>
      <w:tblPr>
        <w:tblW w:type="auto" w:w="0"/>
        <w:jc w:val="center"/>
        <w:tblLook w:firstColumn="1" w:firstRow="1" w:lastColumn="0" w:lastRow="0" w:noHBand="0" w:noVBand="1" w:val="04A0"/>
      </w:tblPr>
      <w:tblGrid>
        <w:gridCol w:w="680"/>
        <w:gridCol w:w="6350"/>
        <w:gridCol w:w="907"/>
      </w:tblGrid>
      <w:tr>
        <w:tc>
          <w:tcPr>
            <w:tcW w:type="dxa" w:w="680"/>
            <w:vAlign w:val="center"/>
            <w:tcBorders>
              <w:top w:val="nil" w:sz="4" w:space="0" w:color="000000"/>
              <w:left w:val="nil" w:sz="4" w:space="0" w:color="000000"/>
              <w:bottom w:val="nil" w:sz="4" w:space="0" w:color="000000"/>
              <w:right w:val="nil" w:sz="4" w:space="0" w:color="000000"/>
            </w:tcBorders>
          </w:tcPr>
          <w:p>
            <w:pPr>
              <w:spacing w:after="0" w:before="0"/>
            </w:pPr>
          </w:p>
        </w:tc>
        <w:tc>
          <w:tcPr>
            <w:tcW w:type="dxa" w:w="6350"/>
            <w:vAlign w:val="center"/>
            <w:tcBorders>
              <w:top w:val="nil" w:sz="4" w:space="0" w:color="000000"/>
              <w:left w:val="nil" w:sz="4" w:space="0" w:color="000000"/>
              <w:bottom w:val="nil" w:sz="4" w:space="0" w:color="000000"/>
              <w:right w:val="nil" w:sz="4" w:space="0" w:color="000000"/>
            </w:tcBorders>
          </w:tcPr>
          <w:p>
            <w:pPr>
              <w:spacing w:after="0" w:before="0"/>
              <w:jc w:val="center"/>
            </w:pPr>
            <m:oMathPara>
              <m:oMathParaPr>
                <m:jc m:val="center"/>
              </m:oMathParaPr>
              <m:oMath>
                <m:sSub>
                  <m:e>
                    <m:r>
                      <m:t>g</m:t>
                    </m:r>
                  </m:e>
                  <m:sub>
                    <m:r>
                      <m:t>i</m:t>
                    </m:r>
                    <m:r>
                      <m:t>j</m:t>
                    </m:r>
                  </m:sub>
                </m:sSub>
                <m:r>
                  <m:rPr>
                    <m:sty m:val="p"/>
                  </m:rPr>
                  <m:t>=</m:t>
                </m:r>
                <m:sSup>
                  <m:e>
                    <m:d>
                      <m:dPr>
                        <m:begChr m:val="("/>
                        <m:sepChr m:val=""/>
                        <m:endChr m:val=")"/>
                        <m:grow/>
                      </m:dPr>
                      <m:e>
                        <m:nary>
                          <m:naryPr>
                            <m:chr m:val="∏"/>
                            <m:limLoc m:val="undOvr"/>
                            <m:subHide m:val="off"/>
                            <m:supHide m:val="off"/>
                          </m:naryPr>
                          <m:sub>
                            <m:r>
                              <m:t>k</m:t>
                            </m:r>
                            <m:r>
                              <m:rPr>
                                <m:sty m:val="p"/>
                              </m:rPr>
                              <m:t>=</m:t>
                            </m:r>
                            <m:r>
                              <m:t>1</m:t>
                            </m:r>
                          </m:sub>
                          <m:sup>
                            <m:r>
                              <m:t>K</m:t>
                            </m:r>
                          </m:sup>
                          <m:e>
                            <m:sSubSup>
                              <m:e>
                                <m:r>
                                  <m:t>a</m:t>
                                </m:r>
                              </m:e>
                              <m:sub>
                                <m:r>
                                  <m:t>i</m:t>
                                </m:r>
                                <m:r>
                                  <m:t>j</m:t>
                                </m:r>
                              </m:sub>
                              <m:sup>
                                <m:r>
                                  <m:rPr>
                                    <m:sty m:val="p"/>
                                  </m:rPr>
                                  <m:t>(</m:t>
                                </m:r>
                                <m:r>
                                  <m:t>k</m:t>
                                </m:r>
                                <m:r>
                                  <m:rPr>
                                    <m:sty m:val="p"/>
                                  </m:rPr>
                                  <m:t>)</m:t>
                                </m:r>
                              </m:sup>
                            </m:sSubSup>
                          </m:e>
                        </m:nary>
                      </m:e>
                    </m:d>
                  </m:e>
                  <m:sup>
                    <m:r>
                      <m:t>1</m:t>
                    </m:r>
                    <m:r>
                      <m:rPr>
                        <m:sty m:val="p"/>
                      </m:rPr>
                      <m:t>/</m:t>
                    </m:r>
                    <m:r>
                      <m:t>K</m:t>
                    </m:r>
                  </m:sup>
                </m:sSup>
                <m:r>
                  <m:t> </m:t>
                </m:r>
                <m:r>
                  <m:rPr>
                    <m:sty m:val="p"/>
                  </m:rPr>
                  <m:t>(</m:t>
                </m:r>
                <m:r>
                  <m:t>i</m:t>
                </m:r>
                <m:r>
                  <m:rPr>
                    <m:sty m:val="p"/>
                  </m:rPr>
                  <m:t>&lt;</m:t>
                </m:r>
                <m:r>
                  <m:t>j</m:t>
                </m:r>
                <m:r>
                  <m:rPr>
                    <m:sty m:val="p"/>
                  </m:rPr>
                  <m:t>)</m:t>
                </m:r>
                <m:r>
                  <m:rPr>
                    <m:sty m:val="p"/>
                  </m:rPr>
                  <m:t>,</m:t>
                </m:r>
                <m:r>
                  <m:t>  </m:t>
                </m:r>
                <m:sSub>
                  <m:e>
                    <m:r>
                      <m:t>g</m:t>
                    </m:r>
                  </m:e>
                  <m:sub>
                    <m:r>
                      <m:t>j</m:t>
                    </m:r>
                    <m:r>
                      <m:t>i</m:t>
                    </m:r>
                  </m:sub>
                </m:sSub>
                <m:r>
                  <m:rPr>
                    <m:sty m:val="p"/>
                  </m:rPr>
                  <m:t>=</m:t>
                </m:r>
                <m:f>
                  <m:fPr>
                    <m:type m:val="bar"/>
                  </m:fPr>
                  <m:num>
                    <m:r>
                      <m:t>1</m:t>
                    </m:r>
                  </m:num>
                  <m:den>
                    <m:sSub>
                      <m:e>
                        <m:r>
                          <m:t>g</m:t>
                        </m:r>
                      </m:e>
                      <m:sub>
                        <m:r>
                          <m:t>i</m:t>
                        </m:r>
                        <m:r>
                          <m:t>j</m:t>
                        </m:r>
                      </m:sub>
                    </m:sSub>
                  </m:den>
                </m:f>
                <m:r>
                  <m:rPr>
                    <m:sty m:val="p"/>
                  </m:rPr>
                  <m:t>,</m:t>
                </m:r>
                <m:r>
                  <m:t>  </m:t>
                </m:r>
                <m:sSub>
                  <m:e>
                    <m:r>
                      <m:t>g</m:t>
                    </m:r>
                  </m:e>
                  <m:sub>
                    <m:r>
                      <m:t>i</m:t>
                    </m:r>
                    <m:r>
                      <m:t>i</m:t>
                    </m:r>
                  </m:sub>
                </m:sSub>
                <m:r>
                  <m:rPr>
                    <m:sty m:val="p"/>
                  </m:rPr>
                  <m:t>=</m:t>
                </m:r>
                <m:r>
                  <m:t>1</m:t>
                </m:r>
              </m:oMath>
            </m:oMathPara>
          </w:p>
        </w:tc>
        <w:tc>
          <w:tcPr>
            <w:tcW w:type="dxa" w:w="907"/>
            <w:vAlign w:val="center"/>
            <w:tcBorders>
              <w:top w:val="nil" w:sz="4" w:space="0" w:color="000000"/>
              <w:left w:val="nil" w:sz="4" w:space="0" w:color="000000"/>
              <w:bottom w:val="nil" w:sz="4" w:space="0" w:color="000000"/>
              <w:right w:val="nil" w:sz="4" w:space="0" w:color="000000"/>
            </w:tcBorders>
          </w:tcPr>
          <w:p>
            <w:pPr>
              <w:spacing w:after="0" w:before="0"/>
              <w:jc w:val="right"/>
            </w:pPr>
            <w:r>
              <w:rPr>
                <w:rFonts w:ascii="Times New Roman" w:hAnsi="Times New Roman"/>
                <w:sz w:val="24"/>
              </w:rPr>
              <w:t>(3.7)</w:t>
            </w:r>
          </w:p>
        </w:tc>
      </w:tr>
    </w:tbl>
    <w:p>
      <w:pPr>
        <w:pStyle w:val="BodyText"/>
      </w:pPr>
      <w:r>
        <w:t xml:space="preserve">Bobot dan konsistensi matriks gabungan dihitung dengan Persamaan 3.2–3.6.</w:t>
      </w:r>
    </w:p>
    <w:p>
      <w:pPr>
        <w:pStyle w:val="BodyText"/>
      </w:pPr>
      <w:r>
        <w:rPr>
          <w:b/>
          <w:bCs/>
        </w:rPr>
        <w:t xml:space="preserve">Prioritas lokal alternatif.</w:t>
      </w:r>
      <w:r>
        <w:t xml:space="preserve"> </w:t>
      </w:r>
      <w:r>
        <w:t xml:space="preserve">Area tidak dibandingkan berpasangan. Untuk setiap kriteria, nilai data bulanan</w:t>
      </w:r>
      <w:r>
        <w:t xml:space="preserve"> </w:t>
      </w:r>
      <m:oMath>
        <m:r>
          <m:t>x</m:t>
        </m:r>
      </m:oMath>
      <w:r>
        <w:t xml:space="preserve"> </w:t>
      </w:r>
      <w:r>
        <w:t xml:space="preserve">diubah menjadi nilai prioritas</w:t>
      </w:r>
      <w:r>
        <w:t xml:space="preserve"> </w:t>
      </w:r>
      <m:oMath>
        <m:r>
          <m:t>p</m:t>
        </m:r>
        <m:r>
          <m:t>v</m:t>
        </m:r>
      </m:oMath>
      <w:r>
        <w:t xml:space="preserve">, lalu dinormalisasi terhadap jumlah seluruh area (</w:t>
      </w:r>
      <w:r>
        <w:rPr>
          <w:i/>
          <w:iCs/>
        </w:rPr>
        <w:t xml:space="preserve">absolute measurement</w:t>
      </w:r>
      <w:r>
        <w:t xml:space="preserve">):</w:t>
      </w:r>
    </w:p>
    <w:tbl>
      <w:tblPr>
        <w:tblW w:type="auto" w:w="0"/>
        <w:jc w:val="center"/>
        <w:tblLook w:firstColumn="1" w:firstRow="1" w:lastColumn="0" w:lastRow="0" w:noHBand="0" w:noVBand="1" w:val="04A0"/>
      </w:tblPr>
      <w:tblGrid>
        <w:gridCol w:w="680"/>
        <w:gridCol w:w="6350"/>
        <w:gridCol w:w="907"/>
      </w:tblGrid>
      <w:tr>
        <w:tc>
          <w:tcPr>
            <w:tcW w:type="dxa" w:w="680"/>
            <w:vAlign w:val="center"/>
            <w:tcBorders>
              <w:top w:val="nil" w:sz="4" w:space="0" w:color="000000"/>
              <w:left w:val="nil" w:sz="4" w:space="0" w:color="000000"/>
              <w:bottom w:val="nil" w:sz="4" w:space="0" w:color="000000"/>
              <w:right w:val="nil" w:sz="4" w:space="0" w:color="000000"/>
            </w:tcBorders>
          </w:tcPr>
          <w:p>
            <w:pPr>
              <w:spacing w:after="0" w:before="0"/>
            </w:pPr>
          </w:p>
        </w:tc>
        <w:tc>
          <w:tcPr>
            <w:tcW w:type="dxa" w:w="6350"/>
            <w:vAlign w:val="center"/>
            <w:tcBorders>
              <w:top w:val="nil" w:sz="4" w:space="0" w:color="000000"/>
              <w:left w:val="nil" w:sz="4" w:space="0" w:color="000000"/>
              <w:bottom w:val="nil" w:sz="4" w:space="0" w:color="000000"/>
              <w:right w:val="nil" w:sz="4" w:space="0" w:color="000000"/>
            </w:tcBorders>
          </w:tcPr>
          <w:p>
            <w:pPr>
              <w:spacing w:after="0" w:before="0"/>
              <w:jc w:val="center"/>
            </w:pPr>
            <m:oMathPara>
              <m:oMathParaPr>
                <m:jc m:val="center"/>
              </m:oMathParaPr>
              <m:oMath>
                <m:r>
                  <m:t>p</m:t>
                </m:r>
                <m:r>
                  <m:t>v</m:t>
                </m:r>
                <m:r>
                  <m:rPr>
                    <m:sty m:val="p"/>
                  </m:rPr>
                  <m:t>=</m:t>
                </m:r>
                <m:d>
                  <m:dPr>
                    <m:begChr m:val="{"/>
                    <m:sepChr m:val=""/>
                    <m:endChr m:val=""/>
                    <m:grow/>
                  </m:dPr>
                  <m:e>
                    <m:m>
                      <m:mPr>
                        <m:baseJc m:val="center"/>
                        <m:plcHide m:val="on"/>
                        <m:mcs>
                          <m:mc>
                            <m:mcPr>
                              <m:mcJc m:val="left"/>
                              <m:count m:val="1"/>
                            </m:mcPr>
                          </m:mc>
                          <m:mc>
                            <m:mcPr>
                              <m:mcJc m:val="left"/>
                              <m:count m:val="1"/>
                            </m:mcPr>
                          </m:mc>
                        </m:mcs>
                      </m:mPr>
                      <m:mr>
                        <m:e>
                          <m:r>
                            <m:t>x</m:t>
                          </m:r>
                        </m:e>
                        <m:e>
                          <m:r>
                            <m:rPr>
                              <m:nor/>
                              <m:sty m:val="p"/>
                            </m:rPr>
                            <m:t>untuk KE, BL, DO</m:t>
                          </m:r>
                        </m:e>
                      </m:mr>
                      <m:mr>
                        <m:e>
                          <m:r>
                            <m:t>1</m:t>
                          </m:r>
                          <m:r>
                            <m:rPr>
                              <m:sty m:val="p"/>
                            </m:rPr>
                            <m:t>/</m:t>
                          </m:r>
                          <m:r>
                            <m:t>x</m:t>
                          </m:r>
                        </m:e>
                        <m:e>
                          <m:r>
                            <m:rPr>
                              <m:nor/>
                              <m:sty m:val="p"/>
                            </m:rPr>
                            <m:t>untuk FM</m:t>
                          </m:r>
                          <m:r>
                            <m:rPr>
                              <m:sty m:val="p"/>
                            </m:rPr>
                            <m:t>,</m:t>
                          </m:r>
                          <m:r>
                            <m:t>x</m:t>
                          </m:r>
                          <m:r>
                            <m:rPr>
                              <m:sty m:val="p"/>
                            </m:rPr>
                            <m:t>&gt;</m:t>
                          </m:r>
                          <m:r>
                            <m:t>0</m:t>
                          </m:r>
                        </m:e>
                      </m:mr>
                      <m:mr>
                        <m:e>
                          <m:r>
                            <m:t>1</m:t>
                          </m:r>
                          <m:r>
                            <m:rPr>
                              <m:sty m:val="p"/>
                            </m:rPr>
                            <m:t>/</m:t>
                          </m:r>
                          <m:r>
                            <m:rPr>
                              <m:nor/>
                              <m:sty m:val="p"/>
                            </m:rPr>
                            <m:t>0,5</m:t>
                          </m:r>
                          <m:r>
                            <m:rPr>
                              <m:sty m:val="p"/>
                            </m:rPr>
                            <m:t>=</m:t>
                          </m:r>
                          <m:r>
                            <m:t>2</m:t>
                          </m:r>
                        </m:e>
                        <m:e>
                          <m:r>
                            <m:rPr>
                              <m:nor/>
                              <m:sty m:val="p"/>
                            </m:rPr>
                            <m:t>untuk FM</m:t>
                          </m:r>
                          <m:r>
                            <m:rPr>
                              <m:sty m:val="p"/>
                            </m:rPr>
                            <m:t>,</m:t>
                          </m:r>
                          <m:r>
                            <m:t>x</m:t>
                          </m:r>
                          <m:r>
                            <m:rPr>
                              <m:sty m:val="p"/>
                            </m:rPr>
                            <m:t>=</m:t>
                          </m:r>
                          <m:r>
                            <m:t>0</m:t>
                          </m:r>
                        </m:e>
                      </m:mr>
                    </m:m>
                  </m:e>
                </m:d>
              </m:oMath>
            </m:oMathPara>
          </w:p>
        </w:tc>
        <w:tc>
          <w:tcPr>
            <w:tcW w:type="dxa" w:w="907"/>
            <w:vAlign w:val="center"/>
            <w:tcBorders>
              <w:top w:val="nil" w:sz="4" w:space="0" w:color="000000"/>
              <w:left w:val="nil" w:sz="4" w:space="0" w:color="000000"/>
              <w:bottom w:val="nil" w:sz="4" w:space="0" w:color="000000"/>
              <w:right w:val="nil" w:sz="4" w:space="0" w:color="000000"/>
            </w:tcBorders>
          </w:tcPr>
          <w:p>
            <w:pPr>
              <w:spacing w:after="0" w:before="0"/>
              <w:jc w:val="right"/>
            </w:pPr>
            <w:r>
              <w:rPr>
                <w:rFonts w:ascii="Times New Roman" w:hAnsi="Times New Roman"/>
                <w:sz w:val="24"/>
              </w:rPr>
              <w:t>(3.8)</w:t>
            </w:r>
          </w:p>
        </w:tc>
      </w:tr>
    </w:tbl>
    <w:tbl>
      <w:tblPr>
        <w:tblW w:type="auto" w:w="0"/>
        <w:jc w:val="center"/>
        <w:tblLook w:firstColumn="1" w:firstRow="1" w:lastColumn="0" w:lastRow="0" w:noHBand="0" w:noVBand="1" w:val="04A0"/>
      </w:tblPr>
      <w:tblGrid>
        <w:gridCol w:w="680"/>
        <w:gridCol w:w="6350"/>
        <w:gridCol w:w="907"/>
      </w:tblGrid>
      <w:tr>
        <w:tc>
          <w:tcPr>
            <w:tcW w:type="dxa" w:w="680"/>
            <w:vAlign w:val="center"/>
            <w:tcBorders>
              <w:top w:val="nil" w:sz="4" w:space="0" w:color="000000"/>
              <w:left w:val="nil" w:sz="4" w:space="0" w:color="000000"/>
              <w:bottom w:val="nil" w:sz="4" w:space="0" w:color="000000"/>
              <w:right w:val="nil" w:sz="4" w:space="0" w:color="000000"/>
            </w:tcBorders>
          </w:tcPr>
          <w:p>
            <w:pPr>
              <w:spacing w:after="0" w:before="0"/>
            </w:pPr>
          </w:p>
        </w:tc>
        <w:tc>
          <w:tcPr>
            <w:tcW w:type="dxa" w:w="6350"/>
            <w:vAlign w:val="center"/>
            <w:tcBorders>
              <w:top w:val="nil" w:sz="4" w:space="0" w:color="000000"/>
              <w:left w:val="nil" w:sz="4" w:space="0" w:color="000000"/>
              <w:bottom w:val="nil" w:sz="4" w:space="0" w:color="000000"/>
              <w:right w:val="nil" w:sz="4" w:space="0" w:color="000000"/>
            </w:tcBorders>
          </w:tcPr>
          <w:p>
            <w:pPr>
              <w:spacing w:after="0" w:before="0"/>
              <w:jc w:val="center"/>
            </w:pPr>
            <m:oMathPara>
              <m:oMathParaPr>
                <m:jc m:val="center"/>
              </m:oMathParaPr>
              <m:oMath>
                <m:r>
                  <m:t>l</m:t>
                </m:r>
                <m:sSub>
                  <m:e>
                    <m:r>
                      <m:t>p</m:t>
                    </m:r>
                  </m:e>
                  <m:sub>
                    <m:r>
                      <m:t>a</m:t>
                    </m:r>
                    <m:r>
                      <m:rPr>
                        <m:sty m:val="p"/>
                      </m:rPr>
                      <m:t>,</m:t>
                    </m:r>
                    <m:r>
                      <m:t>k</m:t>
                    </m:r>
                  </m:sub>
                </m:sSub>
                <m:r>
                  <m:rPr>
                    <m:sty m:val="p"/>
                  </m:rPr>
                  <m:t>=</m:t>
                </m:r>
                <m:f>
                  <m:fPr>
                    <m:type m:val="bar"/>
                  </m:fPr>
                  <m:num>
                    <m:r>
                      <m:t>p</m:t>
                    </m:r>
                    <m:sSub>
                      <m:e>
                        <m:r>
                          <m:t>v</m:t>
                        </m:r>
                      </m:e>
                      <m:sub>
                        <m:r>
                          <m:t>a</m:t>
                        </m:r>
                        <m:r>
                          <m:rPr>
                            <m:sty m:val="p"/>
                          </m:rPr>
                          <m:t>,</m:t>
                        </m:r>
                        <m:r>
                          <m:t>k</m:t>
                        </m:r>
                      </m:sub>
                    </m:sSub>
                  </m:num>
                  <m:den>
                    <m:nary>
                      <m:naryPr>
                        <m:chr m:val="∑"/>
                        <m:limLoc m:val="undOvr"/>
                        <m:subHide m:val="off"/>
                        <m:supHide m:val="off"/>
                      </m:naryPr>
                      <m:sub>
                        <m:r>
                          <m:t>b</m:t>
                        </m:r>
                        <m:r>
                          <m:rPr>
                            <m:sty m:val="p"/>
                          </m:rPr>
                          <m:t>=</m:t>
                        </m:r>
                        <m:r>
                          <m:t>1</m:t>
                        </m:r>
                      </m:sub>
                      <m:sup>
                        <m:r>
                          <m:t>m</m:t>
                        </m:r>
                      </m:sup>
                      <m:e>
                        <m:r>
                          <m:t>p</m:t>
                        </m:r>
                      </m:e>
                    </m:nary>
                    <m:sSub>
                      <m:e>
                        <m:r>
                          <m:t>v</m:t>
                        </m:r>
                      </m:e>
                      <m:sub>
                        <m:r>
                          <m:t>b</m:t>
                        </m:r>
                        <m:r>
                          <m:rPr>
                            <m:sty m:val="p"/>
                          </m:rPr>
                          <m:t>,</m:t>
                        </m:r>
                        <m:r>
                          <m:t>k</m:t>
                        </m:r>
                      </m:sub>
                    </m:sSub>
                  </m:den>
                </m:f>
              </m:oMath>
            </m:oMathPara>
          </w:p>
        </w:tc>
        <w:tc>
          <w:tcPr>
            <w:tcW w:type="dxa" w:w="907"/>
            <w:vAlign w:val="center"/>
            <w:tcBorders>
              <w:top w:val="nil" w:sz="4" w:space="0" w:color="000000"/>
              <w:left w:val="nil" w:sz="4" w:space="0" w:color="000000"/>
              <w:bottom w:val="nil" w:sz="4" w:space="0" w:color="000000"/>
              <w:right w:val="nil" w:sz="4" w:space="0" w:color="000000"/>
            </w:tcBorders>
          </w:tcPr>
          <w:p>
            <w:pPr>
              <w:spacing w:after="0" w:before="0"/>
              <w:jc w:val="right"/>
            </w:pPr>
            <w:r>
              <w:rPr>
                <w:rFonts w:ascii="Times New Roman" w:hAnsi="Times New Roman"/>
                <w:sz w:val="24"/>
              </w:rPr>
              <w:t>(3.9)</w:t>
            </w:r>
          </w:p>
        </w:tc>
      </w:tr>
    </w:tbl>
    <w:p>
      <w:pPr>
        <w:pStyle w:val="BodyText"/>
      </w:pPr>
      <w:r>
        <w:t xml:space="preserve">dengan</w:t>
      </w:r>
      <w:r>
        <w:t xml:space="preserve"> </w:t>
      </w:r>
      <m:oMath>
        <m:r>
          <m:t>m</m:t>
        </m:r>
      </m:oMath>
      <w:r>
        <w:t xml:space="preserve"> </w:t>
      </w:r>
      <w:r>
        <w:t xml:space="preserve">= jumlah area. Bila jumlah</w:t>
      </w:r>
      <w:r>
        <w:t xml:space="preserve"> </w:t>
      </w:r>
      <m:oMath>
        <m:r>
          <m:t>p</m:t>
        </m:r>
        <m:r>
          <m:t>v</m:t>
        </m:r>
      </m:oMath>
      <w:r>
        <w:t xml:space="preserve"> </w:t>
      </w:r>
      <w:r>
        <w:t xml:space="preserve">suatu kriteria bernilai 0, setiap area memperoleh</w:t>
      </w:r>
      <w:r>
        <w:t xml:space="preserve"> </w:t>
      </w:r>
      <m:oMath>
        <m:r>
          <m:t>1</m:t>
        </m:r>
        <m:r>
          <m:rPr>
            <m:sty m:val="p"/>
          </m:rPr>
          <m:t>/</m:t>
        </m:r>
        <m:r>
          <m:t>m</m:t>
        </m:r>
      </m:oMath>
      <w:r>
        <w:t xml:space="preserve">. Pembalikan FM mencerminkan anggapan bahwa area yang jarang dirawat lebih berpotensi boros.</w:t>
      </w:r>
    </w:p>
    <w:p>
      <w:pPr>
        <w:pStyle w:val="BodyText"/>
      </w:pPr>
      <w:r>
        <w:rPr>
          <w:b/>
          <w:bCs/>
        </w:rPr>
        <w:t xml:space="preserve">Skor akhir dan peringkat.</w:t>
      </w:r>
      <w:r>
        <w:t xml:space="preserve"> </w:t>
      </w:r>
      <w:r>
        <w:t xml:space="preserve">Skor area adalah jumlah kontribusi tiap kriteria:</w:t>
      </w:r>
    </w:p>
    <w:tbl>
      <w:tblPr>
        <w:tblW w:type="auto" w:w="0"/>
        <w:jc w:val="center"/>
        <w:tblLook w:firstColumn="1" w:firstRow="1" w:lastColumn="0" w:lastRow="0" w:noHBand="0" w:noVBand="1" w:val="04A0"/>
      </w:tblPr>
      <w:tblGrid>
        <w:gridCol w:w="680"/>
        <w:gridCol w:w="6350"/>
        <w:gridCol w:w="907"/>
      </w:tblGrid>
      <w:tr>
        <w:tc>
          <w:tcPr>
            <w:tcW w:type="dxa" w:w="680"/>
            <w:vAlign w:val="center"/>
            <w:tcBorders>
              <w:top w:val="nil" w:sz="4" w:space="0" w:color="000000"/>
              <w:left w:val="nil" w:sz="4" w:space="0" w:color="000000"/>
              <w:bottom w:val="nil" w:sz="4" w:space="0" w:color="000000"/>
              <w:right w:val="nil" w:sz="4" w:space="0" w:color="000000"/>
            </w:tcBorders>
          </w:tcPr>
          <w:p>
            <w:pPr>
              <w:spacing w:after="0" w:before="0"/>
            </w:pPr>
          </w:p>
        </w:tc>
        <w:tc>
          <w:tcPr>
            <w:tcW w:type="dxa" w:w="6350"/>
            <w:vAlign w:val="center"/>
            <w:tcBorders>
              <w:top w:val="nil" w:sz="4" w:space="0" w:color="000000"/>
              <w:left w:val="nil" w:sz="4" w:space="0" w:color="000000"/>
              <w:bottom w:val="nil" w:sz="4" w:space="0" w:color="000000"/>
              <w:right w:val="nil" w:sz="4" w:space="0" w:color="000000"/>
            </w:tcBorders>
          </w:tcPr>
          <w:p>
            <w:pPr>
              <w:spacing w:after="0" w:before="0"/>
              <w:jc w:val="center"/>
            </w:pPr>
            <m:oMathPara>
              <m:oMathParaPr>
                <m:jc m:val="center"/>
              </m:oMathParaPr>
              <m:oMath>
                <m:sSub>
                  <m:e>
                    <m:r>
                      <m:t>S</m:t>
                    </m:r>
                  </m:e>
                  <m:sub>
                    <m:r>
                      <m:t>a</m:t>
                    </m:r>
                  </m:sub>
                </m:sSub>
                <m:r>
                  <m:rPr>
                    <m:sty m:val="p"/>
                  </m:rPr>
                  <m:t>=</m:t>
                </m:r>
                <m:nary>
                  <m:naryPr>
                    <m:chr m:val="∑"/>
                    <m:limLoc m:val="undOvr"/>
                    <m:subHide m:val="off"/>
                    <m:supHide m:val="off"/>
                  </m:naryPr>
                  <m:sub>
                    <m:r>
                      <m:t>k</m:t>
                    </m:r>
                    <m:r>
                      <m:rPr>
                        <m:sty m:val="p"/>
                      </m:rPr>
                      <m:t>=</m:t>
                    </m:r>
                    <m:r>
                      <m:t>1</m:t>
                    </m:r>
                  </m:sub>
                  <m:sup>
                    <m:r>
                      <m:t>4</m:t>
                    </m:r>
                  </m:sup>
                  <m:e>
                    <m:sSub>
                      <m:e>
                        <m:r>
                          <m:t>w</m:t>
                        </m:r>
                      </m:e>
                      <m:sub>
                        <m:r>
                          <m:t>k</m:t>
                        </m:r>
                      </m:sub>
                    </m:sSub>
                  </m:e>
                </m:nary>
                <m:r>
                  <m:t> </m:t>
                </m:r>
                <m:r>
                  <m:t>l</m:t>
                </m:r>
                <m:sSub>
                  <m:e>
                    <m:r>
                      <m:t>p</m:t>
                    </m:r>
                  </m:e>
                  <m:sub>
                    <m:r>
                      <m:t>a</m:t>
                    </m:r>
                    <m:r>
                      <m:rPr>
                        <m:sty m:val="p"/>
                      </m:rPr>
                      <m:t>,</m:t>
                    </m:r>
                    <m:r>
                      <m:t>k</m:t>
                    </m:r>
                  </m:sub>
                </m:sSub>
                <m:r>
                  <m:rPr>
                    <m:sty m:val="p"/>
                  </m:rPr>
                  <m:t>,</m:t>
                </m:r>
                <m:r>
                  <m:t>  </m:t>
                </m:r>
                <m:nary>
                  <m:naryPr>
                    <m:chr m:val="∑"/>
                    <m:limLoc m:val="undOvr"/>
                    <m:subHide m:val="off"/>
                    <m:supHide m:val="off"/>
                  </m:naryPr>
                  <m:sub>
                    <m:r>
                      <m:t>a</m:t>
                    </m:r>
                    <m:r>
                      <m:rPr>
                        <m:sty m:val="p"/>
                      </m:rPr>
                      <m:t>=</m:t>
                    </m:r>
                    <m:r>
                      <m:t>1</m:t>
                    </m:r>
                  </m:sub>
                  <m:sup>
                    <m:r>
                      <m:t>m</m:t>
                    </m:r>
                  </m:sup>
                  <m:e>
                    <m:sSub>
                      <m:e>
                        <m:r>
                          <m:t>S</m:t>
                        </m:r>
                      </m:e>
                      <m:sub>
                        <m:r>
                          <m:t>a</m:t>
                        </m:r>
                      </m:sub>
                    </m:sSub>
                  </m:e>
                </m:nary>
                <m:r>
                  <m:rPr>
                    <m:sty m:val="p"/>
                  </m:rPr>
                  <m:t>=</m:t>
                </m:r>
                <m:r>
                  <m:t>1</m:t>
                </m:r>
              </m:oMath>
            </m:oMathPara>
          </w:p>
        </w:tc>
        <w:tc>
          <w:tcPr>
            <w:tcW w:type="dxa" w:w="907"/>
            <w:vAlign w:val="center"/>
            <w:tcBorders>
              <w:top w:val="nil" w:sz="4" w:space="0" w:color="000000"/>
              <w:left w:val="nil" w:sz="4" w:space="0" w:color="000000"/>
              <w:bottom w:val="nil" w:sz="4" w:space="0" w:color="000000"/>
              <w:right w:val="nil" w:sz="4" w:space="0" w:color="000000"/>
            </w:tcBorders>
          </w:tcPr>
          <w:p>
            <w:pPr>
              <w:spacing w:after="0" w:before="0"/>
              <w:jc w:val="right"/>
            </w:pPr>
            <w:r>
              <w:rPr>
                <w:rFonts w:ascii="Times New Roman" w:hAnsi="Times New Roman"/>
                <w:sz w:val="24"/>
              </w:rPr>
              <w:t>(3.10)</w:t>
            </w:r>
          </w:p>
        </w:tc>
      </w:tr>
    </w:tbl>
    <w:p>
      <w:pPr>
        <w:pStyle w:val="BodyText"/>
      </w:pPr>
      <w:r>
        <w:t xml:space="preserve">Area diurutkan menurun berdasarkan</w:t>
      </w:r>
      <w:r>
        <w:t xml:space="preserve"> </w:t>
      </w:r>
      <m:oMath>
        <m:sSub>
          <m:e>
            <m:r>
              <m:t>S</m:t>
            </m:r>
          </m:e>
          <m:sub>
            <m:r>
              <m:t>a</m:t>
            </m:r>
          </m:sub>
        </m:sSub>
      </m:oMath>
      <w:r>
        <w:t xml:space="preserve"> </w:t>
      </w:r>
      <w:r>
        <w:t xml:space="preserve">dan diberi peringkat 1, 2, … tanpa peringkat kembar. Pengurutan bersifat stabil: bila skor sama, urutan mengikuti urutan nama area (urutan masukan).</w:t>
      </w:r>
    </w:p>
    <w:p>
      <w:pPr>
        <w:pStyle w:val="BodyText"/>
      </w:pPr>
      <w:r>
        <w:rPr>
          <w:b/>
          <w:bCs/>
        </w:rPr>
        <w:t xml:space="preserve">Syarat Run AHP dan status narasumber.</w:t>
      </w:r>
      <w:r>
        <w:t xml:space="preserve"> </w:t>
      </w:r>
      <w:r>
        <w:t xml:space="preserve">Aturan sistem dirangkum dalam Tabel 3.8.</w:t>
      </w:r>
    </w:p>
    <w:p>
      <w:pPr>
        <w:pStyle w:val="Caption"/>
        <w:keepNext/>
      </w:pPr>
      <w:r>
        <w:rPr>
          <w:rFonts w:ascii="Times New Roman" w:hAnsi="Times New Roman"/>
          <w:sz w:val="22"/>
        </w:rPr>
        <w:t xml:space="preserve">Tabel 3.8 Syarat Run AHP dan aturan status narasumber</w:t>
      </w:r>
    </w:p>
    <w:tbl>
      <w:tblPr>
        <w:tblStyle w:val="Table"/>
        <w:tblW w:type="pct" w:w="5000"/>
        <w:jc w:val="center"/>
        <w:tblLayout w:type="fixed"/>
        <w:tblLook w:firstRow="1" w:lastRow="0" w:firstColumn="0" w:lastColumn="0" w:noHBand="0" w:noVBand="0" w:val="0020"/>
        <w:tblLayout w:type="fixed"/>
      </w:tblPr>
      <w:tblGrid>
        <w:gridCol w:w="2404"/>
        <w:gridCol w:w="5533"/>
      </w:tblGrid>
      <w:tr>
        <w:trPr>
          <w:tblHeader w:val="on"/>
          <w:cantSplit/>
          <w:tblHeader/>
        </w:trPr>
        <w:tc>
          <w:tcPr>
            <w:tcW w:type="dxa" w:w="2404"/>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Aturan</w:t>
            </w:r>
          </w:p>
        </w:tc>
        <w:tc>
          <w:tcPr>
            <w:tcW w:type="dxa" w:w="5533"/>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Ketentuan</w:t>
            </w:r>
          </w:p>
        </w:tc>
      </w:tr>
      <w:tr>
        <w:trPr>
          <w:cantSplit/>
        </w:trPr>
        <w:tc>
          <w:tcPr>
            <w:tcW w:type="dxa" w:w="240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Narasumber final minimal</w:t>
            </w:r>
          </w:p>
        </w:tc>
        <w:tc>
          <w:tcPr>
            <w:tcW w:type="dxa" w:w="55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2 narasumber</w:t>
            </w:r>
          </w:p>
        </w:tc>
      </w:tr>
      <w:tr>
        <w:trPr>
          <w:cantSplit/>
        </w:trPr>
        <w:tc>
          <w:tcPr>
            <w:tcW w:type="dxa" w:w="240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Narasumber maksimal</w:t>
            </w:r>
          </w:p>
        </w:tc>
        <w:tc>
          <w:tcPr>
            <w:tcW w:type="dxa" w:w="55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3 narasumber (draft dan final)</w:t>
            </w:r>
          </w:p>
        </w:tc>
      </w:tr>
      <w:tr>
        <w:trPr>
          <w:cantSplit/>
        </w:trPr>
        <w:tc>
          <w:tcPr>
            <w:tcW w:type="dxa" w:w="240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Konsistensi gabungan</w:t>
            </w:r>
          </w:p>
        </w:tc>
        <w:tc>
          <w:tcPr>
            <w:tcW w:type="dxa" w:w="55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CR gabungan &lt; 0,1</w:t>
            </w:r>
          </w:p>
        </w:tc>
      </w:tr>
      <w:tr>
        <w:trPr>
          <w:cantSplit/>
        </w:trPr>
        <w:tc>
          <w:tcPr>
            <w:tcW w:type="dxa" w:w="240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Kelengkapan data</w:t>
            </w:r>
          </w:p>
        </w:tc>
        <w:tc>
          <w:tcPr>
            <w:tcW w:type="dxa" w:w="55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Seluruh area memiliki record pada bulan yang dianalisis</w:t>
            </w:r>
          </w:p>
        </w:tc>
      </w:tr>
      <w:tr>
        <w:trPr>
          <w:cantSplit/>
        </w:trPr>
        <w:tc>
          <w:tcPr>
            <w:tcW w:type="dxa" w:w="240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Status final narasumber</w:t>
            </w:r>
          </w:p>
        </w:tc>
        <w:tc>
          <w:tcPr>
            <w:tcW w:type="dxa" w:w="55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Hanya bila CR penilaian narasumber &lt; 0,1; selain itu hanya draft</w:t>
            </w:r>
          </w:p>
        </w:tc>
      </w:tr>
      <w:tr>
        <w:trPr>
          <w:cantSplit/>
        </w:trPr>
        <w:tc>
          <w:tcPr>
            <w:tcW w:type="dxa" w:w="2404"/>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Penyimpanan hasil</w:t>
            </w:r>
          </w:p>
        </w:tc>
        <w:tc>
          <w:tcPr>
            <w:tcW w:type="dxa" w:w="55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Hasil disimpan per bulan beserta daftar narasumber yang dipakai</w:t>
            </w:r>
          </w:p>
        </w:tc>
      </w:tr>
    </w:tbl>
    <w:p>
      <w:pPr>
        <w:pStyle w:val="BodyText"/>
      </w:pPr>
      <w:r>
        <w:rPr>
          <w:b/>
          <w:bCs/>
        </w:rPr>
        <w:t xml:space="preserve">Aturan rekomendasi.</w:t>
      </w:r>
      <w:r>
        <w:t xml:space="preserve"> </w:t>
      </w:r>
      <w:r>
        <w:t xml:space="preserve">Rekomendasi dibuat untuk dua area teratas: (1) kriteria diurutkan menurut kontribusi terbesar; (2) kriteria urutan ke-1, ke-2, dan ke-3 berturut-turut mengambil tindakan indeks 0, 1, dan 2 dari Tabel 3.9; (3) bila tidak ada tindakan yang memuat kata</w:t>
      </w:r>
      <w:r>
        <w:t xml:space="preserve"> </w:t>
      </w:r>
      <w:r>
        <w:t xml:space="preserve">“maintenance”</w:t>
      </w:r>
      <w:r>
        <w:t xml:space="preserve">, tindakan ketiga diganti</w:t>
      </w:r>
      <w:r>
        <w:t xml:space="preserve"> </w:t>
      </w:r>
      <w:r>
        <w:t xml:space="preserve">“Tingkatkan frekuensi maintenance dari 1x → 2x per bulan.”</w:t>
      </w:r>
      <w:r>
        <w:t xml:space="preserve">; (4) potensi penghematan ditentukan oleh skor (Tabel 3.10).</w:t>
      </w:r>
    </w:p>
    <w:p>
      <w:pPr>
        <w:pStyle w:val="Caption"/>
        <w:keepNext/>
      </w:pPr>
      <w:r>
        <w:rPr>
          <w:rFonts w:ascii="Times New Roman" w:hAnsi="Times New Roman"/>
          <w:sz w:val="22"/>
        </w:rPr>
        <w:t xml:space="preserve">Tabel 3.9 Template tindakan rekomendasi</w:t>
      </w:r>
    </w:p>
    <w:tbl>
      <w:tblPr>
        <w:tblStyle w:val="Table"/>
        <w:tblW w:type="pct" w:w="5000"/>
        <w:jc w:val="center"/>
        <w:tblLayout w:type="fixed"/>
        <w:tblLook w:firstRow="1" w:lastRow="0" w:firstColumn="0" w:lastColumn="0" w:noHBand="0" w:noVBand="0" w:val="0020"/>
        <w:tblLayout w:type="fixed"/>
      </w:tblPr>
      <w:tblGrid>
        <w:gridCol w:w="409"/>
        <w:gridCol w:w="2583"/>
        <w:gridCol w:w="2489"/>
        <w:gridCol w:w="2457"/>
      </w:tblGrid>
      <w:tr>
        <w:trPr>
          <w:tblHeader w:val="on"/>
          <w:cantSplit/>
          <w:tblHeader/>
        </w:trPr>
        <w:tc>
          <w:tcPr>
            <w:tcW w:type="dxa" w:w="409"/>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Kriteria</w:t>
            </w:r>
          </w:p>
        </w:tc>
        <w:tc>
          <w:tcPr>
            <w:tcW w:type="dxa" w:w="2583"/>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Indeks 0</w:t>
            </w:r>
          </w:p>
        </w:tc>
        <w:tc>
          <w:tcPr>
            <w:tcW w:type="dxa" w:w="2489"/>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Indeks 1</w:t>
            </w:r>
          </w:p>
        </w:tc>
        <w:tc>
          <w:tcPr>
            <w:tcW w:type="dxa" w:w="2457"/>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Indeks 2</w:t>
            </w:r>
          </w:p>
        </w:tc>
      </w:tr>
      <w:tr>
        <w:trPr>
          <w:cantSplit/>
        </w:trPr>
        <w:tc>
          <w:tcPr>
            <w:tcW w:type="dxa" w:w="40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KE</w:t>
            </w:r>
          </w:p>
        </w:tc>
        <w:tc>
          <w:tcPr>
            <w:tcW w:type="dxa" w:w="258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Pasang motion sensor pada area koridor &amp; ruang non-tenant.</w:t>
            </w:r>
          </w:p>
        </w:tc>
        <w:tc>
          <w:tcPr>
            <w:tcW w:type="dxa" w:w="248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Evaluasi penggantian lampu down-light ke LED hemat daya (9W).</w:t>
            </w:r>
          </w:p>
        </w:tc>
        <w:tc>
          <w:tcPr>
            <w:tcW w:type="dxa" w:w="245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Aktifkan penjadwalan otomatis untuk mematikan beban saat off-peak.</w:t>
            </w:r>
          </w:p>
        </w:tc>
      </w:tr>
      <w:tr>
        <w:trPr>
          <w:cantSplit/>
        </w:trPr>
        <w:tc>
          <w:tcPr>
            <w:tcW w:type="dxa" w:w="40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BL</w:t>
            </w:r>
          </w:p>
        </w:tc>
        <w:tc>
          <w:tcPr>
            <w:tcW w:type="dxa" w:w="258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Tinjau ulang golongan tarif &amp; daya tersambung PLN terhadap beban riil.</w:t>
            </w:r>
          </w:p>
        </w:tc>
        <w:tc>
          <w:tcPr>
            <w:tcW w:type="dxa" w:w="248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Geser beban non-kritikal ke jam luar waktu beban puncak (LWBP).</w:t>
            </w:r>
          </w:p>
        </w:tc>
        <w:tc>
          <w:tcPr>
            <w:tcW w:type="dxa" w:w="245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Pasang sub-metering untuk memantau kontribusi biaya per zona.</w:t>
            </w:r>
          </w:p>
        </w:tc>
      </w:tr>
      <w:tr>
        <w:trPr>
          <w:cantSplit/>
        </w:trPr>
        <w:tc>
          <w:tcPr>
            <w:tcW w:type="dxa" w:w="40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DO</w:t>
            </w:r>
          </w:p>
        </w:tc>
        <w:tc>
          <w:tcPr>
            <w:tcW w:type="dxa" w:w="258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Atur ulang setpoint AC dari 22°C → 24°C pada jam 10.00–14.00.</w:t>
            </w:r>
          </w:p>
        </w:tc>
        <w:tc>
          <w:tcPr>
            <w:tcW w:type="dxa" w:w="248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Perpendek durasi operasional peralatan di luar jam kunjungan ramai.</w:t>
            </w:r>
          </w:p>
        </w:tc>
        <w:tc>
          <w:tcPr>
            <w:tcW w:type="dxa" w:w="245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Variabelkan kecepatan exhaust fan berdasarkan kadar CO₂.</w:t>
            </w:r>
          </w:p>
        </w:tc>
      </w:tr>
      <w:tr>
        <w:trPr>
          <w:cantSplit/>
        </w:trPr>
        <w:tc>
          <w:tcPr>
            <w:tcW w:type="dxa" w:w="40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FM</w:t>
            </w:r>
          </w:p>
        </w:tc>
        <w:tc>
          <w:tcPr>
            <w:tcW w:type="dxa" w:w="258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Tingkatkan frekuensi maintenance dari 1x → 2x per bulan.</w:t>
            </w:r>
          </w:p>
        </w:tc>
        <w:tc>
          <w:tcPr>
            <w:tcW w:type="dxa" w:w="248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Jadwalkan pembersihan filter AC &amp; coil secara berkala.</w:t>
            </w:r>
          </w:p>
        </w:tc>
        <w:tc>
          <w:tcPr>
            <w:tcW w:type="dxa" w:w="2457"/>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Lakukan audit kondisi peralatan untuk mencegah pemborosan energi.</w:t>
            </w:r>
          </w:p>
        </w:tc>
      </w:tr>
    </w:tbl>
    <w:p>
      <w:pPr>
        <w:pStyle w:val="Caption"/>
        <w:keepNext/>
      </w:pPr>
      <w:r>
        <w:rPr>
          <w:rFonts w:ascii="Times New Roman" w:hAnsi="Times New Roman"/>
          <w:sz w:val="22"/>
        </w:rPr>
        <w:t xml:space="preserve">Tabel 3.10 Potensi penghematan menurut skor</w:t>
      </w:r>
    </w:p>
    <w:tbl>
      <w:tblPr>
        <w:tblStyle w:val="Table"/>
        <w:tblW w:type="auto" w:w="0"/>
        <w:jc w:val="center"/>
        <w:tblLook w:firstRow="1" w:lastRow="0" w:firstColumn="0" w:lastColumn="0" w:noHBand="0" w:noVBand="0" w:val="0020"/>
        <w:tblLayout w:type="fixed"/>
      </w:tblPr>
      <w:tblGrid>
        <w:gridCol w:w="2404"/>
        <w:gridCol w:w="5533"/>
      </w:tblGrid>
      <w:tr>
        <w:trPr>
          <w:tblHeader w:val="on"/>
          <w:cantSplit/>
          <w:tblHeader/>
        </w:trPr>
        <w:tc>
          <w:tcPr>
            <w:tcW w:type="dxa" w:w="2404"/>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Skor area</w:t>
            </w:r>
          </w:p>
        </w:tc>
        <w:tc>
          <w:tcPr>
            <w:tcW w:type="dxa" w:w="5533"/>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Potensi penghematan</w:t>
            </w:r>
          </w:p>
        </w:tc>
      </w:tr>
      <w:tr>
        <w:trPr>
          <w:cantSplit/>
        </w:trPr>
        <w:tc>
          <w:tcPr>
            <w:tcW w:type="dxa" w:w="240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 0,30</w:t>
            </w:r>
          </w:p>
        </w:tc>
        <w:tc>
          <w:tcPr>
            <w:tcW w:type="dxa" w:w="55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~12–15% konsumsi bulanan</w:t>
            </w:r>
          </w:p>
        </w:tc>
      </w:tr>
      <w:tr>
        <w:trPr>
          <w:cantSplit/>
        </w:trPr>
        <w:tc>
          <w:tcPr>
            <w:tcW w:type="dxa" w:w="240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 0,22</w:t>
            </w:r>
          </w:p>
        </w:tc>
        <w:tc>
          <w:tcPr>
            <w:tcW w:type="dxa" w:w="55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~8–10% konsumsi bulanan</w:t>
            </w:r>
          </w:p>
        </w:tc>
      </w:tr>
      <w:tr>
        <w:trPr>
          <w:cantSplit/>
        </w:trPr>
        <w:tc>
          <w:tcPr>
            <w:tcW w:type="dxa" w:w="240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 0,15</w:t>
            </w:r>
          </w:p>
        </w:tc>
        <w:tc>
          <w:tcPr>
            <w:tcW w:type="dxa" w:w="55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~5–7% konsumsi bulanan</w:t>
            </w:r>
          </w:p>
        </w:tc>
      </w:tr>
      <w:tr>
        <w:trPr>
          <w:cantSplit/>
        </w:trPr>
        <w:tc>
          <w:tcPr>
            <w:tcW w:type="dxa" w:w="2404"/>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&lt; 0,15</w:t>
            </w:r>
          </w:p>
        </w:tc>
        <w:tc>
          <w:tcPr>
            <w:tcW w:type="dxa" w:w="55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~3–5% konsumsi bulanan</w:t>
            </w:r>
          </w:p>
        </w:tc>
      </w:tr>
    </w:tbl>
    <w:p>
      <w:pPr>
        <w:pStyle w:val="BodyText"/>
      </w:pPr>
      <w:r>
        <w:rPr>
          <w:b/>
          <w:bCs/>
        </w:rPr>
        <w:t xml:space="preserve">Catatan Implementasi.</w:t>
      </w:r>
      <w:r>
        <w:t xml:space="preserve"> </w:t>
      </w:r>
      <w:r>
        <w:t xml:space="preserve">Perbedaan implementasi sistem terhadap AHP standar dan keterbatasannya:</w:t>
      </w:r>
    </w:p>
    <w:p>
      <w:pPr>
        <w:pStyle w:val="Compact"/>
        <w:numPr>
          <w:ilvl w:val="0"/>
          <w:numId w:val="1001"/>
        </w:numPr>
      </w:pPr>
      <w:r>
        <w:t xml:space="preserve">Alternatif tidak dibandingkan berpasangan; prioritas lokal memakai normalisasi data (Persamaan 3.9), yaitu varian AHP</w:t>
      </w:r>
      <w:r>
        <w:t xml:space="preserve"> </w:t>
      </w:r>
      <w:r>
        <w:rPr>
          <w:i/>
          <w:iCs/>
        </w:rPr>
        <w:t xml:space="preserve">absolute measurement</w:t>
      </w:r>
      <w:r>
        <w:t xml:space="preserve">. Hasilnya setara dengan matriks alternatif yang konsisten sempurna sehingga CR alternatif tidak dihitung.</w:t>
      </w:r>
    </w:p>
    <w:p>
      <w:pPr>
        <w:pStyle w:val="Compact"/>
        <w:numPr>
          <w:ilvl w:val="0"/>
          <w:numId w:val="1001"/>
        </w:numPr>
      </w:pPr>
      <w:r>
        <w:t xml:space="preserve">Bobot dihitung dengan aproksimasi normalisasi kolom dan rata-rata baris, bukan eigenvector eksak.</w:t>
      </w:r>
    </w:p>
    <w:p>
      <w:pPr>
        <w:pStyle w:val="Compact"/>
        <w:numPr>
          <w:ilvl w:val="0"/>
          <w:numId w:val="1001"/>
        </w:numPr>
      </w:pPr>
      <w:r>
        <w:t xml:space="preserve">Kriteria FM dibalik (1/v) dan nilai 0 diperlakukan 0,5 kali/bulan; aturan ini adalah keputusan implementasi, bukan bagian AHP.</w:t>
      </w:r>
    </w:p>
    <w:p>
      <w:pPr>
        <w:pStyle w:val="Compact"/>
        <w:numPr>
          <w:ilvl w:val="0"/>
          <w:numId w:val="1001"/>
        </w:numPr>
      </w:pPr>
      <w:r>
        <w:t xml:space="preserve">Luas area tidak dipakai, sehingga area yang lebih luas cenderung bernilai KE dan BL lebih besar. KE dan BL juga saling berkaitan karena biaya dihitung dari pemakaian energi.</w:t>
      </w:r>
    </w:p>
    <w:p>
      <w:pPr>
        <w:pStyle w:val="Compact"/>
        <w:numPr>
          <w:ilvl w:val="0"/>
          <w:numId w:val="1001"/>
        </w:numPr>
      </w:pPr>
      <w:r>
        <w:t xml:space="preserve">Definisi Durasi Operasional pada penjelasan di aplikasi menyebut</w:t>
      </w:r>
      <w:r>
        <w:t xml:space="preserve"> </w:t>
      </w:r>
      <w:r>
        <w:t xml:space="preserve">“setiap harinya”</w:t>
      </w:r>
      <w:r>
        <w:t xml:space="preserve">, sedangkan label formulir hanya</w:t>
      </w:r>
      <w:r>
        <w:t xml:space="preserve"> </w:t>
      </w:r>
      <w:r>
        <w:t xml:space="preserve">“(jam)”</w:t>
      </w:r>
      <w:r>
        <w:t xml:space="preserve"> </w:t>
      </w:r>
      <w:r>
        <w:t xml:space="preserve">dan data yang diinput bernilai jam per bulan (360–465 jam). Dokumen ini memakai jam per bulan.</w:t>
      </w:r>
    </w:p>
    <w:p>
      <w:pPr>
        <w:pStyle w:val="Compact"/>
        <w:numPr>
          <w:ilvl w:val="0"/>
          <w:numId w:val="1001"/>
        </w:numPr>
      </w:pPr>
      <w:r>
        <w:t xml:space="preserve">Formulir hanya menerima bilangan bulat; nilai desimal dari sumber dibulatkan saat input (contoh: KE BS Juni 2026 37.109,26 kWh tersimpan 37.109 kWh).</w:t>
      </w:r>
    </w:p>
    <w:p>
      <w:pPr>
        <w:pStyle w:val="Compact"/>
        <w:numPr>
          <w:ilvl w:val="0"/>
          <w:numId w:val="1001"/>
        </w:numPr>
      </w:pPr>
      <w:r>
        <w:t xml:space="preserve">Rekomendasi berupa template tetap tanpa rujukan standar. Tindakan</w:t>
      </w:r>
      <w:r>
        <w:t xml:space="preserve"> </w:t>
      </w:r>
      <w:r>
        <w:t xml:space="preserve">“1x → 2x”</w:t>
      </w:r>
      <w:r>
        <w:t xml:space="preserve"> </w:t>
      </w:r>
      <w:r>
        <w:t xml:space="preserve">dapat muncul walaupun frekuensi maintenance area sudah lebih dari 1x per bulan.</w:t>
      </w:r>
    </w:p>
    <w:p>
      <w:pPr>
        <w:pStyle w:val="Compact"/>
        <w:numPr>
          <w:ilvl w:val="0"/>
          <w:numId w:val="1001"/>
        </w:numPr>
      </w:pPr>
      <w:r>
        <w:t xml:space="preserve">Hasil AHP disimpan sebagai snapshot; perubahan data atau narasumber setelah Run AHP baru berpengaruh setelah Run AHP diulang.</w:t>
      </w:r>
    </w:p>
    <w:p>
      <w:pPr>
        <w:pStyle w:val="Compact"/>
        <w:numPr>
          <w:ilvl w:val="0"/>
          <w:numId w:val="1001"/>
        </w:numPr>
      </w:pPr>
      <w:r>
        <w:t xml:space="preserve">Nilai disimpan dengan presisi penuh dan dibulatkan saat ditampilkan; dokumen ini memakai 4 angka desimal untuk bobot dan skor serta 5 angka desimal untuk λmax, CI, dan CR.</w:t>
      </w:r>
    </w:p>
    <w:bookmarkEnd w:id="11"/>
    <w:bookmarkStart w:id="12" w:name="X36a36bfcfbcf7e4c59890471ea66126df75f680"/>
    <w:p>
      <w:pPr>
        <w:pStyle w:val="Heading2"/>
      </w:pPr>
      <w:r>
        <w:t xml:space="preserve">3.5.4 Perhitungan AHP (Contoh Bulan September 2026)</w:t>
      </w:r>
    </w:p>
    <w:p>
      <w:pPr>
        <w:pStyle w:val="FirstParagraph"/>
      </w:pPr>
      <w:r>
        <w:t xml:space="preserve">Perhitungan lengkap dijabarkan untuk September 2026; bulan lain hanya diringkas pada Tabel 3.17.</w:t>
      </w:r>
    </w:p>
    <w:p>
      <w:pPr>
        <w:pStyle w:val="BodyText"/>
      </w:pPr>
      <w:r>
        <w:rPr>
          <w:b/>
          <w:bCs/>
        </w:rPr>
        <w:t xml:space="preserve">Matriks gabungan.</w:t>
      </w:r>
      <w:r>
        <w:t xml:space="preserve"> </w:t>
      </w:r>
      <w:r>
        <w:t xml:space="preserve">Setiap sel dihitung dengan Persamaan 3.7. Contoh sel KE–BL:</w:t>
      </w:r>
      <w:r>
        <w:t xml:space="preserve"> </w:t>
      </w:r>
      <w:r>
        <w:rPr>
          <w:i/>
          <w:iCs/>
        </w:rPr>
        <w:t xml:space="preserve">g</w:t>
      </w:r>
      <w:r>
        <w:rPr>
          <w:vertAlign w:val="subscript"/>
        </w:rPr>
        <w:t xml:space="preserve">12</w:t>
      </w:r>
      <w:r>
        <w:t xml:space="preserve"> </w:t>
      </w:r>
      <w:r>
        <w:t xml:space="preserve">= (1/3 × 1/2 × 1/4)</w:t>
      </w:r>
      <w:r>
        <w:rPr>
          <w:vertAlign w:val="superscript"/>
        </w:rPr>
        <w:t xml:space="preserve">1/3</w:t>
      </w:r>
      <w:r>
        <w:t xml:space="preserve"> </w:t>
      </w:r>
      <w:r>
        <w:t xml:space="preserve">= 0,3467 dan</w:t>
      </w:r>
      <w:r>
        <w:t xml:space="preserve"> </w:t>
      </w:r>
      <w:r>
        <w:rPr>
          <w:i/>
          <w:iCs/>
        </w:rPr>
        <w:t xml:space="preserve">g</w:t>
      </w:r>
      <w:r>
        <w:rPr>
          <w:vertAlign w:val="subscript"/>
        </w:rPr>
        <w:t xml:space="preserve">21</w:t>
      </w:r>
      <w:r>
        <w:t xml:space="preserve"> </w:t>
      </w:r>
      <w:r>
        <w:t xml:space="preserve">= 1/</w:t>
      </w:r>
      <w:r>
        <w:rPr>
          <w:i/>
          <w:iCs/>
        </w:rPr>
        <w:t xml:space="preserve">g</w:t>
      </w:r>
      <w:r>
        <w:rPr>
          <w:vertAlign w:val="subscript"/>
        </w:rPr>
        <w:t xml:space="preserve">12</w:t>
      </w:r>
      <w:r>
        <w:t xml:space="preserve"> </w:t>
      </w:r>
      <w:r>
        <w:t xml:space="preserve">= 2,8845. Hasil lengkap pada Tabel 3.11.</w:t>
      </w:r>
    </w:p>
    <w:p>
      <w:pPr>
        <w:pStyle w:val="Caption"/>
        <w:keepNext/>
      </w:pPr>
      <w:r>
        <w:rPr>
          <w:rFonts w:ascii="Times New Roman" w:hAnsi="Times New Roman"/>
          <w:sz w:val="22"/>
        </w:rPr>
        <w:t xml:space="preserve">Tabel 3.11 Matriks perbandingan berpasangan gabungan</w:t>
      </w:r>
    </w:p>
    <w:tbl>
      <w:tblPr>
        <w:tblStyle w:val="Table"/>
        <w:tblW w:type="pct" w:w="5000"/>
        <w:jc w:val="center"/>
        <w:tblLayout w:type="fixed"/>
        <w:tblLook w:firstRow="1" w:lastRow="0" w:firstColumn="0" w:lastColumn="0" w:noHBand="0" w:noVBand="0" w:val="0020"/>
        <w:tblLayout w:type="fixed"/>
      </w:tblPr>
      <w:tblGrid>
        <w:gridCol w:w="2407"/>
        <w:gridCol w:w="1336"/>
        <w:gridCol w:w="1336"/>
        <w:gridCol w:w="1523"/>
        <w:gridCol w:w="1336"/>
      </w:tblGrid>
      <w:tr>
        <w:trPr>
          <w:tblHeader w:val="on"/>
          <w:cantSplit/>
          <w:tblHeader/>
        </w:trPr>
        <w:tc>
          <w:tcPr>
            <w:tcW w:type="dxa" w:w="2407"/>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p>
        </w:tc>
        <w:tc>
          <w:tcPr>
            <w:tcW w:type="dxa" w:w="1336"/>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KE</w:t>
            </w:r>
          </w:p>
        </w:tc>
        <w:tc>
          <w:tcPr>
            <w:tcW w:type="dxa" w:w="1336"/>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BL</w:t>
            </w:r>
          </w:p>
        </w:tc>
        <w:tc>
          <w:tcPr>
            <w:tcW w:type="dxa" w:w="1523"/>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DO</w:t>
            </w:r>
          </w:p>
        </w:tc>
        <w:tc>
          <w:tcPr>
            <w:tcW w:type="dxa" w:w="1336"/>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FM</w:t>
            </w:r>
          </w:p>
        </w:tc>
      </w:tr>
      <w:tr>
        <w:trPr>
          <w:cantSplit/>
        </w:trPr>
        <w:tc>
          <w:tcPr>
            <w:tcW w:type="dxa" w:w="240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b/>
                <w:bCs/>
                <w:sz w:val="20"/>
              </w:rPr>
              <w:t xml:space="preserve">KE</w:t>
            </w:r>
          </w:p>
        </w:tc>
        <w:tc>
          <w:tcPr>
            <w:tcW w:type="dxa" w:w="133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1,0000</w:t>
            </w:r>
          </w:p>
        </w:tc>
        <w:tc>
          <w:tcPr>
            <w:tcW w:type="dxa" w:w="133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0,3467</w:t>
            </w:r>
          </w:p>
        </w:tc>
        <w:tc>
          <w:tcPr>
            <w:tcW w:type="dxa" w:w="152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3,9149</w:t>
            </w:r>
          </w:p>
        </w:tc>
        <w:tc>
          <w:tcPr>
            <w:tcW w:type="dxa" w:w="133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2,2894</w:t>
            </w:r>
          </w:p>
        </w:tc>
      </w:tr>
      <w:tr>
        <w:trPr>
          <w:cantSplit/>
        </w:trPr>
        <w:tc>
          <w:tcPr>
            <w:tcW w:type="dxa" w:w="240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b/>
                <w:bCs/>
                <w:sz w:val="20"/>
              </w:rPr>
              <w:t xml:space="preserve">BL</w:t>
            </w:r>
          </w:p>
        </w:tc>
        <w:tc>
          <w:tcPr>
            <w:tcW w:type="dxa" w:w="133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2,8845</w:t>
            </w:r>
          </w:p>
        </w:tc>
        <w:tc>
          <w:tcPr>
            <w:tcW w:type="dxa" w:w="133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1,0000</w:t>
            </w:r>
          </w:p>
        </w:tc>
        <w:tc>
          <w:tcPr>
            <w:tcW w:type="dxa" w:w="152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7,6117</w:t>
            </w:r>
          </w:p>
        </w:tc>
        <w:tc>
          <w:tcPr>
            <w:tcW w:type="dxa" w:w="133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5,0000</w:t>
            </w:r>
          </w:p>
        </w:tc>
      </w:tr>
      <w:tr>
        <w:trPr>
          <w:cantSplit/>
        </w:trPr>
        <w:tc>
          <w:tcPr>
            <w:tcW w:type="dxa" w:w="240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b/>
                <w:bCs/>
                <w:sz w:val="20"/>
              </w:rPr>
              <w:t xml:space="preserve">DO</w:t>
            </w:r>
          </w:p>
        </w:tc>
        <w:tc>
          <w:tcPr>
            <w:tcW w:type="dxa" w:w="133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0,2554</w:t>
            </w:r>
          </w:p>
        </w:tc>
        <w:tc>
          <w:tcPr>
            <w:tcW w:type="dxa" w:w="133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0,1314</w:t>
            </w:r>
          </w:p>
        </w:tc>
        <w:tc>
          <w:tcPr>
            <w:tcW w:type="dxa" w:w="152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1,0000</w:t>
            </w:r>
          </w:p>
        </w:tc>
        <w:tc>
          <w:tcPr>
            <w:tcW w:type="dxa" w:w="133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0,4368</w:t>
            </w:r>
          </w:p>
        </w:tc>
      </w:tr>
      <w:tr>
        <w:trPr>
          <w:cantSplit/>
        </w:trPr>
        <w:tc>
          <w:tcPr>
            <w:tcW w:type="dxa" w:w="240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b/>
                <w:bCs/>
                <w:sz w:val="20"/>
              </w:rPr>
              <w:t xml:space="preserve">FM</w:t>
            </w:r>
          </w:p>
        </w:tc>
        <w:tc>
          <w:tcPr>
            <w:tcW w:type="dxa" w:w="133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0,4368</w:t>
            </w:r>
          </w:p>
        </w:tc>
        <w:tc>
          <w:tcPr>
            <w:tcW w:type="dxa" w:w="133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0,2000</w:t>
            </w:r>
          </w:p>
        </w:tc>
        <w:tc>
          <w:tcPr>
            <w:tcW w:type="dxa" w:w="152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2,2894</w:t>
            </w:r>
          </w:p>
        </w:tc>
        <w:tc>
          <w:tcPr>
            <w:tcW w:type="dxa" w:w="133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1,0000</w:t>
            </w:r>
          </w:p>
        </w:tc>
      </w:tr>
      <w:tr>
        <w:trPr>
          <w:cantSplit/>
        </w:trPr>
        <w:tc>
          <w:tcPr>
            <w:tcW w:type="dxa" w:w="2407"/>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b/>
                <w:bCs/>
                <w:sz w:val="20"/>
              </w:rPr>
              <w:t xml:space="preserve">Jumlah kolom</w:t>
            </w:r>
          </w:p>
        </w:tc>
        <w:tc>
          <w:tcPr>
            <w:tcW w:type="dxa" w:w="133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b/>
                <w:bCs/>
                <w:sz w:val="20"/>
              </w:rPr>
              <w:t xml:space="preserve">4,5767</w:t>
            </w:r>
          </w:p>
        </w:tc>
        <w:tc>
          <w:tcPr>
            <w:tcW w:type="dxa" w:w="133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b/>
                <w:bCs/>
                <w:sz w:val="20"/>
              </w:rPr>
              <w:t xml:space="preserve">1,6781</w:t>
            </w:r>
          </w:p>
        </w:tc>
        <w:tc>
          <w:tcPr>
            <w:tcW w:type="dxa" w:w="152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b/>
                <w:bCs/>
                <w:sz w:val="20"/>
              </w:rPr>
              <w:t xml:space="preserve">14,8160</w:t>
            </w:r>
          </w:p>
        </w:tc>
        <w:tc>
          <w:tcPr>
            <w:tcW w:type="dxa" w:w="133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b/>
                <w:bCs/>
                <w:sz w:val="20"/>
              </w:rPr>
              <w:t xml:space="preserve">8,7262</w:t>
            </w:r>
          </w:p>
        </w:tc>
      </w:tr>
    </w:tbl>
    <w:p>
      <w:pPr>
        <w:pStyle w:val="BodyText"/>
      </w:pPr>
      <w:r>
        <w:rPr>
          <w:b/>
          <w:bCs/>
        </w:rPr>
        <w:t xml:space="preserve">Bobot dan konsistensi.</w:t>
      </w:r>
      <w:r>
        <w:t xml:space="preserve"> </w:t>
      </w:r>
      <w:r>
        <w:t xml:space="preserve">Normalisasi (Persamaan 3.2) dan bobot (Persamaan 3.3) ditunjukkan Tabel 3.12; λmax, CI, dan CR dihitung dengan Persamaan 3.4–3.6.</w:t>
      </w:r>
    </w:p>
    <w:p>
      <w:pPr>
        <w:pStyle w:val="Caption"/>
        <w:keepNext/>
      </w:pPr>
      <w:r>
        <w:rPr>
          <w:rFonts w:ascii="Times New Roman" w:hAnsi="Times New Roman"/>
          <w:sz w:val="22"/>
        </w:rPr>
        <w:t xml:space="preserve">Tabel 3.12 Matriks ternormalisasi, bobot, dan konsistensi gabungan</w:t>
      </w:r>
    </w:p>
    <w:tbl>
      <w:tblPr>
        <w:tblStyle w:val="Table"/>
        <w:tblW w:type="pct" w:w="5000"/>
        <w:jc w:val="center"/>
        <w:tblLayout w:type="fixed"/>
        <w:tblLook w:firstRow="1" w:lastRow="0" w:firstColumn="0" w:lastColumn="0" w:noHBand="0" w:noVBand="0" w:val="0020"/>
        <w:tblLayout w:type="fixed"/>
      </w:tblPr>
      <w:tblGrid>
        <w:gridCol w:w="566"/>
        <w:gridCol w:w="799"/>
        <w:gridCol w:w="799"/>
        <w:gridCol w:w="799"/>
        <w:gridCol w:w="799"/>
        <w:gridCol w:w="1441"/>
        <w:gridCol w:w="911"/>
        <w:gridCol w:w="799"/>
        <w:gridCol w:w="1021"/>
      </w:tblGrid>
      <w:tr>
        <w:trPr>
          <w:tblHeader w:val="on"/>
          <w:cantSplit/>
          <w:tblHeader/>
        </w:trPr>
        <w:tc>
          <w:tcPr>
            <w:tcW w:type="dxa" w:w="566"/>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p>
        </w:tc>
        <w:tc>
          <w:tcPr>
            <w:tcW w:type="dxa" w:w="799"/>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KE</w:t>
            </w:r>
          </w:p>
        </w:tc>
        <w:tc>
          <w:tcPr>
            <w:tcW w:type="dxa" w:w="799"/>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BL</w:t>
            </w:r>
          </w:p>
        </w:tc>
        <w:tc>
          <w:tcPr>
            <w:tcW w:type="dxa" w:w="799"/>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DO</w:t>
            </w:r>
          </w:p>
        </w:tc>
        <w:tc>
          <w:tcPr>
            <w:tcW w:type="dxa" w:w="799"/>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FM</w:t>
            </w:r>
          </w:p>
        </w:tc>
        <w:tc>
          <w:tcPr>
            <w:tcW w:type="dxa" w:w="1441"/>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Jumlah baris</w:t>
            </w:r>
          </w:p>
        </w:tc>
        <w:tc>
          <w:tcPr>
            <w:tcW w:type="dxa" w:w="911"/>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Bobot w</w:t>
            </w:r>
          </w:p>
        </w:tc>
        <w:tc>
          <w:tcPr>
            <w:tcW w:type="dxa" w:w="799"/>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(Aw)ᵢ</w:t>
            </w:r>
          </w:p>
        </w:tc>
        <w:tc>
          <w:tcPr>
            <w:tcW w:type="dxa" w:w="1021"/>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(Aw)ᵢ/wᵢ</w:t>
            </w:r>
          </w:p>
        </w:tc>
      </w:tr>
      <w:tr>
        <w:trPr>
          <w:cantSplit/>
        </w:trPr>
        <w:tc>
          <w:tcPr>
            <w:tcW w:type="dxa" w:w="56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b/>
                <w:bCs/>
                <w:sz w:val="19"/>
              </w:rPr>
              <w:t xml:space="preserve">KE</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0,2185</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0,2066</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0,2642</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0,2624</w:t>
            </w:r>
          </w:p>
        </w:tc>
        <w:tc>
          <w:tcPr>
            <w:tcW w:type="dxa" w:w="144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0,9517</w:t>
            </w:r>
          </w:p>
        </w:tc>
        <w:tc>
          <w:tcPr>
            <w:tcW w:type="dxa" w:w="91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b/>
                <w:bCs/>
                <w:sz w:val="19"/>
              </w:rPr>
              <w:t xml:space="preserve">0,2379</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0,9616</w:t>
            </w:r>
          </w:p>
        </w:tc>
        <w:tc>
          <w:tcPr>
            <w:tcW w:type="dxa" w:w="10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4,04147</w:t>
            </w:r>
          </w:p>
        </w:tc>
      </w:tr>
      <w:tr>
        <w:trPr>
          <w:cantSplit/>
        </w:trPr>
        <w:tc>
          <w:tcPr>
            <w:tcW w:type="dxa" w:w="56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b/>
                <w:bCs/>
                <w:sz w:val="19"/>
              </w:rPr>
              <w:t xml:space="preserve">BL</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0,6303</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0,5959</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0,5137</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0,5730</w:t>
            </w:r>
          </w:p>
        </w:tc>
        <w:tc>
          <w:tcPr>
            <w:tcW w:type="dxa" w:w="144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2,3129</w:t>
            </w:r>
          </w:p>
        </w:tc>
        <w:tc>
          <w:tcPr>
            <w:tcW w:type="dxa" w:w="91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b/>
                <w:bCs/>
                <w:sz w:val="19"/>
              </w:rPr>
              <w:t xml:space="preserve">0,5782</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2,3481</w:t>
            </w:r>
          </w:p>
        </w:tc>
        <w:tc>
          <w:tcPr>
            <w:tcW w:type="dxa" w:w="10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4,06080</w:t>
            </w:r>
          </w:p>
        </w:tc>
      </w:tr>
      <w:tr>
        <w:trPr>
          <w:cantSplit/>
        </w:trPr>
        <w:tc>
          <w:tcPr>
            <w:tcW w:type="dxa" w:w="56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b/>
                <w:bCs/>
                <w:sz w:val="19"/>
              </w:rPr>
              <w:t xml:space="preserve">DO</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0,0558</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0,0783</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0,0675</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0,0501</w:t>
            </w:r>
          </w:p>
        </w:tc>
        <w:tc>
          <w:tcPr>
            <w:tcW w:type="dxa" w:w="144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0,2517</w:t>
            </w:r>
          </w:p>
        </w:tc>
        <w:tc>
          <w:tcPr>
            <w:tcW w:type="dxa" w:w="91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b/>
                <w:bCs/>
                <w:sz w:val="19"/>
              </w:rPr>
              <w:t xml:space="preserve">0,0629</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0,2525</w:t>
            </w:r>
          </w:p>
        </w:tc>
        <w:tc>
          <w:tcPr>
            <w:tcW w:type="dxa" w:w="10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4,01310</w:t>
            </w:r>
          </w:p>
        </w:tc>
      </w:tr>
      <w:tr>
        <w:trPr>
          <w:cantSplit/>
        </w:trPr>
        <w:tc>
          <w:tcPr>
            <w:tcW w:type="dxa" w:w="56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b/>
                <w:bCs/>
                <w:sz w:val="19"/>
              </w:rPr>
              <w:t xml:space="preserve">FM</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19"/>
              </w:rPr>
              <w:t xml:space="preserve">0,0954</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19"/>
              </w:rPr>
              <w:t xml:space="preserve">0,1192</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19"/>
              </w:rPr>
              <w:t xml:space="preserve">0,1545</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19"/>
              </w:rPr>
              <w:t xml:space="preserve">0,1146</w:t>
            </w:r>
          </w:p>
        </w:tc>
        <w:tc>
          <w:tcPr>
            <w:tcW w:type="dxa" w:w="14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19"/>
              </w:rPr>
              <w:t xml:space="preserve">0,4837</w:t>
            </w:r>
          </w:p>
        </w:tc>
        <w:tc>
          <w:tcPr>
            <w:tcW w:type="dxa" w:w="91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b/>
                <w:bCs/>
                <w:sz w:val="19"/>
              </w:rPr>
              <w:t xml:space="preserve">0,1209</w:t>
            </w:r>
          </w:p>
        </w:tc>
        <w:tc>
          <w:tcPr>
            <w:tcW w:type="dxa" w:w="79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19"/>
              </w:rPr>
              <w:t xml:space="preserve">0,4845</w:t>
            </w:r>
          </w:p>
        </w:tc>
        <w:tc>
          <w:tcPr>
            <w:tcW w:type="dxa" w:w="102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19"/>
              </w:rPr>
              <w:t xml:space="preserve">4,00657</w:t>
            </w:r>
          </w:p>
        </w:tc>
      </w:tr>
    </w:tbl>
    <w:p>
      <w:pPr>
        <w:pStyle w:val="BodyText"/>
      </w:pPr>
      <w:r>
        <w:t xml:space="preserve">λmax = 4,03048; CI = (4,03048 − 4)/3 = 0,01016; CR = 0,01016/0,90 = 0,01129 &lt; 0,1, sehingga matriks gabungan konsisten. Bobot gabungan sama untuk seluruh bulan karena penilaian narasumber tidak berubah.</w:t>
      </w:r>
    </w:p>
    <w:p>
      <w:pPr>
        <w:pStyle w:val="BodyText"/>
      </w:pPr>
      <w:r>
        <w:rPr>
          <w:b/>
          <w:bCs/>
        </w:rPr>
        <w:t xml:space="preserve">Prioritas lokal.</w:t>
      </w:r>
      <w:r>
        <w:t xml:space="preserve"> </w:t>
      </w:r>
      <w:r>
        <w:t xml:space="preserve">Data input September 2026 pada Tabel 3.13. Kriteria KE dijabarkan penuh dengan Persamaan 3.8–3.9: total KE = 2.175.549 kWh, sehingga</w:t>
      </w:r>
      <w:r>
        <w:t xml:space="preserve"> </w:t>
      </w:r>
      <w:r>
        <w:rPr>
          <w:i/>
          <w:iCs/>
        </w:rPr>
        <w:t xml:space="preserve">lp</w:t>
      </w:r>
      <w:r>
        <w:rPr>
          <w:vertAlign w:val="subscript"/>
        </w:rPr>
        <w:t xml:space="preserve">1F,KE</w:t>
      </w:r>
      <w:r>
        <w:t xml:space="preserve"> </w:t>
      </w:r>
      <w:r>
        <w:t xml:space="preserve">= 524.542/2.175.549 = 0,2411.</w:t>
      </w:r>
    </w:p>
    <w:p>
      <w:pPr>
        <w:pStyle w:val="Caption"/>
        <w:keepNext/>
      </w:pPr>
      <w:r>
        <w:rPr>
          <w:rFonts w:ascii="Times New Roman" w:hAnsi="Times New Roman"/>
          <w:sz w:val="22"/>
        </w:rPr>
        <w:t xml:space="preserve">Tabel 3.13 Data input dan prioritas lokal kriteria KE, September 2026</w:t>
      </w:r>
    </w:p>
    <w:tbl>
      <w:tblPr>
        <w:tblStyle w:val="Table"/>
        <w:tblW w:type="pct" w:w="5000"/>
        <w:jc w:val="center"/>
        <w:tblLayout w:type="fixed"/>
        <w:tblLook w:firstRow="1" w:lastRow="0" w:firstColumn="0" w:lastColumn="0" w:noHBand="0" w:noVBand="0" w:val="0020"/>
        <w:tblLayout w:type="fixed"/>
      </w:tblPr>
      <w:tblGrid>
        <w:gridCol w:w="874"/>
        <w:gridCol w:w="1233"/>
        <w:gridCol w:w="1686"/>
        <w:gridCol w:w="1116"/>
        <w:gridCol w:w="1233"/>
        <w:gridCol w:w="1795"/>
      </w:tblGrid>
      <w:tr>
        <w:trPr>
          <w:tblHeader w:val="on"/>
          <w:cantSplit/>
          <w:tblHeader/>
        </w:trPr>
        <w:tc>
          <w:tcPr>
            <w:tcW w:type="dxa" w:w="874"/>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Area</w:t>
            </w:r>
          </w:p>
        </w:tc>
        <w:tc>
          <w:tcPr>
            <w:tcW w:type="dxa" w:w="1233"/>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KE (kWh)</w:t>
            </w:r>
          </w:p>
        </w:tc>
        <w:tc>
          <w:tcPr>
            <w:tcW w:type="dxa" w:w="1686"/>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BL (Rp)</w:t>
            </w:r>
          </w:p>
        </w:tc>
        <w:tc>
          <w:tcPr>
            <w:tcW w:type="dxa" w:w="1116"/>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DO (jam)</w:t>
            </w:r>
          </w:p>
        </w:tc>
        <w:tc>
          <w:tcPr>
            <w:tcW w:type="dxa" w:w="1233"/>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FM (kali)</w:t>
            </w:r>
          </w:p>
        </w:tc>
        <w:tc>
          <w:tcPr>
            <w:tcW w:type="dxa" w:w="1795"/>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lp KE = KE/ΣKE</w:t>
            </w:r>
          </w:p>
        </w:tc>
      </w:tr>
      <w:tr>
        <w:trPr>
          <w:cantSplit/>
        </w:trPr>
        <w:tc>
          <w:tcPr>
            <w:tcW w:type="dxa" w:w="87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1F</w:t>
            </w:r>
          </w:p>
        </w:tc>
        <w:tc>
          <w:tcPr>
            <w:tcW w:type="dxa" w:w="12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524.542</w:t>
            </w:r>
          </w:p>
        </w:tc>
        <w:tc>
          <w:tcPr>
            <w:tcW w:type="dxa" w:w="168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961.355.140</w:t>
            </w:r>
          </w:p>
        </w:tc>
        <w:tc>
          <w:tcPr>
            <w:tcW w:type="dxa" w:w="111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360</w:t>
            </w:r>
          </w:p>
        </w:tc>
        <w:tc>
          <w:tcPr>
            <w:tcW w:type="dxa" w:w="12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3</w:t>
            </w:r>
          </w:p>
        </w:tc>
        <w:tc>
          <w:tcPr>
            <w:tcW w:type="dxa" w:w="179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0,2411</w:t>
            </w:r>
          </w:p>
        </w:tc>
      </w:tr>
      <w:tr>
        <w:trPr>
          <w:cantSplit/>
        </w:trPr>
        <w:tc>
          <w:tcPr>
            <w:tcW w:type="dxa" w:w="87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2F</w:t>
            </w:r>
          </w:p>
        </w:tc>
        <w:tc>
          <w:tcPr>
            <w:tcW w:type="dxa" w:w="12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370.358</w:t>
            </w:r>
          </w:p>
        </w:tc>
        <w:tc>
          <w:tcPr>
            <w:tcW w:type="dxa" w:w="168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794.112.240</w:t>
            </w:r>
          </w:p>
        </w:tc>
        <w:tc>
          <w:tcPr>
            <w:tcW w:type="dxa" w:w="111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360</w:t>
            </w:r>
          </w:p>
        </w:tc>
        <w:tc>
          <w:tcPr>
            <w:tcW w:type="dxa" w:w="12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2</w:t>
            </w:r>
          </w:p>
        </w:tc>
        <w:tc>
          <w:tcPr>
            <w:tcW w:type="dxa" w:w="179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0,1702</w:t>
            </w:r>
          </w:p>
        </w:tc>
      </w:tr>
      <w:tr>
        <w:trPr>
          <w:cantSplit/>
        </w:trPr>
        <w:tc>
          <w:tcPr>
            <w:tcW w:type="dxa" w:w="87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BS</w:t>
            </w:r>
          </w:p>
        </w:tc>
        <w:tc>
          <w:tcPr>
            <w:tcW w:type="dxa" w:w="12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41.596</w:t>
            </w:r>
          </w:p>
        </w:tc>
        <w:tc>
          <w:tcPr>
            <w:tcW w:type="dxa" w:w="168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94.257.561</w:t>
            </w:r>
          </w:p>
        </w:tc>
        <w:tc>
          <w:tcPr>
            <w:tcW w:type="dxa" w:w="111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360</w:t>
            </w:r>
          </w:p>
        </w:tc>
        <w:tc>
          <w:tcPr>
            <w:tcW w:type="dxa" w:w="12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2</w:t>
            </w:r>
          </w:p>
        </w:tc>
        <w:tc>
          <w:tcPr>
            <w:tcW w:type="dxa" w:w="179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0,0191</w:t>
            </w:r>
          </w:p>
        </w:tc>
      </w:tr>
      <w:tr>
        <w:trPr>
          <w:cantSplit/>
        </w:trPr>
        <w:tc>
          <w:tcPr>
            <w:tcW w:type="dxa" w:w="87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GF</w:t>
            </w:r>
          </w:p>
        </w:tc>
        <w:tc>
          <w:tcPr>
            <w:tcW w:type="dxa" w:w="12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597.748</w:t>
            </w:r>
          </w:p>
        </w:tc>
        <w:tc>
          <w:tcPr>
            <w:tcW w:type="dxa" w:w="168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819.204.900</w:t>
            </w:r>
          </w:p>
        </w:tc>
        <w:tc>
          <w:tcPr>
            <w:tcW w:type="dxa" w:w="111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450</w:t>
            </w:r>
          </w:p>
        </w:tc>
        <w:tc>
          <w:tcPr>
            <w:tcW w:type="dxa" w:w="12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2</w:t>
            </w:r>
          </w:p>
        </w:tc>
        <w:tc>
          <w:tcPr>
            <w:tcW w:type="dxa" w:w="179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0,2748</w:t>
            </w:r>
          </w:p>
        </w:tc>
      </w:tr>
      <w:tr>
        <w:trPr>
          <w:cantSplit/>
        </w:trPr>
        <w:tc>
          <w:tcPr>
            <w:tcW w:type="dxa" w:w="87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LG</w:t>
            </w:r>
          </w:p>
        </w:tc>
        <w:tc>
          <w:tcPr>
            <w:tcW w:type="dxa" w:w="12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442.942</w:t>
            </w:r>
          </w:p>
        </w:tc>
        <w:tc>
          <w:tcPr>
            <w:tcW w:type="dxa" w:w="168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881.618.786</w:t>
            </w:r>
          </w:p>
        </w:tc>
        <w:tc>
          <w:tcPr>
            <w:tcW w:type="dxa" w:w="111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360</w:t>
            </w:r>
          </w:p>
        </w:tc>
        <w:tc>
          <w:tcPr>
            <w:tcW w:type="dxa" w:w="12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3</w:t>
            </w:r>
          </w:p>
        </w:tc>
        <w:tc>
          <w:tcPr>
            <w:tcW w:type="dxa" w:w="179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0,2036</w:t>
            </w:r>
          </w:p>
        </w:tc>
      </w:tr>
      <w:tr>
        <w:trPr>
          <w:cantSplit/>
        </w:trPr>
        <w:tc>
          <w:tcPr>
            <w:tcW w:type="dxa" w:w="87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UG</w:t>
            </w:r>
          </w:p>
        </w:tc>
        <w:tc>
          <w:tcPr>
            <w:tcW w:type="dxa" w:w="12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198.363</w:t>
            </w:r>
          </w:p>
        </w:tc>
        <w:tc>
          <w:tcPr>
            <w:tcW w:type="dxa" w:w="168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448.941.730</w:t>
            </w:r>
          </w:p>
        </w:tc>
        <w:tc>
          <w:tcPr>
            <w:tcW w:type="dxa" w:w="111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360</w:t>
            </w:r>
          </w:p>
        </w:tc>
        <w:tc>
          <w:tcPr>
            <w:tcW w:type="dxa" w:w="123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2</w:t>
            </w:r>
          </w:p>
        </w:tc>
        <w:tc>
          <w:tcPr>
            <w:tcW w:type="dxa" w:w="179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0,0912</w:t>
            </w:r>
          </w:p>
        </w:tc>
      </w:tr>
      <w:tr>
        <w:trPr>
          <w:cantSplit/>
        </w:trPr>
        <w:tc>
          <w:tcPr>
            <w:tcW w:type="dxa" w:w="874"/>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b/>
                <w:bCs/>
                <w:sz w:val="20"/>
              </w:rPr>
              <w:t xml:space="preserve">Jumlah</w:t>
            </w:r>
          </w:p>
        </w:tc>
        <w:tc>
          <w:tcPr>
            <w:tcW w:type="dxa" w:w="12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b/>
                <w:bCs/>
                <w:sz w:val="20"/>
              </w:rPr>
              <w:t xml:space="preserve">2.175.549</w:t>
            </w:r>
          </w:p>
        </w:tc>
        <w:tc>
          <w:tcPr>
            <w:tcW w:type="dxa" w:w="168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b/>
                <w:bCs/>
                <w:sz w:val="20"/>
              </w:rPr>
              <w:t xml:space="preserve">3.999.490.357</w:t>
            </w:r>
          </w:p>
        </w:tc>
        <w:tc>
          <w:tcPr>
            <w:tcW w:type="dxa" w:w="111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b/>
                <w:bCs/>
                <w:sz w:val="20"/>
              </w:rPr>
              <w:t xml:space="preserve">2.250</w:t>
            </w:r>
          </w:p>
        </w:tc>
        <w:tc>
          <w:tcPr>
            <w:tcW w:type="dxa" w:w="12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w:t>
            </w:r>
          </w:p>
        </w:tc>
        <w:tc>
          <w:tcPr>
            <w:tcW w:type="dxa" w:w="1795"/>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b/>
                <w:bCs/>
                <w:sz w:val="20"/>
              </w:rPr>
              <w:t xml:space="preserve">1,0000</w:t>
            </w:r>
          </w:p>
        </w:tc>
      </w:tr>
    </w:tbl>
    <w:p>
      <w:pPr>
        <w:pStyle w:val="BodyText"/>
      </w:pPr>
      <w:r>
        <w:t xml:space="preserve">Kriteria BL dan DO memakai langkah yang sama seperti kriteria KE. Untuk FM, nilai dibalik terlebih dahulu (pv = 1/x), lalu dibagi jumlahnya (Σpv = 2,6667).</w:t>
      </w:r>
    </w:p>
    <w:p>
      <w:pPr>
        <w:pStyle w:val="Caption"/>
        <w:keepNext/>
      </w:pPr>
      <w:r>
        <w:rPr>
          <w:rFonts w:ascii="Times New Roman" w:hAnsi="Times New Roman"/>
          <w:sz w:val="22"/>
        </w:rPr>
        <w:t xml:space="preserve">Tabel 3.14 Prioritas lokal seluruh kriteria, September 2026</w:t>
      </w:r>
    </w:p>
    <w:tbl>
      <w:tblPr>
        <w:tblStyle w:val="Table"/>
        <w:tblW w:type="auto" w:w="0"/>
        <w:jc w:val="center"/>
        <w:tblLook w:firstRow="1" w:lastRow="0" w:firstColumn="0" w:lastColumn="0" w:noHBand="0" w:noVBand="0" w:val="0020"/>
        <w:tblLayout w:type="fixed"/>
      </w:tblPr>
      <w:tblGrid>
        <w:gridCol w:w="881"/>
        <w:gridCol w:w="1244"/>
        <w:gridCol w:w="1244"/>
        <w:gridCol w:w="1244"/>
        <w:gridCol w:w="2082"/>
        <w:gridCol w:w="1244"/>
      </w:tblGrid>
      <w:tr>
        <w:trPr>
          <w:tblHeader w:val="on"/>
          <w:cantSplit/>
          <w:tblHeader/>
        </w:trPr>
        <w:tc>
          <w:tcPr>
            <w:tcW w:type="dxa" w:w="881"/>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Area</w:t>
            </w:r>
          </w:p>
        </w:tc>
        <w:tc>
          <w:tcPr>
            <w:tcW w:type="dxa" w:w="1244"/>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lp KE</w:t>
            </w:r>
          </w:p>
        </w:tc>
        <w:tc>
          <w:tcPr>
            <w:tcW w:type="dxa" w:w="1244"/>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lp BL</w:t>
            </w:r>
          </w:p>
        </w:tc>
        <w:tc>
          <w:tcPr>
            <w:tcW w:type="dxa" w:w="1244"/>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lp DO</w:t>
            </w:r>
          </w:p>
        </w:tc>
        <w:tc>
          <w:tcPr>
            <w:tcW w:type="dxa" w:w="2082"/>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FM: x → 1/x</w:t>
            </w:r>
          </w:p>
        </w:tc>
        <w:tc>
          <w:tcPr>
            <w:tcW w:type="dxa" w:w="1244"/>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lp FM</w:t>
            </w:r>
          </w:p>
        </w:tc>
      </w:tr>
      <w:tr>
        <w:trPr>
          <w:cantSplit/>
        </w:trPr>
        <w:tc>
          <w:tcPr>
            <w:tcW w:type="dxa" w:w="88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1F</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0,2411</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0,2404</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0,1600</w:t>
            </w:r>
          </w:p>
        </w:tc>
        <w:tc>
          <w:tcPr>
            <w:tcW w:type="dxa" w:w="208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3 → 0,3333</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0,1250</w:t>
            </w:r>
          </w:p>
        </w:tc>
      </w:tr>
      <w:tr>
        <w:trPr>
          <w:cantSplit/>
        </w:trPr>
        <w:tc>
          <w:tcPr>
            <w:tcW w:type="dxa" w:w="88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2F</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0,1702</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0,1986</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0,1600</w:t>
            </w:r>
          </w:p>
        </w:tc>
        <w:tc>
          <w:tcPr>
            <w:tcW w:type="dxa" w:w="208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2 → 0,5000</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0,1875</w:t>
            </w:r>
          </w:p>
        </w:tc>
      </w:tr>
      <w:tr>
        <w:trPr>
          <w:cantSplit/>
        </w:trPr>
        <w:tc>
          <w:tcPr>
            <w:tcW w:type="dxa" w:w="88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BS</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0,0191</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0,0236</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0,1600</w:t>
            </w:r>
          </w:p>
        </w:tc>
        <w:tc>
          <w:tcPr>
            <w:tcW w:type="dxa" w:w="208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2 → 0,5000</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0,1875</w:t>
            </w:r>
          </w:p>
        </w:tc>
      </w:tr>
      <w:tr>
        <w:trPr>
          <w:cantSplit/>
        </w:trPr>
        <w:tc>
          <w:tcPr>
            <w:tcW w:type="dxa" w:w="88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GF</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0,2748</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0,2048</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0,2000</w:t>
            </w:r>
          </w:p>
        </w:tc>
        <w:tc>
          <w:tcPr>
            <w:tcW w:type="dxa" w:w="208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2 → 0,5000</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0,1875</w:t>
            </w:r>
          </w:p>
        </w:tc>
      </w:tr>
      <w:tr>
        <w:trPr>
          <w:cantSplit/>
        </w:trPr>
        <w:tc>
          <w:tcPr>
            <w:tcW w:type="dxa" w:w="88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LG</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0,2036</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0,2204</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0,1600</w:t>
            </w:r>
          </w:p>
        </w:tc>
        <w:tc>
          <w:tcPr>
            <w:tcW w:type="dxa" w:w="208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3 → 0,3333</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0,1250</w:t>
            </w:r>
          </w:p>
        </w:tc>
      </w:tr>
      <w:tr>
        <w:trPr>
          <w:cantSplit/>
        </w:trPr>
        <w:tc>
          <w:tcPr>
            <w:tcW w:type="dxa" w:w="8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UG</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0,0912</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0,1122</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0,1600</w:t>
            </w:r>
          </w:p>
        </w:tc>
        <w:tc>
          <w:tcPr>
            <w:tcW w:type="dxa" w:w="2082"/>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2 → 0,5000</w:t>
            </w:r>
          </w:p>
        </w:tc>
        <w:tc>
          <w:tcPr>
            <w:tcW w:type="dxa" w:w="1244"/>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0,1875</w:t>
            </w:r>
          </w:p>
        </w:tc>
      </w:tr>
    </w:tbl>
    <w:p>
      <w:pPr>
        <w:pStyle w:val="BodyText"/>
      </w:pPr>
      <w:r>
        <w:rPr>
          <w:b/>
          <w:bCs/>
        </w:rPr>
        <w:t xml:space="preserve">Skor akhir.</w:t>
      </w:r>
      <w:r>
        <w:t xml:space="preserve"> </w:t>
      </w:r>
      <w:r>
        <w:t xml:space="preserve">Kontribusi tiap kriteria adalah</w:t>
      </w:r>
      <w:r>
        <w:t xml:space="preserve"> </w:t>
      </w:r>
      <m:oMath>
        <m:sSub>
          <m:e>
            <m:r>
              <m:t>w</m:t>
            </m:r>
          </m:e>
          <m:sub>
            <m:r>
              <m:t>k</m:t>
            </m:r>
          </m:sub>
        </m:sSub>
        <m:r>
          <m:t> </m:t>
        </m:r>
        <m:r>
          <m:t>l</m:t>
        </m:r>
        <m:sSub>
          <m:e>
            <m:r>
              <m:t>p</m:t>
            </m:r>
          </m:e>
          <m:sub>
            <m:r>
              <m:t>a</m:t>
            </m:r>
            <m:r>
              <m:rPr>
                <m:sty m:val="p"/>
              </m:rPr>
              <m:t>,</m:t>
            </m:r>
            <m:r>
              <m:t>k</m:t>
            </m:r>
          </m:sub>
        </m:sSub>
      </m:oMath>
      <w:r>
        <w:t xml:space="preserve"> </w:t>
      </w:r>
      <w:r>
        <w:t xml:space="preserve">dan skor dihitung dengan Persamaan 3.10 (Tabel 3.15).</w:t>
      </w:r>
    </w:p>
    <w:p>
      <w:pPr>
        <w:pStyle w:val="Caption"/>
        <w:keepNext/>
      </w:pPr>
      <w:r>
        <w:rPr>
          <w:rFonts w:ascii="Times New Roman" w:hAnsi="Times New Roman"/>
          <w:sz w:val="22"/>
        </w:rPr>
        <w:t xml:space="preserve">Tabel 3.15 Kontribusi kriteria, skor akhir, dan peringkat, September 2026</w:t>
      </w:r>
    </w:p>
    <w:tbl>
      <w:tblPr>
        <w:tblStyle w:val="Table"/>
        <w:tblW w:type="pct" w:w="5000"/>
        <w:jc w:val="center"/>
        <w:tblLayout w:type="fixed"/>
        <w:tblLook w:firstRow="1" w:lastRow="0" w:firstColumn="0" w:lastColumn="0" w:noHBand="0" w:noVBand="0" w:val="0020"/>
        <w:tblLayout w:type="fixed"/>
      </w:tblPr>
      <w:tblGrid>
        <w:gridCol w:w="1055"/>
        <w:gridCol w:w="747"/>
        <w:gridCol w:w="1347"/>
        <w:gridCol w:w="1347"/>
        <w:gridCol w:w="1347"/>
        <w:gridCol w:w="1347"/>
        <w:gridCol w:w="747"/>
      </w:tblGrid>
      <w:tr>
        <w:trPr>
          <w:tblHeader w:val="on"/>
          <w:cantSplit/>
          <w:tblHeader/>
        </w:trPr>
        <w:tc>
          <w:tcPr>
            <w:tcW w:type="dxa" w:w="1055"/>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Peringkat</w:t>
            </w:r>
          </w:p>
        </w:tc>
        <w:tc>
          <w:tcPr>
            <w:tcW w:type="dxa" w:w="747"/>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Area</w:t>
            </w:r>
          </w:p>
        </w:tc>
        <w:tc>
          <w:tcPr>
            <w:tcW w:type="dxa" w:w="1347"/>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KE (×0,2379)</w:t>
            </w:r>
          </w:p>
        </w:tc>
        <w:tc>
          <w:tcPr>
            <w:tcW w:type="dxa" w:w="1347"/>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BL (×0,5782)</w:t>
            </w:r>
          </w:p>
        </w:tc>
        <w:tc>
          <w:tcPr>
            <w:tcW w:type="dxa" w:w="1347"/>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DO (×0,0629)</w:t>
            </w:r>
          </w:p>
        </w:tc>
        <w:tc>
          <w:tcPr>
            <w:tcW w:type="dxa" w:w="1347"/>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FM (×0,1209)</w:t>
            </w:r>
          </w:p>
        </w:tc>
        <w:tc>
          <w:tcPr>
            <w:tcW w:type="dxa" w:w="747"/>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Skor</w:t>
            </w:r>
          </w:p>
        </w:tc>
      </w:tr>
      <w:tr>
        <w:trPr>
          <w:cantSplit/>
        </w:trPr>
        <w:tc>
          <w:tcPr>
            <w:tcW w:type="dxa" w:w="105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1</w:t>
            </w:r>
          </w:p>
        </w:tc>
        <w:tc>
          <w:tcPr>
            <w:tcW w:type="dxa" w:w="7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19"/>
              </w:rPr>
              <w:t xml:space="preserve">1F</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0,0574</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0,1390</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0,0101</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0,0151</w:t>
            </w:r>
          </w:p>
        </w:tc>
        <w:tc>
          <w:tcPr>
            <w:tcW w:type="dxa" w:w="7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b/>
                <w:bCs/>
                <w:sz w:val="19"/>
              </w:rPr>
              <w:t xml:space="preserve">0,2215</w:t>
            </w:r>
          </w:p>
        </w:tc>
      </w:tr>
      <w:tr>
        <w:trPr>
          <w:cantSplit/>
        </w:trPr>
        <w:tc>
          <w:tcPr>
            <w:tcW w:type="dxa" w:w="105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2</w:t>
            </w:r>
          </w:p>
        </w:tc>
        <w:tc>
          <w:tcPr>
            <w:tcW w:type="dxa" w:w="7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19"/>
              </w:rPr>
              <w:t xml:space="preserve">GF</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0,0654</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0,1184</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0,0126</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0,0227</w:t>
            </w:r>
          </w:p>
        </w:tc>
        <w:tc>
          <w:tcPr>
            <w:tcW w:type="dxa" w:w="7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b/>
                <w:bCs/>
                <w:sz w:val="19"/>
              </w:rPr>
              <w:t xml:space="preserve">0,2191</w:t>
            </w:r>
          </w:p>
        </w:tc>
      </w:tr>
      <w:tr>
        <w:trPr>
          <w:cantSplit/>
        </w:trPr>
        <w:tc>
          <w:tcPr>
            <w:tcW w:type="dxa" w:w="105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3</w:t>
            </w:r>
          </w:p>
        </w:tc>
        <w:tc>
          <w:tcPr>
            <w:tcW w:type="dxa" w:w="7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19"/>
              </w:rPr>
              <w:t xml:space="preserve">LG</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0,0484</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0,1275</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0,0101</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0,0151</w:t>
            </w:r>
          </w:p>
        </w:tc>
        <w:tc>
          <w:tcPr>
            <w:tcW w:type="dxa" w:w="7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b/>
                <w:bCs/>
                <w:sz w:val="19"/>
              </w:rPr>
              <w:t xml:space="preserve">0,2011</w:t>
            </w:r>
          </w:p>
        </w:tc>
      </w:tr>
      <w:tr>
        <w:trPr>
          <w:cantSplit/>
        </w:trPr>
        <w:tc>
          <w:tcPr>
            <w:tcW w:type="dxa" w:w="105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4</w:t>
            </w:r>
          </w:p>
        </w:tc>
        <w:tc>
          <w:tcPr>
            <w:tcW w:type="dxa" w:w="7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19"/>
              </w:rPr>
              <w:t xml:space="preserve">2F</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0,0405</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0,1148</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0,0101</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0,0227</w:t>
            </w:r>
          </w:p>
        </w:tc>
        <w:tc>
          <w:tcPr>
            <w:tcW w:type="dxa" w:w="7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b/>
                <w:bCs/>
                <w:sz w:val="19"/>
              </w:rPr>
              <w:t xml:space="preserve">0,1881</w:t>
            </w:r>
          </w:p>
        </w:tc>
      </w:tr>
      <w:tr>
        <w:trPr>
          <w:cantSplit/>
        </w:trPr>
        <w:tc>
          <w:tcPr>
            <w:tcW w:type="dxa" w:w="105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5</w:t>
            </w:r>
          </w:p>
        </w:tc>
        <w:tc>
          <w:tcPr>
            <w:tcW w:type="dxa" w:w="7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19"/>
              </w:rPr>
              <w:t xml:space="preserve">UG</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0,0217</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0,0649</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0,0101</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0,0227</w:t>
            </w:r>
          </w:p>
        </w:tc>
        <w:tc>
          <w:tcPr>
            <w:tcW w:type="dxa" w:w="7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b/>
                <w:bCs/>
                <w:sz w:val="19"/>
              </w:rPr>
              <w:t xml:space="preserve">0,1193</w:t>
            </w:r>
          </w:p>
        </w:tc>
      </w:tr>
      <w:tr>
        <w:trPr>
          <w:cantSplit/>
        </w:trPr>
        <w:tc>
          <w:tcPr>
            <w:tcW w:type="dxa" w:w="105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6</w:t>
            </w:r>
          </w:p>
        </w:tc>
        <w:tc>
          <w:tcPr>
            <w:tcW w:type="dxa" w:w="7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19"/>
              </w:rPr>
              <w:t xml:space="preserve">BS</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0,0045</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0,0136</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0,0101</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19"/>
              </w:rPr>
              <w:t xml:space="preserve">0,0227</w:t>
            </w:r>
          </w:p>
        </w:tc>
        <w:tc>
          <w:tcPr>
            <w:tcW w:type="dxa" w:w="74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b/>
                <w:bCs/>
                <w:sz w:val="19"/>
              </w:rPr>
              <w:t xml:space="preserve">0,0509</w:t>
            </w:r>
          </w:p>
        </w:tc>
      </w:tr>
      <w:tr>
        <w:trPr>
          <w:cantSplit/>
        </w:trPr>
        <w:tc>
          <w:tcPr>
            <w:tcW w:type="dxa" w:w="1055"/>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pPr>
          </w:p>
        </w:tc>
        <w:tc>
          <w:tcPr>
            <w:tcW w:type="dxa" w:w="747"/>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b/>
                <w:bCs/>
                <w:sz w:val="19"/>
              </w:rPr>
              <w:t xml:space="preserve">Jumlah</w:t>
            </w: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pP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pP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pPr>
          </w:p>
        </w:tc>
        <w:tc>
          <w:tcPr>
            <w:tcW w:type="dxa" w:w="1347"/>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pPr>
          </w:p>
        </w:tc>
        <w:tc>
          <w:tcPr>
            <w:tcW w:type="dxa" w:w="747"/>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b/>
                <w:bCs/>
                <w:sz w:val="19"/>
              </w:rPr>
              <w:t xml:space="preserve">1,0000</w:t>
            </w:r>
          </w:p>
        </w:tc>
      </w:tr>
    </w:tbl>
    <w:p>
      <w:pPr>
        <w:pStyle w:val="BodyText"/>
      </w:pPr>
      <w:r>
        <w:t xml:space="preserve">Area 1F menempati peringkat 1 dengan skor 0,2215, disusul GF (0,2191). Rekomendasi untuk area peringkat 1 disusun sesuai Tabel 3.9 dan 3.10 (Tabel 3.16).</w:t>
      </w:r>
    </w:p>
    <w:p>
      <w:pPr>
        <w:pStyle w:val="Caption"/>
        <w:keepNext/>
      </w:pPr>
      <w:r>
        <w:rPr>
          <w:rFonts w:ascii="Times New Roman" w:hAnsi="Times New Roman"/>
          <w:sz w:val="22"/>
        </w:rPr>
        <w:t xml:space="preserve">Tabel 3.16 Rekomendasi area peringkat 1 (1F), September 2026</w:t>
      </w:r>
    </w:p>
    <w:tbl>
      <w:tblPr>
        <w:tblStyle w:val="Table"/>
        <w:tblW w:type="pct" w:w="5000"/>
        <w:jc w:val="center"/>
        <w:tblLayout w:type="fixed"/>
        <w:tblLook w:firstRow="1" w:lastRow="0" w:firstColumn="0" w:lastColumn="0" w:noHBand="0" w:noVBand="0" w:val="0020"/>
        <w:tblLayout w:type="fixed"/>
      </w:tblPr>
      <w:tblGrid>
        <w:gridCol w:w="1970"/>
        <w:gridCol w:w="5967"/>
      </w:tblGrid>
      <w:tr>
        <w:trPr>
          <w:tblHeader w:val="on"/>
          <w:cantSplit/>
          <w:tblHeader/>
        </w:trPr>
        <w:tc>
          <w:tcPr>
            <w:tcW w:type="dxa" w:w="1970"/>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Butir</w:t>
            </w:r>
          </w:p>
        </w:tc>
        <w:tc>
          <w:tcPr>
            <w:tcW w:type="dxa" w:w="5967"/>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Isi</w:t>
            </w:r>
          </w:p>
        </w:tc>
      </w:tr>
      <w:tr>
        <w:trPr>
          <w:cantSplit/>
        </w:trPr>
        <w:tc>
          <w:tcPr>
            <w:tcW w:type="dxa" w:w="1970"/>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Urutan kontribusi</w:t>
            </w:r>
          </w:p>
        </w:tc>
        <w:tc>
          <w:tcPr>
            <w:tcW w:type="dxa" w:w="596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BL &gt; KE &gt; FM &gt; DO</w:t>
            </w:r>
          </w:p>
        </w:tc>
      </w:tr>
      <w:tr>
        <w:trPr>
          <w:cantSplit/>
        </w:trPr>
        <w:tc>
          <w:tcPr>
            <w:tcW w:type="dxa" w:w="1970"/>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Tindakan 1</w:t>
            </w:r>
          </w:p>
        </w:tc>
        <w:tc>
          <w:tcPr>
            <w:tcW w:type="dxa" w:w="596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Tinjau ulang golongan tarif &amp; daya tersambung PLN terhadap beban riil.</w:t>
            </w:r>
          </w:p>
        </w:tc>
      </w:tr>
      <w:tr>
        <w:trPr>
          <w:cantSplit/>
        </w:trPr>
        <w:tc>
          <w:tcPr>
            <w:tcW w:type="dxa" w:w="1970"/>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Tindakan 2</w:t>
            </w:r>
          </w:p>
        </w:tc>
        <w:tc>
          <w:tcPr>
            <w:tcW w:type="dxa" w:w="596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Evaluasi penggantian lampu down-light ke LED hemat daya (9W).</w:t>
            </w:r>
          </w:p>
        </w:tc>
      </w:tr>
      <w:tr>
        <w:trPr>
          <w:cantSplit/>
        </w:trPr>
        <w:tc>
          <w:tcPr>
            <w:tcW w:type="dxa" w:w="1970"/>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Tindakan 3</w:t>
            </w:r>
          </w:p>
        </w:tc>
        <w:tc>
          <w:tcPr>
            <w:tcW w:type="dxa" w:w="596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Tingkatkan frekuensi maintenance dari 1x → 2x per bulan.</w:t>
            </w:r>
          </w:p>
        </w:tc>
      </w:tr>
      <w:tr>
        <w:trPr>
          <w:cantSplit/>
        </w:trPr>
        <w:tc>
          <w:tcPr>
            <w:tcW w:type="dxa" w:w="1970"/>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Potensi penghematan</w:t>
            </w:r>
          </w:p>
        </w:tc>
        <w:tc>
          <w:tcPr>
            <w:tcW w:type="dxa" w:w="5967"/>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~8–10% konsumsi bulanan</w:t>
            </w:r>
          </w:p>
        </w:tc>
      </w:tr>
    </w:tbl>
    <w:p>
      <w:pPr>
        <w:pStyle w:val="BodyText"/>
      </w:pPr>
      <w:r>
        <w:t xml:space="preserve">Ringkasan lima bulan disajikan pada Tabel 3.17. Skor yang lebih tinggi menunjukkan area yang lebih diprioritaskan untuk optimasi energi (paling boros).</w:t>
      </w:r>
    </w:p>
    <w:p>
      <w:pPr>
        <w:pStyle w:val="Caption"/>
        <w:keepNext/>
      </w:pPr>
      <w:r>
        <w:rPr>
          <w:rFonts w:ascii="Times New Roman" w:hAnsi="Times New Roman"/>
          <w:sz w:val="22"/>
        </w:rPr>
        <w:t xml:space="preserve">Tabel 3.17 Peringkat area per bulan (Mei–September 2026)</w:t>
      </w:r>
    </w:p>
    <w:tbl>
      <w:tblPr>
        <w:tblStyle w:val="Table"/>
        <w:tblW w:type="pct" w:w="5000"/>
        <w:jc w:val="center"/>
        <w:tblLayout w:type="fixed"/>
        <w:tblLook w:firstRow="1" w:lastRow="0" w:firstColumn="0" w:lastColumn="0" w:noHBand="0" w:noVBand="0" w:val="0020"/>
        <w:tblLayout w:type="fixed"/>
      </w:tblPr>
      <w:tblGrid>
        <w:gridCol w:w="1348"/>
        <w:gridCol w:w="1098"/>
        <w:gridCol w:w="1098"/>
        <w:gridCol w:w="1098"/>
        <w:gridCol w:w="1098"/>
        <w:gridCol w:w="1098"/>
        <w:gridCol w:w="1098"/>
      </w:tblGrid>
      <w:tr>
        <w:trPr>
          <w:tblHeader w:val="on"/>
          <w:cantSplit/>
          <w:tblHeader/>
        </w:trPr>
        <w:tc>
          <w:tcPr>
            <w:tcW w:type="dxa" w:w="1348"/>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Bulan</w:t>
            </w:r>
          </w:p>
        </w:tc>
        <w:tc>
          <w:tcPr>
            <w:tcW w:type="dxa" w:w="1098"/>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Peringkat 1</w:t>
            </w:r>
          </w:p>
        </w:tc>
        <w:tc>
          <w:tcPr>
            <w:tcW w:type="dxa" w:w="1098"/>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2</w:t>
            </w:r>
          </w:p>
        </w:tc>
        <w:tc>
          <w:tcPr>
            <w:tcW w:type="dxa" w:w="1098"/>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3</w:t>
            </w:r>
          </w:p>
        </w:tc>
        <w:tc>
          <w:tcPr>
            <w:tcW w:type="dxa" w:w="1098"/>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4</w:t>
            </w:r>
          </w:p>
        </w:tc>
        <w:tc>
          <w:tcPr>
            <w:tcW w:type="dxa" w:w="1098"/>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5</w:t>
            </w:r>
          </w:p>
        </w:tc>
        <w:tc>
          <w:tcPr>
            <w:tcW w:type="dxa" w:w="1098"/>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19"/>
              </w:rPr>
              <w:t xml:space="preserve">6</w:t>
            </w:r>
          </w:p>
        </w:tc>
      </w:tr>
      <w:tr>
        <w:trPr>
          <w:cantSplit/>
        </w:trPr>
        <w:tc>
          <w:tcPr>
            <w:tcW w:type="dxa" w:w="134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19"/>
              </w:rPr>
              <w:t xml:space="preserve">Mei 2026</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1F (0,2267)</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GF (0,2068)</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LG (0,1968)</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2F (0,1926)</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UG (0,1247)</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BS (0,0525)</w:t>
            </w:r>
          </w:p>
        </w:tc>
      </w:tr>
      <w:tr>
        <w:trPr>
          <w:cantSplit/>
        </w:trPr>
        <w:tc>
          <w:tcPr>
            <w:tcW w:type="dxa" w:w="134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19"/>
              </w:rPr>
              <w:t xml:space="preserve">Juni 2026</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1F (0,2201)</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GF (0,2105)</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LG (0,1988)</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2F (0,1980)</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UG (0,1209)</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BS (0,0516)</w:t>
            </w:r>
          </w:p>
        </w:tc>
      </w:tr>
      <w:tr>
        <w:trPr>
          <w:cantSplit/>
        </w:trPr>
        <w:tc>
          <w:tcPr>
            <w:tcW w:type="dxa" w:w="134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19"/>
              </w:rPr>
              <w:t xml:space="preserve">Juli 2026</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1F (0,2361)</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GF (0,2089)</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LG (0,2064)</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2F (0,1856)</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UG (0,1115)</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BS (0,0515)</w:t>
            </w:r>
          </w:p>
        </w:tc>
      </w:tr>
      <w:tr>
        <w:trPr>
          <w:cantSplit/>
        </w:trPr>
        <w:tc>
          <w:tcPr>
            <w:tcW w:type="dxa" w:w="134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19"/>
              </w:rPr>
              <w:t xml:space="preserve">Agustus 2026</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1F (0,2399)</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LG (0,2058)</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GF (0,2018)</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2F (0,1863)</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UG (0,1217)</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19"/>
              </w:rPr>
              <w:t xml:space="preserve">BS (0,0446)</w:t>
            </w:r>
          </w:p>
        </w:tc>
      </w:tr>
      <w:tr>
        <w:trPr>
          <w:cantSplit/>
        </w:trPr>
        <w:tc>
          <w:tcPr>
            <w:tcW w:type="dxa" w:w="1348"/>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19"/>
              </w:rPr>
              <w:t xml:space="preserve">September 2026</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19"/>
              </w:rPr>
              <w:t xml:space="preserve">1F (0,2215)</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19"/>
              </w:rPr>
              <w:t xml:space="preserve">GF (0,2191)</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19"/>
              </w:rPr>
              <w:t xml:space="preserve">LG (0,2011)</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19"/>
              </w:rPr>
              <w:t xml:space="preserve">2F (0,1881)</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19"/>
              </w:rPr>
              <w:t xml:space="preserve">UG (0,1193)</w:t>
            </w:r>
          </w:p>
        </w:tc>
        <w:tc>
          <w:tcPr>
            <w:tcW w:type="dxa" w:w="1098"/>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19"/>
              </w:rPr>
              <w:t xml:space="preserve">BS (0,0509)</w:t>
            </w:r>
          </w:p>
        </w:tc>
      </w:tr>
    </w:tbl>
    <w:p>
      <w:pPr>
        <w:pStyle w:val="BodyText"/>
      </w:pPr>
      <w:r>
        <w:t xml:space="preserve">Nilai dalam kurung adalah skor akhir area. Area 1F menempati peringkat 1 pada kelima bulan, sedangkan BS selalu berada pada peringkat 6.</w:t>
      </w:r>
    </w:p>
    <w:bookmarkEnd w:id="12"/>
    <w:bookmarkStart w:id="18" w:name="pengujian"/>
    <w:p>
      <w:pPr>
        <w:pStyle w:val="Heading2"/>
      </w:pPr>
      <w:r>
        <w:t xml:space="preserve">3.5.5 Pengujian</w:t>
      </w:r>
    </w:p>
    <w:p>
      <w:pPr>
        <w:pStyle w:val="FirstParagraph"/>
      </w:pPr>
      <w:r>
        <w:t xml:space="preserve">Pengujian tidak mengubah data di basis data. Uji 3.5.5.1–3.5.5.3 membandingkan hitungan independen, yaitu skrip terpisah yang meniru tahapan AHP, dengan hasil yang tersimpan di aplikasi. Uji 3.5.5.4 memeriksa aturan sistem dengan data uji dan inspeksi program.</w:t>
      </w:r>
    </w:p>
    <w:bookmarkStart w:id="13" w:name="uji-konsistensi"/>
    <w:p>
      <w:pPr>
        <w:pStyle w:val="Heading3"/>
      </w:pPr>
      <w:r>
        <w:t xml:space="preserve">3.5.5.1 Uji Konsistensi</w:t>
      </w:r>
    </w:p>
    <w:p>
      <w:pPr>
        <w:pStyle w:val="Caption"/>
        <w:keepNext/>
      </w:pPr>
      <w:r>
        <w:rPr>
          <w:rFonts w:ascii="Times New Roman" w:hAnsi="Times New Roman"/>
          <w:sz w:val="22"/>
        </w:rPr>
        <w:t xml:space="preserve">Tabel 3.18 Uji konsistensi penilaian narasumber dan gabungan</w:t>
      </w:r>
    </w:p>
    <w:tbl>
      <w:tblPr>
        <w:tblStyle w:val="Table"/>
        <w:tblW w:type="pct" w:w="5000"/>
        <w:jc w:val="center"/>
        <w:tblLayout w:type="fixed"/>
        <w:tblLook w:firstRow="1" w:lastRow="0" w:firstColumn="0" w:lastColumn="0" w:noHBand="0" w:noVBand="0" w:val="0020"/>
        <w:tblLayout w:type="fixed"/>
      </w:tblPr>
      <w:tblGrid>
        <w:gridCol w:w="368"/>
        <w:gridCol w:w="2212"/>
        <w:gridCol w:w="1259"/>
        <w:gridCol w:w="1196"/>
        <w:gridCol w:w="2382"/>
        <w:gridCol w:w="519"/>
      </w:tblGrid>
      <w:tr>
        <w:trPr>
          <w:tblHeader w:val="on"/>
          <w:cantSplit/>
          <w:tblHeader/>
        </w:trPr>
        <w:tc>
          <w:tcPr>
            <w:tcW w:type="dxa" w:w="368"/>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ID</w:t>
            </w:r>
          </w:p>
        </w:tc>
        <w:tc>
          <w:tcPr>
            <w:tcW w:type="dxa" w:w="2212"/>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Tujuan</w:t>
            </w:r>
          </w:p>
        </w:tc>
        <w:tc>
          <w:tcPr>
            <w:tcW w:type="dxa" w:w="1259"/>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Cara uji</w:t>
            </w:r>
          </w:p>
        </w:tc>
        <w:tc>
          <w:tcPr>
            <w:tcW w:type="dxa" w:w="1196"/>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Hasil diharapkan</w:t>
            </w:r>
          </w:p>
        </w:tc>
        <w:tc>
          <w:tcPr>
            <w:tcW w:type="dxa" w:w="2382"/>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Hasil aktual</w:t>
            </w:r>
          </w:p>
        </w:tc>
        <w:tc>
          <w:tcPr>
            <w:tcW w:type="dxa" w:w="519"/>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Status</w:t>
            </w:r>
          </w:p>
        </w:tc>
      </w:tr>
      <w:tr>
        <w:trPr>
          <w:cantSplit/>
        </w:trPr>
        <w:tc>
          <w:tcPr>
            <w:tcW w:type="dxa" w:w="36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K1</w:t>
            </w:r>
          </w:p>
        </w:tc>
        <w:tc>
          <w:tcPr>
            <w:tcW w:type="dxa" w:w="221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Konsistensi Ahmad Sopian</w:t>
            </w:r>
          </w:p>
        </w:tc>
        <w:tc>
          <w:tcPr>
            <w:tcW w:type="dxa" w:w="125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Persamaan 3.4–3.6</w:t>
            </w:r>
          </w:p>
        </w:tc>
        <w:tc>
          <w:tcPr>
            <w:tcW w:type="dxa" w:w="119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CR &lt; 0,1</w:t>
            </w:r>
          </w:p>
        </w:tc>
        <w:tc>
          <w:tcPr>
            <w:tcW w:type="dxa" w:w="238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λmax 4,01925; CI 0,00642; CR 0,00713</w:t>
            </w:r>
          </w:p>
        </w:tc>
        <w:tc>
          <w:tcPr>
            <w:tcW w:type="dxa" w:w="51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w:t>
            </w:r>
          </w:p>
        </w:tc>
      </w:tr>
      <w:tr>
        <w:trPr>
          <w:cantSplit/>
        </w:trPr>
        <w:tc>
          <w:tcPr>
            <w:tcW w:type="dxa" w:w="36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K2</w:t>
            </w:r>
          </w:p>
        </w:tc>
        <w:tc>
          <w:tcPr>
            <w:tcW w:type="dxa" w:w="221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Konsistensi Anggie Kusworo</w:t>
            </w:r>
          </w:p>
        </w:tc>
        <w:tc>
          <w:tcPr>
            <w:tcW w:type="dxa" w:w="125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Persamaan 3.4–3.6</w:t>
            </w:r>
          </w:p>
        </w:tc>
        <w:tc>
          <w:tcPr>
            <w:tcW w:type="dxa" w:w="119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CR &lt; 0,1</w:t>
            </w:r>
          </w:p>
        </w:tc>
        <w:tc>
          <w:tcPr>
            <w:tcW w:type="dxa" w:w="238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λmax 4,02014; CI 0,00671; CR 0,00746</w:t>
            </w:r>
          </w:p>
        </w:tc>
        <w:tc>
          <w:tcPr>
            <w:tcW w:type="dxa" w:w="51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w:t>
            </w:r>
          </w:p>
        </w:tc>
      </w:tr>
      <w:tr>
        <w:trPr>
          <w:cantSplit/>
        </w:trPr>
        <w:tc>
          <w:tcPr>
            <w:tcW w:type="dxa" w:w="36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K3</w:t>
            </w:r>
          </w:p>
        </w:tc>
        <w:tc>
          <w:tcPr>
            <w:tcW w:type="dxa" w:w="221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Konsistensi Agus Setiyanto</w:t>
            </w:r>
          </w:p>
        </w:tc>
        <w:tc>
          <w:tcPr>
            <w:tcW w:type="dxa" w:w="125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Persamaan 3.4–3.6</w:t>
            </w:r>
          </w:p>
        </w:tc>
        <w:tc>
          <w:tcPr>
            <w:tcW w:type="dxa" w:w="119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CR &lt; 0,1</w:t>
            </w:r>
          </w:p>
        </w:tc>
        <w:tc>
          <w:tcPr>
            <w:tcW w:type="dxa" w:w="238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λmax 4,06182; CI 0,02061; CR 0,02289</w:t>
            </w:r>
          </w:p>
        </w:tc>
        <w:tc>
          <w:tcPr>
            <w:tcW w:type="dxa" w:w="51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w:t>
            </w:r>
          </w:p>
        </w:tc>
      </w:tr>
      <w:tr>
        <w:trPr>
          <w:cantSplit/>
        </w:trPr>
        <w:tc>
          <w:tcPr>
            <w:tcW w:type="dxa" w:w="368"/>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K4</w:t>
            </w:r>
          </w:p>
        </w:tc>
        <w:tc>
          <w:tcPr>
            <w:tcW w:type="dxa" w:w="2212"/>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Konsistensi Gabungan 3 narasumber</w:t>
            </w:r>
          </w:p>
        </w:tc>
        <w:tc>
          <w:tcPr>
            <w:tcW w:type="dxa" w:w="125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Persamaan 3.4–3.6</w:t>
            </w:r>
          </w:p>
        </w:tc>
        <w:tc>
          <w:tcPr>
            <w:tcW w:type="dxa" w:w="119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CR &lt; 0,1</w:t>
            </w:r>
          </w:p>
        </w:tc>
        <w:tc>
          <w:tcPr>
            <w:tcW w:type="dxa" w:w="2382"/>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λmax 4,03048; CI 0,01016; CR 0,01129</w:t>
            </w:r>
          </w:p>
        </w:tc>
        <w:tc>
          <w:tcPr>
            <w:tcW w:type="dxa" w:w="51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Lulus</w:t>
            </w:r>
          </w:p>
        </w:tc>
      </w:tr>
    </w:tbl>
    <w:bookmarkEnd w:id="13"/>
    <w:bookmarkStart w:id="14" w:name="X7451d1b0cd569e990f936ac8aaa4f335748d361"/>
    <w:p>
      <w:pPr>
        <w:pStyle w:val="Heading3"/>
      </w:pPr>
      <w:r>
        <w:t xml:space="preserve">3.5.5.2 Uji Kesesuaian Hitung Independen dengan Aplikasi</w:t>
      </w:r>
    </w:p>
    <w:p>
      <w:pPr>
        <w:pStyle w:val="FirstParagraph"/>
      </w:pPr>
      <w:r>
        <w:t xml:space="preserve">Untuk setiap bulan, hitungan independen dibandingkan dengan hasil tersimpan pada parameter bobot kriteria, λmax, CI, CR, skor 6 area, dan peringkat, dengan toleransi 1 × 10</w:t>
      </w:r>
      <w:r>
        <w:rPr>
          <w:vertAlign w:val="superscript"/>
        </w:rPr>
        <w:t xml:space="preserve">−4</w:t>
      </w:r>
      <w:r>
        <w:t xml:space="preserve"> </w:t>
      </w:r>
      <w:r>
        <w:t xml:space="preserve">dan menggunakan 3 narasumber yang sama.</w:t>
      </w:r>
    </w:p>
    <w:p>
      <w:pPr>
        <w:pStyle w:val="Caption"/>
        <w:keepNext/>
      </w:pPr>
      <w:r>
        <w:rPr>
          <w:rFonts w:ascii="Times New Roman" w:hAnsi="Times New Roman"/>
          <w:sz w:val="22"/>
        </w:rPr>
        <w:t xml:space="preserve">Tabel 3.19 Uji kesesuaian hitung independen dan hasil aplikasi</w:t>
      </w:r>
    </w:p>
    <w:tbl>
      <w:tblPr>
        <w:tblStyle w:val="Table"/>
        <w:tblW w:type="pct" w:w="5000"/>
        <w:jc w:val="center"/>
        <w:tblLayout w:type="fixed"/>
        <w:tblLook w:firstRow="1" w:lastRow="0" w:firstColumn="0" w:lastColumn="0" w:noHBand="0" w:noVBand="0" w:val="0020"/>
        <w:tblLayout w:type="fixed"/>
      </w:tblPr>
      <w:tblGrid>
        <w:gridCol w:w="582"/>
        <w:gridCol w:w="1689"/>
        <w:gridCol w:w="1892"/>
        <w:gridCol w:w="2952"/>
        <w:gridCol w:w="822"/>
      </w:tblGrid>
      <w:tr>
        <w:trPr>
          <w:tblHeader w:val="on"/>
          <w:cantSplit/>
          <w:tblHeader/>
        </w:trPr>
        <w:tc>
          <w:tcPr>
            <w:tcW w:type="dxa" w:w="582"/>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ID</w:t>
            </w:r>
          </w:p>
        </w:tc>
        <w:tc>
          <w:tcPr>
            <w:tcW w:type="dxa" w:w="1689"/>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Bulan</w:t>
            </w:r>
          </w:p>
        </w:tc>
        <w:tc>
          <w:tcPr>
            <w:tcW w:type="dxa" w:w="1892"/>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Selisih maksimum</w:t>
            </w:r>
          </w:p>
        </w:tc>
        <w:tc>
          <w:tcPr>
            <w:tcW w:type="dxa" w:w="2952"/>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Peringkat sama</w:t>
            </w:r>
          </w:p>
        </w:tc>
        <w:tc>
          <w:tcPr>
            <w:tcW w:type="dxa" w:w="822"/>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Status</w:t>
            </w:r>
          </w:p>
        </w:tc>
      </w:tr>
      <w:tr>
        <w:trPr>
          <w:cantSplit/>
        </w:trPr>
        <w:tc>
          <w:tcPr>
            <w:tcW w:type="dxa" w:w="58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S1</w:t>
            </w:r>
          </w:p>
        </w:tc>
        <w:tc>
          <w:tcPr>
            <w:tcW w:type="dxa" w:w="168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Mei 2026</w:t>
            </w:r>
          </w:p>
        </w:tc>
        <w:tc>
          <w:tcPr>
            <w:tcW w:type="dxa" w:w="189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8,9 × 10</w:t>
            </w:r>
            <w:r>
              <w:rPr>
                <w:rFonts w:ascii="Times New Roman" w:hAnsi="Times New Roman"/>
                <w:sz w:val="20"/>
                <w:vertAlign w:val="superscript"/>
              </w:rPr>
              <w:t xml:space="preserve">-16</w:t>
            </w:r>
          </w:p>
        </w:tc>
        <w:tc>
          <w:tcPr>
            <w:tcW w:type="dxa" w:w="295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Ya (1F, GF, LG, 2F, UG, BS)</w:t>
            </w:r>
          </w:p>
        </w:tc>
        <w:tc>
          <w:tcPr>
            <w:tcW w:type="dxa" w:w="82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w:t>
            </w:r>
          </w:p>
        </w:tc>
      </w:tr>
      <w:tr>
        <w:trPr>
          <w:cantSplit/>
        </w:trPr>
        <w:tc>
          <w:tcPr>
            <w:tcW w:type="dxa" w:w="58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S2</w:t>
            </w:r>
          </w:p>
        </w:tc>
        <w:tc>
          <w:tcPr>
            <w:tcW w:type="dxa" w:w="168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Juni 2026</w:t>
            </w:r>
          </w:p>
        </w:tc>
        <w:tc>
          <w:tcPr>
            <w:tcW w:type="dxa" w:w="189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8,9 × 10</w:t>
            </w:r>
            <w:r>
              <w:rPr>
                <w:rFonts w:ascii="Times New Roman" w:hAnsi="Times New Roman"/>
                <w:sz w:val="20"/>
                <w:vertAlign w:val="superscript"/>
              </w:rPr>
              <w:t xml:space="preserve">-16</w:t>
            </w:r>
          </w:p>
        </w:tc>
        <w:tc>
          <w:tcPr>
            <w:tcW w:type="dxa" w:w="295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Ya (1F, GF, LG, 2F, UG, BS)</w:t>
            </w:r>
          </w:p>
        </w:tc>
        <w:tc>
          <w:tcPr>
            <w:tcW w:type="dxa" w:w="82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w:t>
            </w:r>
          </w:p>
        </w:tc>
      </w:tr>
      <w:tr>
        <w:trPr>
          <w:cantSplit/>
        </w:trPr>
        <w:tc>
          <w:tcPr>
            <w:tcW w:type="dxa" w:w="58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S3</w:t>
            </w:r>
          </w:p>
        </w:tc>
        <w:tc>
          <w:tcPr>
            <w:tcW w:type="dxa" w:w="168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Juli 2026</w:t>
            </w:r>
          </w:p>
        </w:tc>
        <w:tc>
          <w:tcPr>
            <w:tcW w:type="dxa" w:w="189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8,9 × 10</w:t>
            </w:r>
            <w:r>
              <w:rPr>
                <w:rFonts w:ascii="Times New Roman" w:hAnsi="Times New Roman"/>
                <w:sz w:val="20"/>
                <w:vertAlign w:val="superscript"/>
              </w:rPr>
              <w:t xml:space="preserve">-16</w:t>
            </w:r>
          </w:p>
        </w:tc>
        <w:tc>
          <w:tcPr>
            <w:tcW w:type="dxa" w:w="295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Ya (1F, GF, LG, 2F, UG, BS)</w:t>
            </w:r>
          </w:p>
        </w:tc>
        <w:tc>
          <w:tcPr>
            <w:tcW w:type="dxa" w:w="82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w:t>
            </w:r>
          </w:p>
        </w:tc>
      </w:tr>
      <w:tr>
        <w:trPr>
          <w:cantSplit/>
        </w:trPr>
        <w:tc>
          <w:tcPr>
            <w:tcW w:type="dxa" w:w="58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S4</w:t>
            </w:r>
          </w:p>
        </w:tc>
        <w:tc>
          <w:tcPr>
            <w:tcW w:type="dxa" w:w="168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Agustus 2026</w:t>
            </w:r>
          </w:p>
        </w:tc>
        <w:tc>
          <w:tcPr>
            <w:tcW w:type="dxa" w:w="189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8,9 × 10</w:t>
            </w:r>
            <w:r>
              <w:rPr>
                <w:rFonts w:ascii="Times New Roman" w:hAnsi="Times New Roman"/>
                <w:sz w:val="20"/>
                <w:vertAlign w:val="superscript"/>
              </w:rPr>
              <w:t xml:space="preserve">-16</w:t>
            </w:r>
          </w:p>
        </w:tc>
        <w:tc>
          <w:tcPr>
            <w:tcW w:type="dxa" w:w="295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Ya (1F, LG, GF, 2F, UG, BS)</w:t>
            </w:r>
          </w:p>
        </w:tc>
        <w:tc>
          <w:tcPr>
            <w:tcW w:type="dxa" w:w="822"/>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w:t>
            </w:r>
          </w:p>
        </w:tc>
      </w:tr>
      <w:tr>
        <w:trPr>
          <w:cantSplit/>
        </w:trPr>
        <w:tc>
          <w:tcPr>
            <w:tcW w:type="dxa" w:w="582"/>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S5</w:t>
            </w:r>
          </w:p>
        </w:tc>
        <w:tc>
          <w:tcPr>
            <w:tcW w:type="dxa" w:w="168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September 2026</w:t>
            </w:r>
          </w:p>
        </w:tc>
        <w:tc>
          <w:tcPr>
            <w:tcW w:type="dxa" w:w="1892"/>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8,9 × 10</w:t>
            </w:r>
            <w:r>
              <w:rPr>
                <w:rFonts w:ascii="Times New Roman" w:hAnsi="Times New Roman"/>
                <w:sz w:val="20"/>
                <w:vertAlign w:val="superscript"/>
              </w:rPr>
              <w:t xml:space="preserve">-16</w:t>
            </w:r>
          </w:p>
        </w:tc>
        <w:tc>
          <w:tcPr>
            <w:tcW w:type="dxa" w:w="2952"/>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Ya (1F, GF, LG, 2F, UG, BS)</w:t>
            </w:r>
          </w:p>
        </w:tc>
        <w:tc>
          <w:tcPr>
            <w:tcW w:type="dxa" w:w="822"/>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Lulus</w:t>
            </w:r>
          </w:p>
        </w:tc>
      </w:tr>
    </w:tbl>
    <w:p>
      <w:pPr>
        <w:pStyle w:val="BodyText"/>
      </w:pPr>
      <w:r>
        <w:t xml:space="preserve">Kelima bulan lulus dengan selisih maksimum 8,9 × 10</w:t>
      </w:r>
      <w:r>
        <w:rPr>
          <w:vertAlign w:val="superscript"/>
        </w:rPr>
        <w:t xml:space="preserve">-16</w:t>
      </w:r>
      <w:r>
        <w:t xml:space="preserve">, yaitu galat pembulatan bilangan titik mengambang.</w:t>
      </w:r>
    </w:p>
    <w:bookmarkEnd w:id="14"/>
    <w:bookmarkStart w:id="15" w:name="uji-sifat-matematis"/>
    <w:p>
      <w:pPr>
        <w:pStyle w:val="Heading3"/>
      </w:pPr>
      <w:r>
        <w:t xml:space="preserve">3.5.5.3 Uji Sifat Matematis</w:t>
      </w:r>
    </w:p>
    <w:p>
      <w:pPr>
        <w:pStyle w:val="Caption"/>
        <w:keepNext/>
      </w:pPr>
      <w:r>
        <w:rPr>
          <w:rFonts w:ascii="Times New Roman" w:hAnsi="Times New Roman"/>
          <w:sz w:val="22"/>
        </w:rPr>
        <w:t xml:space="preserve">Tabel 3.20 Uji sifat matematis</w:t>
      </w:r>
    </w:p>
    <w:tbl>
      <w:tblPr>
        <w:tblStyle w:val="Table"/>
        <w:tblW w:type="pct" w:w="5000"/>
        <w:jc w:val="center"/>
        <w:tblLayout w:type="fixed"/>
        <w:tblLook w:firstRow="1" w:lastRow="0" w:firstColumn="0" w:lastColumn="0" w:noHBand="0" w:noVBand="0" w:val="0020"/>
        <w:tblLayout w:type="fixed"/>
      </w:tblPr>
      <w:tblGrid>
        <w:gridCol w:w="261"/>
        <w:gridCol w:w="1283"/>
        <w:gridCol w:w="2198"/>
        <w:gridCol w:w="849"/>
        <w:gridCol w:w="2977"/>
        <w:gridCol w:w="369"/>
      </w:tblGrid>
      <w:tr>
        <w:trPr>
          <w:tblHeader w:val="on"/>
          <w:cantSplit/>
          <w:tblHeader/>
        </w:trPr>
        <w:tc>
          <w:tcPr>
            <w:tcW w:type="dxa" w:w="261"/>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ID</w:t>
            </w:r>
          </w:p>
        </w:tc>
        <w:tc>
          <w:tcPr>
            <w:tcW w:type="dxa" w:w="1283"/>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Tujuan</w:t>
            </w:r>
          </w:p>
        </w:tc>
        <w:tc>
          <w:tcPr>
            <w:tcW w:type="dxa" w:w="2198"/>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Cara uji</w:t>
            </w:r>
          </w:p>
        </w:tc>
        <w:tc>
          <w:tcPr>
            <w:tcW w:type="dxa" w:w="849"/>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Hasil diharapkan</w:t>
            </w:r>
          </w:p>
        </w:tc>
        <w:tc>
          <w:tcPr>
            <w:tcW w:type="dxa" w:w="2977"/>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Hasil aktual</w:t>
            </w:r>
          </w:p>
        </w:tc>
        <w:tc>
          <w:tcPr>
            <w:tcW w:type="dxa" w:w="369"/>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Status</w:t>
            </w:r>
          </w:p>
        </w:tc>
      </w:tr>
      <w:tr>
        <w:trPr>
          <w:cantSplit/>
        </w:trPr>
        <w:tc>
          <w:tcPr>
            <w:tcW w:type="dxa" w:w="26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M1</w:t>
            </w:r>
          </w:p>
        </w:tc>
        <w:tc>
          <w:tcPr>
            <w:tcW w:type="dxa" w:w="128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Jumlah bobot = 1</w:t>
            </w:r>
          </w:p>
        </w:tc>
        <w:tc>
          <w:tcPr>
            <w:tcW w:type="dxa" w:w="21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Σwᵢ gabungan dan tiap narasumber</w:t>
            </w:r>
          </w:p>
        </w:tc>
        <w:tc>
          <w:tcPr>
            <w:tcW w:type="dxa" w:w="84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1</w:t>
            </w:r>
          </w:p>
        </w:tc>
        <w:tc>
          <w:tcPr>
            <w:tcW w:type="dxa" w:w="297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Gabungan 1,000000; narasumber 1,000000 / 1,000000 / 1,000000</w:t>
            </w:r>
          </w:p>
        </w:tc>
        <w:tc>
          <w:tcPr>
            <w:tcW w:type="dxa" w:w="36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w:t>
            </w:r>
          </w:p>
        </w:tc>
      </w:tr>
      <w:tr>
        <w:trPr>
          <w:cantSplit/>
        </w:trPr>
        <w:tc>
          <w:tcPr>
            <w:tcW w:type="dxa" w:w="26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M2</w:t>
            </w:r>
          </w:p>
        </w:tc>
        <w:tc>
          <w:tcPr>
            <w:tcW w:type="dxa" w:w="128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Matriks resiprokal</w:t>
            </w:r>
          </w:p>
        </w:tc>
        <w:tc>
          <w:tcPr>
            <w:tcW w:type="dxa" w:w="21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aᵢⱼ × aⱼᵢ = 1 untuk seluruh sel (toleransi 10</w:t>
            </w:r>
            <w:r>
              <w:rPr>
                <w:rFonts w:ascii="Times New Roman" w:hAnsi="Times New Roman"/>
                <w:sz w:val="20"/>
                <w:vertAlign w:val="superscript"/>
              </w:rPr>
              <w:t xml:space="preserve">−12</w:t>
            </w:r>
            <w:r>
              <w:rPr>
                <w:rFonts w:ascii="Times New Roman" w:hAnsi="Times New Roman"/>
                <w:sz w:val="20"/>
              </w:rPr>
              <w:t xml:space="preserve">)</w:t>
            </w:r>
          </w:p>
        </w:tc>
        <w:tc>
          <w:tcPr>
            <w:tcW w:type="dxa" w:w="84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Terpenuhi</w:t>
            </w:r>
          </w:p>
        </w:tc>
        <w:tc>
          <w:tcPr>
            <w:tcW w:type="dxa" w:w="297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Narasumber: ya; gabungan: ya</w:t>
            </w:r>
          </w:p>
        </w:tc>
        <w:tc>
          <w:tcPr>
            <w:tcW w:type="dxa" w:w="36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w:t>
            </w:r>
          </w:p>
        </w:tc>
      </w:tr>
      <w:tr>
        <w:trPr>
          <w:cantSplit/>
        </w:trPr>
        <w:tc>
          <w:tcPr>
            <w:tcW w:type="dxa" w:w="26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M3</w:t>
            </w:r>
          </w:p>
        </w:tc>
        <w:tc>
          <w:tcPr>
            <w:tcW w:type="dxa" w:w="128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Diagonal = 1</w:t>
            </w:r>
          </w:p>
        </w:tc>
        <w:tc>
          <w:tcPr>
            <w:tcW w:type="dxa" w:w="21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aᵢᵢ seluruh matriks</w:t>
            </w:r>
          </w:p>
        </w:tc>
        <w:tc>
          <w:tcPr>
            <w:tcW w:type="dxa" w:w="84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1</w:t>
            </w:r>
          </w:p>
        </w:tc>
        <w:tc>
          <w:tcPr>
            <w:tcW w:type="dxa" w:w="297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Seluruh diagonal bernilai 1</w:t>
            </w:r>
          </w:p>
        </w:tc>
        <w:tc>
          <w:tcPr>
            <w:tcW w:type="dxa" w:w="36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w:t>
            </w:r>
          </w:p>
        </w:tc>
      </w:tr>
      <w:tr>
        <w:trPr>
          <w:cantSplit/>
        </w:trPr>
        <w:tc>
          <w:tcPr>
            <w:tcW w:type="dxa" w:w="26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M4</w:t>
            </w:r>
          </w:p>
        </w:tc>
        <w:tc>
          <w:tcPr>
            <w:tcW w:type="dxa" w:w="128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Jumlah skor akhir = 1</w:t>
            </w:r>
          </w:p>
        </w:tc>
        <w:tc>
          <w:tcPr>
            <w:tcW w:type="dxa" w:w="2198"/>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ΣSₐ tiap bulan</w:t>
            </w:r>
          </w:p>
        </w:tc>
        <w:tc>
          <w:tcPr>
            <w:tcW w:type="dxa" w:w="84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1</w:t>
            </w:r>
          </w:p>
        </w:tc>
        <w:tc>
          <w:tcPr>
            <w:tcW w:type="dxa" w:w="2977"/>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Mei 1,000000; Juni 1,000000; Juli 1,000000; Agustus 1,000000; September 1,000000</w:t>
            </w:r>
          </w:p>
        </w:tc>
        <w:tc>
          <w:tcPr>
            <w:tcW w:type="dxa" w:w="369"/>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w:t>
            </w:r>
          </w:p>
        </w:tc>
      </w:tr>
      <w:tr>
        <w:trPr>
          <w:cantSplit/>
        </w:trPr>
        <w:tc>
          <w:tcPr>
            <w:tcW w:type="dxa" w:w="26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M5</w:t>
            </w:r>
          </w:p>
        </w:tc>
        <w:tc>
          <w:tcPr>
            <w:tcW w:type="dxa" w:w="128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Jumlah prioritas lokal = 1</w:t>
            </w:r>
          </w:p>
        </w:tc>
        <w:tc>
          <w:tcPr>
            <w:tcW w:type="dxa" w:w="2198"/>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Σlp tiap kriteria tiap bulan</w:t>
            </w:r>
          </w:p>
        </w:tc>
        <w:tc>
          <w:tcPr>
            <w:tcW w:type="dxa" w:w="84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1</w:t>
            </w:r>
          </w:p>
        </w:tc>
        <w:tc>
          <w:tcPr>
            <w:tcW w:type="dxa" w:w="2977"/>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Seluruh 20 jumlah = 1,000000</w:t>
            </w:r>
          </w:p>
        </w:tc>
        <w:tc>
          <w:tcPr>
            <w:tcW w:type="dxa" w:w="3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Lulus</w:t>
            </w:r>
          </w:p>
        </w:tc>
      </w:tr>
    </w:tbl>
    <w:bookmarkEnd w:id="15"/>
    <w:bookmarkStart w:id="16" w:name="uji-aturan-sistem"/>
    <w:p>
      <w:pPr>
        <w:pStyle w:val="Heading3"/>
      </w:pPr>
      <w:r>
        <w:t xml:space="preserve">3.5.5.4 Uji Aturan Sistem</w:t>
      </w:r>
    </w:p>
    <w:p>
      <w:pPr>
        <w:pStyle w:val="Caption"/>
        <w:keepNext/>
      </w:pPr>
      <w:r>
        <w:rPr>
          <w:rFonts w:ascii="Times New Roman" w:hAnsi="Times New Roman"/>
          <w:sz w:val="22"/>
        </w:rPr>
        <w:t xml:space="preserve">Tabel 3.21 Uji aturan sistem</w:t>
      </w:r>
    </w:p>
    <w:tbl>
      <w:tblPr>
        <w:tblStyle w:val="Table"/>
        <w:tblW w:type="pct" w:w="5000"/>
        <w:jc w:val="center"/>
        <w:tblLayout w:type="fixed"/>
        <w:tblLook w:firstRow="1" w:lastRow="0" w:firstColumn="0" w:lastColumn="0" w:noHBand="0" w:noVBand="0" w:val="0020"/>
        <w:tblLayout w:type="fixed"/>
      </w:tblPr>
      <w:tblGrid>
        <w:gridCol w:w="173"/>
        <w:gridCol w:w="1221"/>
        <w:gridCol w:w="1965"/>
        <w:gridCol w:w="1821"/>
        <w:gridCol w:w="1965"/>
        <w:gridCol w:w="791"/>
      </w:tblGrid>
      <w:tr>
        <w:trPr>
          <w:tblHeader w:val="on"/>
          <w:cantSplit/>
          <w:tblHeader/>
        </w:trPr>
        <w:tc>
          <w:tcPr>
            <w:tcW w:type="dxa" w:w="173"/>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ID</w:t>
            </w:r>
          </w:p>
        </w:tc>
        <w:tc>
          <w:tcPr>
            <w:tcW w:type="dxa" w:w="1221"/>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Tujuan</w:t>
            </w:r>
          </w:p>
        </w:tc>
        <w:tc>
          <w:tcPr>
            <w:tcW w:type="dxa" w:w="1965"/>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Cara uji</w:t>
            </w:r>
          </w:p>
        </w:tc>
        <w:tc>
          <w:tcPr>
            <w:tcW w:type="dxa" w:w="1821"/>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Hasil diharapkan</w:t>
            </w:r>
          </w:p>
        </w:tc>
        <w:tc>
          <w:tcPr>
            <w:tcW w:type="dxa" w:w="1965"/>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Hasil aktual</w:t>
            </w:r>
          </w:p>
        </w:tc>
        <w:tc>
          <w:tcPr>
            <w:tcW w:type="dxa" w:w="791"/>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Status</w:t>
            </w:r>
          </w:p>
        </w:tc>
      </w:tr>
      <w:tr>
        <w:trPr>
          <w:cantSplit/>
        </w:trPr>
        <w:tc>
          <w:tcPr>
            <w:tcW w:type="dxa" w:w="17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R1</w:t>
            </w:r>
          </w:p>
        </w:tc>
        <w:tc>
          <w:tcPr>
            <w:tcW w:type="dxa" w:w="12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Bobot 3 narasumber nyata memenuhi syarat</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Pemeriksaan syarat Run AHP dengan 3 penilaian final dari basis data</w:t>
            </w:r>
          </w:p>
        </w:tc>
        <w:tc>
          <w:tcPr>
            <w:tcW w:type="dxa" w:w="18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Tidak ada penolakan; Run AHP diizinkan</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Tidak ada pesan penolakan; Run AHP diizinkan</w:t>
            </w:r>
          </w:p>
        </w:tc>
        <w:tc>
          <w:tcPr>
            <w:tcW w:type="dxa" w:w="79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w:t>
            </w:r>
          </w:p>
        </w:tc>
      </w:tr>
      <w:tr>
        <w:trPr>
          <w:cantSplit/>
        </w:trPr>
        <w:tc>
          <w:tcPr>
            <w:tcW w:type="dxa" w:w="17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R2</w:t>
            </w:r>
          </w:p>
        </w:tc>
        <w:tc>
          <w:tcPr>
            <w:tcW w:type="dxa" w:w="12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Tolak bila narasumber final &lt; 2</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Pemeriksaan syarat dengan 1 penilaian final</w:t>
            </w:r>
          </w:p>
        </w:tc>
        <w:tc>
          <w:tcPr>
            <w:tcW w:type="dxa" w:w="18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Ditolak dengan pesan</w:t>
            </w:r>
            <w:r>
              <w:rPr>
                <w:rFonts w:ascii="Times New Roman" w:hAnsi="Times New Roman"/>
                <w:sz w:val="20"/>
              </w:rPr>
              <w:t xml:space="preserve"> </w:t>
            </w:r>
            <w:r>
              <w:rPr>
                <w:rFonts w:ascii="Times New Roman" w:hAnsi="Times New Roman"/>
                <w:sz w:val="20"/>
              </w:rPr>
              <w:t xml:space="preserve">“minimal 2”</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Pesan aplikasi:</w:t>
            </w:r>
            <w:r>
              <w:rPr>
                <w:rFonts w:ascii="Times New Roman" w:hAnsi="Times New Roman"/>
                <w:sz w:val="20"/>
              </w:rPr>
              <w:t xml:space="preserve"> </w:t>
            </w:r>
            <w:r>
              <w:rPr>
                <w:rFonts w:ascii="Times New Roman" w:hAnsi="Times New Roman"/>
                <w:sz w:val="20"/>
              </w:rPr>
              <w:t xml:space="preserve">“Run AHP ditolak: baru 1 narasumber berstatus final (minimal 2). Lengkapi penilaian di menu Master &gt; AHP.”</w:t>
            </w:r>
          </w:p>
        </w:tc>
        <w:tc>
          <w:tcPr>
            <w:tcW w:type="dxa" w:w="79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w:t>
            </w:r>
          </w:p>
        </w:tc>
      </w:tr>
      <w:tr>
        <w:trPr>
          <w:cantSplit/>
        </w:trPr>
        <w:tc>
          <w:tcPr>
            <w:tcW w:type="dxa" w:w="17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R3</w:t>
            </w:r>
          </w:p>
        </w:tc>
        <w:tc>
          <w:tcPr>
            <w:tcW w:type="dxa" w:w="12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Tolak bila CR gabungan ≥ 0,1</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Pemeriksaan syarat dengan 2 penilaian tidak konsisten (nilai KE–FM = 1/8)</w:t>
            </w:r>
          </w:p>
        </w:tc>
        <w:tc>
          <w:tcPr>
            <w:tcW w:type="dxa" w:w="18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Ditolak dengan pesan</w:t>
            </w:r>
            <w:r>
              <w:rPr>
                <w:rFonts w:ascii="Times New Roman" w:hAnsi="Times New Roman"/>
                <w:sz w:val="20"/>
              </w:rPr>
              <w:t xml:space="preserve"> </w:t>
            </w:r>
            <w:r>
              <w:rPr>
                <w:rFonts w:ascii="Times New Roman" w:hAnsi="Times New Roman"/>
                <w:sz w:val="20"/>
              </w:rPr>
              <w:t xml:space="preserve">“CR gabungan … ≥ 0.1”</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Pesan aplikasi:</w:t>
            </w:r>
            <w:r>
              <w:rPr>
                <w:rFonts w:ascii="Times New Roman" w:hAnsi="Times New Roman"/>
                <w:sz w:val="20"/>
              </w:rPr>
              <w:t xml:space="preserve"> </w:t>
            </w:r>
            <w:r>
              <w:rPr>
                <w:rFonts w:ascii="Times New Roman" w:hAnsi="Times New Roman"/>
                <w:sz w:val="20"/>
              </w:rPr>
              <w:t xml:space="preserve">“Run AHP ditolak: CR gabungan 1.097 ≥ 0.1. Tinjau ulang penilaian narasumber di menu Master &gt; AHP.”</w:t>
            </w:r>
          </w:p>
        </w:tc>
        <w:tc>
          <w:tcPr>
            <w:tcW w:type="dxa" w:w="79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w:t>
            </w:r>
          </w:p>
        </w:tc>
      </w:tr>
      <w:tr>
        <w:trPr>
          <w:cantSplit/>
        </w:trPr>
        <w:tc>
          <w:tcPr>
            <w:tcW w:type="dxa" w:w="17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R4</w:t>
            </w:r>
          </w:p>
        </w:tc>
        <w:tc>
          <w:tcPr>
            <w:tcW w:type="dxa" w:w="12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Tolak bila narasumber final &gt; 3</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Pemeriksaan syarat dengan 4 penilaian final</w:t>
            </w:r>
          </w:p>
        </w:tc>
        <w:tc>
          <w:tcPr>
            <w:tcW w:type="dxa" w:w="18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Ditolak dengan pesan</w:t>
            </w:r>
            <w:r>
              <w:rPr>
                <w:rFonts w:ascii="Times New Roman" w:hAnsi="Times New Roman"/>
                <w:sz w:val="20"/>
              </w:rPr>
              <w:t xml:space="preserve"> </w:t>
            </w:r>
            <w:r>
              <w:rPr>
                <w:rFonts w:ascii="Times New Roman" w:hAnsi="Times New Roman"/>
                <w:sz w:val="20"/>
              </w:rPr>
              <w:t xml:space="preserve">“maksimal 3”</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Pesan aplikasi:</w:t>
            </w:r>
            <w:r>
              <w:rPr>
                <w:rFonts w:ascii="Times New Roman" w:hAnsi="Times New Roman"/>
                <w:sz w:val="20"/>
              </w:rPr>
              <w:t xml:space="preserve"> </w:t>
            </w:r>
            <w:r>
              <w:rPr>
                <w:rFonts w:ascii="Times New Roman" w:hAnsi="Times New Roman"/>
                <w:sz w:val="20"/>
              </w:rPr>
              <w:t xml:space="preserve">“Run AHP ditolak: terdapat 4 narasumber final (maksimal 3). Hapus narasumber berlebih di menu Master &gt; AHP.”</w:t>
            </w:r>
          </w:p>
        </w:tc>
        <w:tc>
          <w:tcPr>
            <w:tcW w:type="dxa" w:w="79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w:t>
            </w:r>
          </w:p>
        </w:tc>
      </w:tr>
      <w:tr>
        <w:trPr>
          <w:cantSplit/>
        </w:trPr>
        <w:tc>
          <w:tcPr>
            <w:tcW w:type="dxa" w:w="17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R5</w:t>
            </w:r>
          </w:p>
        </w:tc>
        <w:tc>
          <w:tcPr>
            <w:tcW w:type="dxa" w:w="12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Penilaian CR ≥ 0,1 tidak boleh final</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Percobaan menyimpan penilaian tidak konsisten (KE–FM = 1/8) sebagai final dan sebagai draft</w:t>
            </w:r>
          </w:p>
        </w:tc>
        <w:tc>
          <w:tcPr>
            <w:tcW w:type="dxa" w:w="18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final ditolak; draft diterima</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Pesan aplikasi saat disimpan final:</w:t>
            </w:r>
            <w:r>
              <w:rPr>
                <w:rFonts w:ascii="Times New Roman" w:hAnsi="Times New Roman"/>
                <w:sz w:val="20"/>
              </w:rPr>
              <w:t xml:space="preserve"> </w:t>
            </w:r>
            <w:r>
              <w:rPr>
                <w:rFonts w:ascii="Times New Roman" w:hAnsi="Times New Roman"/>
                <w:sz w:val="20"/>
              </w:rPr>
              <w:t xml:space="preserve">“CR 1.097 ≥ 0.1: penilaian hanya dapat disimpan sebagai draft.”</w:t>
            </w:r>
            <w:r>
              <w:rPr>
                <w:rFonts w:ascii="Times New Roman" w:hAnsi="Times New Roman"/>
                <w:sz w:val="20"/>
              </w:rPr>
              <w:t xml:space="preserve">; sebagai draft tersimpan (CR=1.09743)</w:t>
            </w:r>
          </w:p>
        </w:tc>
        <w:tc>
          <w:tcPr>
            <w:tcW w:type="dxa" w:w="79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w:t>
            </w:r>
          </w:p>
        </w:tc>
      </w:tr>
      <w:tr>
        <w:trPr>
          <w:cantSplit/>
        </w:trPr>
        <w:tc>
          <w:tcPr>
            <w:tcW w:type="dxa" w:w="17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R6</w:t>
            </w:r>
          </w:p>
        </w:tc>
        <w:tc>
          <w:tcPr>
            <w:tcW w:type="dxa" w:w="12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Tie-break skor sama</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Dua area dengan data identik, urutan masukan dibalik</w:t>
            </w:r>
          </w:p>
        </w:tc>
        <w:tc>
          <w:tcPr>
            <w:tcW w:type="dxa" w:w="18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Skor sama; peringkat mengikuti urutan masukan (urutan nama area)</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masukan 1F,GF → 1F,GF; masukan GF,1F → GF,1F; skor 0.5000 = 0.5000</w:t>
            </w:r>
          </w:p>
        </w:tc>
        <w:tc>
          <w:tcPr>
            <w:tcW w:type="dxa" w:w="79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w:t>
            </w:r>
          </w:p>
        </w:tc>
      </w:tr>
      <w:tr>
        <w:trPr>
          <w:cantSplit/>
        </w:trPr>
        <w:tc>
          <w:tcPr>
            <w:tcW w:type="dxa" w:w="17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R7</w:t>
            </w:r>
          </w:p>
        </w:tc>
        <w:tc>
          <w:tcPr>
            <w:tcW w:type="dxa" w:w="12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FM = 0 diperlakukan 0,5 kali/bulan</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Area A FM = 0, area B FM = 1, data lain sama</w:t>
            </w:r>
          </w:p>
        </w:tc>
        <w:tc>
          <w:tcPr>
            <w:tcW w:type="dxa" w:w="18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pv A = 1/0,5 = 2, pv B = 1 → lp A = 2/3</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lp FM A = 0.66667</w:t>
            </w:r>
          </w:p>
        </w:tc>
        <w:tc>
          <w:tcPr>
            <w:tcW w:type="dxa" w:w="79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w:t>
            </w:r>
          </w:p>
        </w:tc>
      </w:tr>
      <w:tr>
        <w:trPr>
          <w:cantSplit/>
        </w:trPr>
        <w:tc>
          <w:tcPr>
            <w:tcW w:type="dxa" w:w="17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R8</w:t>
            </w:r>
          </w:p>
        </w:tc>
        <w:tc>
          <w:tcPr>
            <w:tcW w:type="dxa" w:w="12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Nilai di luar skala Saaty ditolak</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Penilaian KE–BL = 10</w:t>
            </w:r>
          </w:p>
        </w:tc>
        <w:tc>
          <w:tcPr>
            <w:tcW w:type="dxa" w:w="18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Penilaian ditolak (di luar skala Saaty)</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Pesan aplikasi:</w:t>
            </w:r>
            <w:r>
              <w:rPr>
                <w:rFonts w:ascii="Times New Roman" w:hAnsi="Times New Roman"/>
                <w:sz w:val="20"/>
              </w:rPr>
              <w:t xml:space="preserve"> </w:t>
            </w:r>
            <w:r>
              <w:rPr>
                <w:rFonts w:ascii="Times New Roman" w:hAnsi="Times New Roman"/>
                <w:sz w:val="20"/>
              </w:rPr>
              <w:t xml:space="preserve">“Nilai KE – BL harus pada skala Saaty 1/9..9.”</w:t>
            </w:r>
          </w:p>
        </w:tc>
        <w:tc>
          <w:tcPr>
            <w:tcW w:type="dxa" w:w="79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w:t>
            </w:r>
          </w:p>
        </w:tc>
      </w:tr>
      <w:tr>
        <w:trPr>
          <w:cantSplit/>
        </w:trPr>
        <w:tc>
          <w:tcPr>
            <w:tcW w:type="dxa" w:w="173"/>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R9</w:t>
            </w:r>
          </w:p>
        </w:tc>
        <w:tc>
          <w:tcPr>
            <w:tcW w:type="dxa" w:w="12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Tolak bila data area belum lengkap</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Inspeksi program dan antarmuka</w:t>
            </w:r>
          </w:p>
        </w:tc>
        <w:tc>
          <w:tcPr>
            <w:tcW w:type="dxa" w:w="182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Run AHP ditolak dengan pesan data belum lengkap</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left"/>
            </w:pPr>
            <w:r>
              <w:rPr>
                <w:rFonts w:ascii="Times New Roman" w:hAnsi="Times New Roman"/>
                <w:sz w:val="20"/>
              </w:rPr>
              <w:t xml:space="preserve">Sistem menolak bila ada area tanpa record. Pesan aplikasi:</w:t>
            </w:r>
            <w:r>
              <w:rPr>
                <w:rFonts w:ascii="Times New Roman" w:hAnsi="Times New Roman"/>
                <w:sz w:val="20"/>
              </w:rPr>
              <w:t xml:space="preserve"> </w:t>
            </w:r>
            <w:r>
              <w:rPr>
                <w:rFonts w:ascii="Times New Roman" w:hAnsi="Times New Roman"/>
                <w:sz w:val="20"/>
              </w:rPr>
              <w:t xml:space="preserve">“Data belum lengkap di semua area untuk bulan ini.”</w:t>
            </w:r>
            <w:r>
              <w:rPr>
                <w:rFonts w:ascii="Times New Roman" w:hAnsi="Times New Roman"/>
                <w:sz w:val="20"/>
              </w:rPr>
              <w:t xml:space="preserve">; tombol Run AHP juga nonaktif</w:t>
            </w:r>
          </w:p>
        </w:tc>
        <w:tc>
          <w:tcPr>
            <w:tcW w:type="dxa" w:w="79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Lulus (inspeksi program)</w:t>
            </w:r>
          </w:p>
        </w:tc>
      </w:tr>
      <w:tr>
        <w:trPr>
          <w:cantSplit/>
        </w:trPr>
        <w:tc>
          <w:tcPr>
            <w:tcW w:type="dxa" w:w="17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R10</w:t>
            </w:r>
          </w:p>
        </w:tc>
        <w:tc>
          <w:tcPr>
            <w:tcW w:type="dxa" w:w="122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Batas penyimpanan 3 narasumber</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Inspeksi program dan antarmuka (menu Master &gt; AHP)</w:t>
            </w:r>
          </w:p>
        </w:tc>
        <w:tc>
          <w:tcPr>
            <w:tcW w:type="dxa" w:w="182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Penyimpanan narasumber ke-4 ditolak</w:t>
            </w:r>
          </w:p>
        </w:tc>
        <w:tc>
          <w:tcPr>
            <w:tcW w:type="dxa" w:w="1965"/>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Sistem menolak bila jumlah narasumber ≥ 3. Pesan aplikasi:</w:t>
            </w:r>
            <w:r>
              <w:rPr>
                <w:rFonts w:ascii="Times New Roman" w:hAnsi="Times New Roman"/>
                <w:sz w:val="20"/>
              </w:rPr>
              <w:t xml:space="preserve"> </w:t>
            </w:r>
            <w:r>
              <w:rPr>
                <w:rFonts w:ascii="Times New Roman" w:hAnsi="Times New Roman"/>
                <w:sz w:val="20"/>
              </w:rPr>
              <w:t xml:space="preserve">“Maksimal 3 narasumber. Hapus salah satu terlebih dahulu.”</w:t>
            </w:r>
            <w:r>
              <w:rPr>
                <w:rFonts w:ascii="Times New Roman" w:hAnsi="Times New Roman"/>
                <w:sz w:val="20"/>
              </w:rPr>
              <w:t xml:space="preserve">; tombol Tambah Narasumber nonaktif</w:t>
            </w:r>
          </w:p>
        </w:tc>
        <w:tc>
          <w:tcPr>
            <w:tcW w:type="dxa" w:w="79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Lulus (inspeksi program)</w:t>
            </w:r>
          </w:p>
        </w:tc>
      </w:tr>
    </w:tbl>
    <w:bookmarkEnd w:id="16"/>
    <w:bookmarkStart w:id="17" w:name="X5e6bb7cdb742fd9a00cb5a1f40945ce9f76e4e3"/>
    <w:p>
      <w:pPr>
        <w:pStyle w:val="Heading3"/>
      </w:pPr>
      <w:r>
        <w:t xml:space="preserve">3.5.5.5 Validasi Peringkat dengan Penilaian Pihak Mal</w:t>
      </w:r>
    </w:p>
    <w:p>
      <w:pPr>
        <w:pStyle w:val="FirstParagraph"/>
      </w:pPr>
      <w:r>
        <w:t xml:space="preserve">Peringkat hasil aplikasi bulan September 2026 dibandingkan dengan penilaian pihak pengelola mal melalui wawancara.</w:t>
      </w:r>
    </w:p>
    <w:p>
      <w:pPr>
        <w:pStyle w:val="Caption"/>
        <w:keepNext/>
      </w:pPr>
      <w:r>
        <w:rPr>
          <w:rFonts w:ascii="Times New Roman" w:hAnsi="Times New Roman"/>
          <w:sz w:val="22"/>
        </w:rPr>
        <w:t xml:space="preserve">Tabel 3.22 Validasi peringkat dengan penilaian pihak mal, September 2026</w:t>
      </w:r>
    </w:p>
    <w:tbl>
      <w:tblPr>
        <w:tblStyle w:val="Table"/>
        <w:tblW w:type="pct" w:w="5000"/>
        <w:jc w:val="center"/>
        <w:tblLayout w:type="fixed"/>
        <w:tblLook w:firstRow="1" w:lastRow="0" w:firstColumn="0" w:lastColumn="0" w:noHBand="0" w:noVBand="0" w:val="0020"/>
        <w:tblLayout w:type="fixed"/>
      </w:tblPr>
      <w:tblGrid>
        <w:gridCol w:w="2316"/>
        <w:gridCol w:w="645"/>
        <w:gridCol w:w="910"/>
        <w:gridCol w:w="2425"/>
        <w:gridCol w:w="1641"/>
      </w:tblGrid>
      <w:tr>
        <w:trPr>
          <w:tblHeader w:val="on"/>
          <w:cantSplit/>
          <w:tblHeader/>
        </w:trPr>
        <w:tc>
          <w:tcPr>
            <w:tcW w:type="dxa" w:w="2316"/>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Peringkat aplikasi</w:t>
            </w:r>
          </w:p>
        </w:tc>
        <w:tc>
          <w:tcPr>
            <w:tcW w:type="dxa" w:w="645"/>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Area</w:t>
            </w:r>
          </w:p>
        </w:tc>
        <w:tc>
          <w:tcPr>
            <w:tcW w:type="dxa" w:w="910"/>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Skor</w:t>
            </w:r>
          </w:p>
        </w:tc>
        <w:tc>
          <w:tcPr>
            <w:tcW w:type="dxa" w:w="2425"/>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Penilaian pihak mal</w:t>
            </w:r>
          </w:p>
        </w:tc>
        <w:tc>
          <w:tcPr>
            <w:tcW w:type="dxa" w:w="1641"/>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spacing w:line="240" w:lineRule="auto" w:before="20" w:after="20"/>
              <w:jc w:val="center"/>
            </w:pPr>
            <w:r>
              <w:rPr>
                <w:rFonts w:ascii="Times New Roman" w:hAnsi="Times New Roman"/>
                <w:b/>
                <w:sz w:val="20"/>
              </w:rPr>
              <w:t xml:space="preserve">Sesuai/Tidak</w:t>
            </w:r>
          </w:p>
        </w:tc>
      </w:tr>
      <w:tr>
        <w:trPr>
          <w:cantSplit/>
        </w:trPr>
        <w:tc>
          <w:tcPr>
            <w:tcW w:type="dxa" w:w="231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1</w:t>
            </w:r>
          </w:p>
        </w:tc>
        <w:tc>
          <w:tcPr>
            <w:tcW w:type="dxa" w:w="64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1F</w:t>
            </w:r>
          </w:p>
        </w:tc>
        <w:tc>
          <w:tcPr>
            <w:tcW w:type="dxa" w:w="910"/>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0,2215</w:t>
            </w:r>
          </w:p>
        </w:tc>
        <w:tc>
          <w:tcPr>
            <w:tcW w:type="dxa" w:w="242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pPr>
          </w:p>
        </w:tc>
        <w:tc>
          <w:tcPr>
            <w:tcW w:type="dxa" w:w="164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pPr>
          </w:p>
        </w:tc>
      </w:tr>
      <w:tr>
        <w:trPr>
          <w:cantSplit/>
        </w:trPr>
        <w:tc>
          <w:tcPr>
            <w:tcW w:type="dxa" w:w="231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2</w:t>
            </w:r>
          </w:p>
        </w:tc>
        <w:tc>
          <w:tcPr>
            <w:tcW w:type="dxa" w:w="64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GF</w:t>
            </w:r>
          </w:p>
        </w:tc>
        <w:tc>
          <w:tcPr>
            <w:tcW w:type="dxa" w:w="910"/>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0,2191</w:t>
            </w:r>
          </w:p>
        </w:tc>
        <w:tc>
          <w:tcPr>
            <w:tcW w:type="dxa" w:w="242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pPr>
          </w:p>
        </w:tc>
        <w:tc>
          <w:tcPr>
            <w:tcW w:type="dxa" w:w="164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pPr>
          </w:p>
        </w:tc>
      </w:tr>
      <w:tr>
        <w:trPr>
          <w:cantSplit/>
        </w:trPr>
        <w:tc>
          <w:tcPr>
            <w:tcW w:type="dxa" w:w="231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3</w:t>
            </w:r>
          </w:p>
        </w:tc>
        <w:tc>
          <w:tcPr>
            <w:tcW w:type="dxa" w:w="64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LG</w:t>
            </w:r>
          </w:p>
        </w:tc>
        <w:tc>
          <w:tcPr>
            <w:tcW w:type="dxa" w:w="910"/>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0,2011</w:t>
            </w:r>
          </w:p>
        </w:tc>
        <w:tc>
          <w:tcPr>
            <w:tcW w:type="dxa" w:w="242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pPr>
          </w:p>
        </w:tc>
        <w:tc>
          <w:tcPr>
            <w:tcW w:type="dxa" w:w="164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pPr>
          </w:p>
        </w:tc>
      </w:tr>
      <w:tr>
        <w:trPr>
          <w:cantSplit/>
        </w:trPr>
        <w:tc>
          <w:tcPr>
            <w:tcW w:type="dxa" w:w="231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4</w:t>
            </w:r>
          </w:p>
        </w:tc>
        <w:tc>
          <w:tcPr>
            <w:tcW w:type="dxa" w:w="64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2F</w:t>
            </w:r>
          </w:p>
        </w:tc>
        <w:tc>
          <w:tcPr>
            <w:tcW w:type="dxa" w:w="910"/>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0,1881</w:t>
            </w:r>
          </w:p>
        </w:tc>
        <w:tc>
          <w:tcPr>
            <w:tcW w:type="dxa" w:w="242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pPr>
          </w:p>
        </w:tc>
        <w:tc>
          <w:tcPr>
            <w:tcW w:type="dxa" w:w="164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pPr>
          </w:p>
        </w:tc>
      </w:tr>
      <w:tr>
        <w:trPr>
          <w:cantSplit/>
        </w:trPr>
        <w:tc>
          <w:tcPr>
            <w:tcW w:type="dxa" w:w="2316"/>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5</w:t>
            </w:r>
          </w:p>
        </w:tc>
        <w:tc>
          <w:tcPr>
            <w:tcW w:type="dxa" w:w="64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center"/>
            </w:pPr>
            <w:r>
              <w:rPr>
                <w:rFonts w:ascii="Times New Roman" w:hAnsi="Times New Roman"/>
                <w:sz w:val="20"/>
              </w:rPr>
              <w:t xml:space="preserve">UG</w:t>
            </w:r>
          </w:p>
        </w:tc>
        <w:tc>
          <w:tcPr>
            <w:tcW w:type="dxa" w:w="910"/>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jc w:val="right"/>
            </w:pPr>
            <w:r>
              <w:rPr>
                <w:rFonts w:ascii="Times New Roman" w:hAnsi="Times New Roman"/>
                <w:sz w:val="20"/>
              </w:rPr>
              <w:t xml:space="preserve">0,1193</w:t>
            </w:r>
          </w:p>
        </w:tc>
        <w:tc>
          <w:tcPr>
            <w:tcW w:type="dxa" w:w="2425"/>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pPr>
          </w:p>
        </w:tc>
        <w:tc>
          <w:tcPr>
            <w:tcW w:type="dxa" w:w="1641"/>
            <w:tcBorders>
              <w:top w:val="single" w:sz="4" w:space="0" w:color="000000"/>
              <w:left w:val="single" w:sz="4" w:space="0" w:color="000000"/>
              <w:bottom w:val="single" w:sz="4" w:space="0" w:color="000000"/>
              <w:right w:val="single" w:sz="4" w:space="0" w:color="000000"/>
            </w:tcBorders>
            <w:vAlign w:val="center"/>
          </w:tcPr>
          <w:p>
            <w:pPr>
              <w:pStyle w:val="Compact"/>
              <w:keepNext/>
              <w:spacing w:line="240" w:lineRule="auto" w:before="20" w:after="20"/>
            </w:pPr>
          </w:p>
        </w:tc>
      </w:tr>
      <w:tr>
        <w:trPr>
          <w:cantSplit/>
        </w:trPr>
        <w:tc>
          <w:tcPr>
            <w:tcW w:type="dxa" w:w="231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6</w:t>
            </w:r>
          </w:p>
        </w:tc>
        <w:tc>
          <w:tcPr>
            <w:tcW w:type="dxa" w:w="645"/>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BS</w:t>
            </w:r>
          </w:p>
        </w:tc>
        <w:tc>
          <w:tcPr>
            <w:tcW w:type="dxa" w:w="910"/>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0,0509</w:t>
            </w:r>
          </w:p>
        </w:tc>
        <w:tc>
          <w:tcPr>
            <w:tcW w:type="dxa" w:w="2425"/>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pPr>
          </w:p>
        </w:tc>
        <w:tc>
          <w:tcPr>
            <w:tcW w:type="dxa" w:w="16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pPr>
          </w:p>
        </w:tc>
      </w:tr>
    </w:tbl>
    <w:bookmarkEnd w:id="17"/>
    <w:bookmarkEnd w:id="18"/>
    <w:bookmarkStart w:id="19" w:name="lampiran-a.-data-input-meiseptember-2026"/>
    <w:p>
      <w:pPr>
        <w:pStyle w:val="Heading2"/>
      </w:pPr>
      <w:r>
        <w:t xml:space="preserve">Lampiran A. Data Input Mei–September 2026</w:t>
      </w:r>
    </w:p>
    <w:p>
      <w:pPr>
        <w:pStyle w:val="Caption"/>
        <w:keepNext/>
      </w:pPr>
      <w:r>
        <w:rPr>
          <w:rFonts w:ascii="Times New Roman" w:hAnsi="Times New Roman"/>
          <w:sz w:val="22"/>
        </w:rPr>
        <w:t xml:space="preserve">Tabel A.1 Data input energi per area per bulan</w:t>
      </w:r>
    </w:p>
    <w:tbl>
      <w:tblPr>
        <w:tblStyle w:val="Table"/>
        <w:tblW w:type="auto" w:w="0"/>
        <w:jc w:val="center"/>
        <w:tblLook w:firstRow="1" w:lastRow="0" w:firstColumn="0" w:lastColumn="0" w:noHBand="0" w:noVBand="0" w:val="0020"/>
        <w:tblLayout w:type="fixed"/>
      </w:tblPr>
      <w:tblGrid>
        <w:gridCol w:w="1941"/>
        <w:gridCol w:w="669"/>
        <w:gridCol w:w="1206"/>
        <w:gridCol w:w="1581"/>
        <w:gridCol w:w="1206"/>
        <w:gridCol w:w="1333"/>
      </w:tblGrid>
      <w:tr>
        <w:trPr>
          <w:tblHeader w:val="on"/>
          <w:cantSplit/>
          <w:tblHeader/>
        </w:trPr>
        <w:tc>
          <w:tcPr>
            <w:tcW w:type="dxa" w:w="1941"/>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val="0"/>
              <w:spacing w:line="240" w:lineRule="auto" w:before="20" w:after="20"/>
              <w:jc w:val="center"/>
            </w:pPr>
            <w:r>
              <w:rPr>
                <w:rFonts w:ascii="Times New Roman" w:hAnsi="Times New Roman"/>
                <w:b/>
                <w:sz w:val="20"/>
              </w:rPr>
              <w:t xml:space="preserve">Bulan</w:t>
            </w:r>
          </w:p>
        </w:tc>
        <w:tc>
          <w:tcPr>
            <w:tcW w:type="dxa" w:w="669"/>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val="0"/>
              <w:spacing w:line="240" w:lineRule="auto" w:before="20" w:after="20"/>
              <w:jc w:val="center"/>
            </w:pPr>
            <w:r>
              <w:rPr>
                <w:rFonts w:ascii="Times New Roman" w:hAnsi="Times New Roman"/>
                <w:b/>
                <w:sz w:val="20"/>
              </w:rPr>
              <w:t xml:space="preserve">Area</w:t>
            </w:r>
          </w:p>
        </w:tc>
        <w:tc>
          <w:tcPr>
            <w:tcW w:type="dxa" w:w="1206"/>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val="0"/>
              <w:spacing w:line="240" w:lineRule="auto" w:before="20" w:after="20"/>
              <w:jc w:val="center"/>
            </w:pPr>
            <w:r>
              <w:rPr>
                <w:rFonts w:ascii="Times New Roman" w:hAnsi="Times New Roman"/>
                <w:b/>
                <w:sz w:val="20"/>
              </w:rPr>
              <w:t xml:space="preserve">KE (kWh)</w:t>
            </w:r>
          </w:p>
        </w:tc>
        <w:tc>
          <w:tcPr>
            <w:tcW w:type="dxa" w:w="1581"/>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val="0"/>
              <w:spacing w:line="240" w:lineRule="auto" w:before="20" w:after="20"/>
              <w:jc w:val="center"/>
            </w:pPr>
            <w:r>
              <w:rPr>
                <w:rFonts w:ascii="Times New Roman" w:hAnsi="Times New Roman"/>
                <w:b/>
                <w:sz w:val="20"/>
              </w:rPr>
              <w:t xml:space="preserve">BL (Rp)</w:t>
            </w:r>
          </w:p>
        </w:tc>
        <w:tc>
          <w:tcPr>
            <w:tcW w:type="dxa" w:w="1206"/>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val="0"/>
              <w:spacing w:line="240" w:lineRule="auto" w:before="20" w:after="20"/>
              <w:jc w:val="center"/>
            </w:pPr>
            <w:r>
              <w:rPr>
                <w:rFonts w:ascii="Times New Roman" w:hAnsi="Times New Roman"/>
                <w:b/>
                <w:sz w:val="20"/>
              </w:rPr>
              <w:t xml:space="preserve">DO (jam)</w:t>
            </w:r>
          </w:p>
        </w:tc>
        <w:tc>
          <w:tcPr>
            <w:tcW w:type="dxa" w:w="1333"/>
            <w:tcBorders>
              <w:top w:val="single" w:sz="4" w:space="0" w:color="000000"/>
              <w:left w:val="single" w:sz="4" w:space="0" w:color="000000"/>
              <w:bottom w:val="single" w:sz="4" w:space="0" w:color="000000"/>
              <w:right w:val="single" w:sz="4" w:space="0" w:color="000000"/>
            </w:tcBorders>
            <w:vAlign w:val="center"/>
            <w:shd w:val="clear" w:color="auto" w:fill="E7E6E6"/>
          </w:tcPr>
          <w:p>
            <w:pPr>
              <w:pStyle w:val="Compact"/>
              <w:keepNext w:val="0"/>
              <w:spacing w:line="240" w:lineRule="auto" w:before="20" w:after="20"/>
              <w:jc w:val="center"/>
            </w:pPr>
            <w:r>
              <w:rPr>
                <w:rFonts w:ascii="Times New Roman" w:hAnsi="Times New Roman"/>
                <w:b/>
                <w:sz w:val="20"/>
              </w:rPr>
              <w:t xml:space="preserve">FM (kali)</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Mei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1F</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480.598</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876.874.557</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372</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2</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Mei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2F</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368.992</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794.857.810</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372</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Mei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BS</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38.882</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88.118.539</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372</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2</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Mei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GF</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484.818</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780.120.732</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465</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Mei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LG</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403.087</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795.500.372</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372</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Mei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UG</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192.706</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438.670.440</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372</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2</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Juni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1F</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508.535</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927.150.205</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360</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Juni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2F</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380.654</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818.906.820</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360</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2</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Juni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BS</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37.109</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84.084.768</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360</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2</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Juni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GF</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525.995</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858.485.084</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450</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Juni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LG</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426.788</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845.347.794</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360</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Juni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UG</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192.298</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437.661.660</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360</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2</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Juli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1F</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517.746</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947.712.197</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372</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2</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Juli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2F</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363.532</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784.365.587</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372</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Juli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BS</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37.998</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86.104.406</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372</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2</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Juli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GF</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503.942</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812.904.663</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465</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Juli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LG</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417.436</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827.379.841</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372</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2</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Juli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UG</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186.855</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425.391.250</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372</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Agustus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1F</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538.863</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983.968.010</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372</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2</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Agustus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2F</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373.701</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803.876.080</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372</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Agustus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BS</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38.995</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88.363.015</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372</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Agustus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GF</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481.959</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807.797.601</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465</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Agustus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LG</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443.732</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883.739.418</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372</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Agustus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UG</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193.989</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439.657.160</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372</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2</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September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1F</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524.542</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961.355.140</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360</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September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2F</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370.358</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794.112.240</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360</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2</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September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BS</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41.596</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94.257.561</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360</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2</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September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GF</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597.748</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819.204.900</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450</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2</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September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LG</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442.942</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881.618.786</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360</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w:t>
            </w:r>
          </w:p>
        </w:tc>
      </w:tr>
      <w:tr>
        <w:trPr>
          <w:cantSplit/>
        </w:trPr>
        <w:tc>
          <w:tcPr>
            <w:tcW w:type="dxa" w:w="194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left"/>
            </w:pPr>
            <w:r>
              <w:rPr>
                <w:rFonts w:ascii="Times New Roman" w:hAnsi="Times New Roman"/>
                <w:sz w:val="20"/>
              </w:rPr>
              <w:t xml:space="preserve">September 2026</w:t>
            </w:r>
          </w:p>
        </w:tc>
        <w:tc>
          <w:tcPr>
            <w:tcW w:type="dxa" w:w="669"/>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center"/>
            </w:pPr>
            <w:r>
              <w:rPr>
                <w:rFonts w:ascii="Times New Roman" w:hAnsi="Times New Roman"/>
                <w:sz w:val="20"/>
              </w:rPr>
              <w:t xml:space="preserve">UG</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198.363</w:t>
            </w:r>
          </w:p>
        </w:tc>
        <w:tc>
          <w:tcPr>
            <w:tcW w:type="dxa" w:w="1581"/>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448.941.730</w:t>
            </w:r>
          </w:p>
        </w:tc>
        <w:tc>
          <w:tcPr>
            <w:tcW w:type="dxa" w:w="1206"/>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360</w:t>
            </w:r>
          </w:p>
        </w:tc>
        <w:tc>
          <w:tcPr>
            <w:tcW w:type="dxa" w:w="1333"/>
            <w:tcBorders>
              <w:top w:val="single" w:sz="4" w:space="0" w:color="000000"/>
              <w:left w:val="single" w:sz="4" w:space="0" w:color="000000"/>
              <w:bottom w:val="single" w:sz="4" w:space="0" w:color="000000"/>
              <w:right w:val="single" w:sz="4" w:space="0" w:color="000000"/>
            </w:tcBorders>
            <w:vAlign w:val="center"/>
          </w:tcPr>
          <w:p>
            <w:pPr>
              <w:pStyle w:val="Compact"/>
              <w:keepNext w:val="0"/>
              <w:spacing w:line="240" w:lineRule="auto" w:before="20" w:after="20"/>
              <w:jc w:val="right"/>
            </w:pPr>
            <w:r>
              <w:rPr>
                <w:rFonts w:ascii="Times New Roman" w:hAnsi="Times New Roman"/>
                <w:sz w:val="20"/>
              </w:rPr>
              <w:t xml:space="preserve">2</w:t>
            </w:r>
          </w:p>
        </w:tc>
      </w:tr>
    </w:tbl>
    <w:p>
      <w:pPr>
        <w:pStyle w:val="BodyText"/>
      </w:pPr>
      <w:r>
        <w:t xml:space="preserve">Nilai mentah penilaian narasumber telah dimuat pada Tabel 3.6, sehingga tidak dilampirkan terpisah.</w:t>
      </w:r>
    </w:p>
    <w:bookmarkEnd w:id="19"/>
    <w:bookmarkEnd w:id="20"/>
    <w:sectPr>
      <w:footerReference w:type="default" r:id="rId9"/>
      <w:footnotePr>
        <w:numRestart w:val="eachSect"/>
      </w:footnotePr>
      <w:pgSz w:w="11906" w:h="16838"/>
      <w:pgMar w:left="2268" w:top="1701" w:right="1701" w:bottom="1701" w:header="850" w:footer="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jc w:val="both"/>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120" w:before="0" w:line="276" w:lineRule="auto"/>
      <w:jc w:val="both"/>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jc w:val="left"/>
      <w:outlineLvl w:val="0"/>
    </w:pPr>
    <w:rPr>
      <w:rFonts w:ascii="Times New Roman" w:cs="Times New Roman" w:eastAsia="Times New Roman" w:hAnsi="Times New Roman"/>
      <w:b/>
      <w:i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jc w:val="left"/>
      <w:outlineLvl w:val="1"/>
    </w:pPr>
    <w:rPr>
      <w:rFonts w:ascii="Times New Roman" w:cs="Times New Roman" w:eastAsia="Times New Roman" w:hAnsi="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jc w:val="left"/>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60" w:before="120"/>
      <w:jc w:val="center"/>
    </w:pPr>
    <w:rPr>
      <w:rFonts w:ascii="Times New Roman" w:cs="Times New Roman" w:eastAsia="Times New Roman" w:hAnsi="Times New Roman"/>
      <w:b w:val="0"/>
      <w:i w:val="0"/>
      <w:color w:val="000000"/>
      <w:sz w:val="22"/>
    </w:rPr>
  </w:style>
  <w:style w:customStyle="1" w:styleId="TableCaption" w:type="paragraph">
    <w:name w:val="Table Caption"/>
    <w:basedOn w:val="Caption"/>
    <w:pPr>
      <w:keepNext/>
      <w:spacing w:after="60" w:before="120"/>
      <w:jc w:val="center"/>
    </w:pPr>
    <w:rPr>
      <w:rFonts w:ascii="Times New Roman" w:cs="Times New Roman" w:eastAsia="Times New Roman" w:hAnsi="Times New Roman"/>
      <w:b w:val="0"/>
      <w:i w:val="0"/>
      <w:color w:val="000000"/>
      <w:sz w:val="22"/>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2026-10-22T12:47:19Z</dcterms:created>
  <dcterms:modified xsi:type="dcterms:W3CDTF">2026-10-22T12:47:19Z</dcterms:modified>
</cp:coreProperties>
</file>

<file path=docProps/custom.xml><?xml version="1.0" encoding="utf-8"?>
<Properties xmlns="http://schemas.openxmlformats.org/officeDocument/2006/custom-properties" xmlns:vt="http://schemas.openxmlformats.org/officeDocument/2006/docPropsVTypes"/>
</file>