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Aparição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Horas já mortas, como andasse — em falta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um coração qualquer para entendê-las,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contar minhas mágoas em voz alta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Às arvores das ruas e às estrelas,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Ligeiros passos ouço de repente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trás de mim. Ólho e não vejo nada.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Ah! murmurei, é o vento, certamente,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varre as folhas secas da calçada.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Nascia a lua. O baço globo enorme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Sobe dentre os morros, pelo céu flutua.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Brilha a ardosia dos tetos, a água dorme,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Abrem-se as dálias, palpitando à lua.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às estrelas, e às arvores, em pranto,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Eu, como um ébrio, a minha dor contava;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Quando ouvi novos passos e, entre espanto,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 uma sombra que me acompanhava.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