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i w:val="1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b w:val="1"/>
          <w:sz w:val="32"/>
          <w:szCs w:val="32"/>
          <w:rtl w:val="0"/>
        </w:rPr>
        <w:t xml:space="preserve">  Terceiro Canto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Cajás! Não é que lembra à Laura um dia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(Que dia claro! esplende o mato e cheira!)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Chamar-me para em sua companhia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Saboreá-los sob a cajazeira!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– Vamos sós? perguntei-lhe. E a feiticeira: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– Então! tens medo de ir comigo? – E ria.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Compõe as tranças, salta-me ligeira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Ao braço, o braço no meu braço enfia.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– Uma carreira! – Uma carreira! – Aposto!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A um sinal breve dado de partida,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Corremos. Zune o vento em nosso rosto.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Mas eu me deixo atrás ficar, correndo,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Pois mais vale que a aposta da corrida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Ver-lhe as saias a voar, como vou vendo.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