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2A44"/>
          <w:sz w:val="36"/>
          <w:szCs w:val="36"/>
        </w:rPr>
        <w:t xml:space="preserve">ЭТАП 5. ПРОГНОЗ РАЗВИТИЯ ИНДУСТРИИ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2E5AAC"/>
          <w:sz w:val="26"/>
          <w:szCs w:val="26"/>
        </w:rPr>
        <w:t xml:space="preserve">Тезисы к защите: индустрия в 2027 году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Команда «Альтернативные разработчики» · компания RISC Foundation · архитектура RISC-V · чип V-Ruptor</w:t>
      </w:r>
    </w:p>
    <w:p>
      <w:pPr>
        <w:pStyle w:val="Heading1"/>
        <w:pBdr>
          <w:bottom w:val="single" w:color="2E5AAC" w:sz="6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1F2A44"/>
          <w:sz w:val="28"/>
          <w:szCs w:val="28"/>
        </w:rPr>
        <w:t xml:space="preserve">Главный тезис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К 2027 году индустрия перестанет спрашивать «RISC-V или нет» и начнёт спрашивать «какой профиль и какие расширения».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Выиграет тот, кто соединит открытость архитектуры с проверенной стандартизацией: свобода без совместимости превращается в хаос, а совместимость без свободы — в зависимость от одного владельца ISA.</w:t>
      </w:r>
    </w:p>
    <w:p>
      <w:pPr>
        <w:pStyle w:val="Heading1"/>
        <w:pBdr>
          <w:bottom w:val="single" w:color="2E5AAC" w:sz="6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1F2A44"/>
          <w:sz w:val="28"/>
          <w:szCs w:val="28"/>
        </w:rPr>
        <w:t xml:space="preserve">1. Три тренда, которые определят индустрию в 2027 году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5AAC"/>
          <w:sz w:val="24"/>
          <w:szCs w:val="24"/>
        </w:rPr>
        <w:t xml:space="preserve">Тренд 1. ИИ уходит на «край», и RISC-V для него — чистый лист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Суть.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В новом ИИ-железе нет огромного унаследованного софта, который защищал бы x86 и Arm, поэтому проектировать ускорители с нуля на открытой ISA выгодно. Векторное расширение RVV 1.0 уже ратифицировано, а собственные инструкции позволяют добавлять операции под нейросети, не ломая ОС и компиляторы.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Факты.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По оценке SHD Group, к 2031 году выручка чипов на RISC-V достигнет $318 млрд, причём около 70% приходится на ИИ. SiFive Intelligence X100 Gen 2 заявлен на 64 TFLOPS в FP8.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Прогноз.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В 2027 году у любого нового IoT- и edge-проекта первый вопрос будет «где векторный блок или NPU». Чип без аппаратной поддержки ИИ будет выглядеть устаревшим.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5AAC"/>
          <w:sz w:val="24"/>
          <w:szCs w:val="24"/>
        </w:rPr>
        <w:t xml:space="preserve">Тренд 2. Автомобили и промышленность: RISC-V заходит в safety-critical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Суть.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Автопроизводителям важно владеть своим дизайном, а не платить за закрытую ISA. Поэтому именно авто стало самым сильным сигналом внедрения.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Факты.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В январе 2026 года Quintauris (объединяет Bosch, Infineon, NXP и Qualcomm) объявила о партнёрстве с SiFive по стандартизации высокопроизводительного RISC-V для зональных контроллеров и ADAS. Infineon расширяет бренд AURIX новым семейством на RISC-V. Omdia ещё в 2024 году прогнозировала рост объёмов RISC-V в авто примерно на 66% в год.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Прогноз.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В 2027 году главным барьером станет не производительность, а функциональная безопасность и сертификация. Победят те, у кого есть готовые safety-пакеты и security-блоки (HSM, secure boot).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5AAC"/>
          <w:sz w:val="24"/>
          <w:szCs w:val="24"/>
        </w:rPr>
        <w:t xml:space="preserve">Тренд 3. Консолидация вокруг профиля RVA23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Суть.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Профиль — это набор расширений, который железо обязано поддерживать, а софт может на него рассчитывать. RVA23 делает прикладной RISC-V переносимым: один бинарник работает на любом совместимом процессоре.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Факты.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Canonical требует RVA23 с Ubuntu 25.10, а Ubuntu 26.04 LTS вышла в апреле 2026 года. Но по состоянию на июль 2026 года запустить её на физическом железе ещё нельзя (только эмулятор QEMU): софт опередил «железо». Одним из первых RVA23-чипов 2026 года называют SpacemiT K3.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Прогноз.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2027 год — год, когда RVA23-железо догонит софт. Чипы вне профилей станут нишевыми и будут жить в основном в микроконтроллерах.</w:t>
      </w:r>
    </w:p>
    <w:p>
      <w:pPr>
        <w:pStyle w:val="Heading1"/>
        <w:pBdr>
          <w:bottom w:val="single" w:color="2E5AAC" w:sz="6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1F2A44"/>
          <w:sz w:val="28"/>
          <w:szCs w:val="28"/>
        </w:rPr>
        <w:t xml:space="preserve">2. Угроза, которая может всё изменить: фрагментация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Главная сила RISC-V — свобода расширений — одновременно его главная слабость.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Если каждый вендор выпустит свой набор собственных расширений, получится «остров на каждый чип»: бинарники не переносятся, компиляторам и дистрибутивам приходится поддерживать десятки комбинаций, а ценность «открытого стандарта» исчезает. В этом случае выигрывают закрытые, но совместимые экосистемы Arm и x86.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Почему это реальный риск.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Профили RVA23 закрывают в основном прикладные процессоры. Для микроконтроллеров, где работает IoT, работа над профилями ещё идёт. Геополитика усиливает риск: Китаю нужна ISA вне американского экспортного контроля, и региональные «диалекты» могут разойтись.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За чем следить.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Сколько крупных чипов выходит без RVA23; появятся ли несовместимые ISA-расширения у крупных игроков; решения регуляторов по экспорту.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Как защищаемся мы.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Программная модель V-Ruptor остаётся совместимой с базовым профилем, а гибкость Hardware Polymorphism прячется за стандартными интерфейсами. Любые собственные инструкции мы публикуем с открытой документацией.</w:t>
      </w:r>
    </w:p>
    <w:p>
      <w:pPr>
        <w:pStyle w:val="Heading1"/>
        <w:pBdr>
          <w:bottom w:val="single" w:color="2E5AAC" w:sz="6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1F2A44"/>
          <w:sz w:val="28"/>
          <w:szCs w:val="28"/>
        </w:rPr>
        <w:t xml:space="preserve">3. Возможность, которую все упускают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Недорогой «умный» IoT-чип на зрелом техпроцессе.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Все смотрят на дата-центры и флагманские NPU, а между простым микроконтроллером и дорогим ИИ-чипом остаётся огромная ниша.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Почему ниша есть.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Умному дому, дронам и носимым устройствам нужны локальный ИИ, безопасность и низкое энергопотребление, а не 3 нм. По оценке GM Insights, IoT и embedded дают около 24% роста RISC-V.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Почему мы подходим.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V-Ruptor: 4 однородных ядра, 22 нм ULP, производство на разных фабриках (меньше зависимость от одной). Hardware Polymorphism (Silicon-Constructor) позволяет одному кристаллу играть несколько ролей и снижает цену входа для небольших заказчиков.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Прогноз.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Первым выиграет тот, кто даст малому производителю готовую платформу «чип + профиль + SDK», а не просто ядро в виде IP.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Оговорка: это наша гипотеза. Открытых данных о точном размере этой ниши мало, поэтому мы опираемся на направление роста, а не на одну цифру.</w:t>
      </w:r>
    </w:p>
    <w:p>
      <w:pPr>
        <w:pStyle w:val="Heading1"/>
        <w:pBdr>
          <w:bottom w:val="single" w:color="2E5AAC" w:sz="6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1F2A44"/>
          <w:sz w:val="28"/>
          <w:szCs w:val="28"/>
        </w:rPr>
        <w:t xml:space="preserve">Опора на факты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626"/>
      </w:tblGrid>
      <w:tr>
        <w:trPr>
          <w:tblHeader/>
        </w:trPr>
        <w:tc>
          <w:tcPr>
            <w:tcW w:type="dxa" w:w="2600"/>
            <w:tcBorders>
              <w:top w:val="single" w:color="B8C4DC" w:sz="4"/>
              <w:left w:val="single" w:color="B8C4DC" w:sz="4"/>
              <w:bottom w:val="single" w:color="B8C4DC" w:sz="4"/>
              <w:right w:val="single" w:color="B8C4DC" w:sz="4"/>
            </w:tcBorders>
            <w:shd w:fill="DCE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Показатель</w:t>
            </w:r>
          </w:p>
        </w:tc>
        <w:tc>
          <w:tcPr>
            <w:tcW w:type="dxa" w:w="3800"/>
            <w:tcBorders>
              <w:top w:val="single" w:color="B8C4DC" w:sz="4"/>
              <w:left w:val="single" w:color="B8C4DC" w:sz="4"/>
              <w:bottom w:val="single" w:color="B8C4DC" w:sz="4"/>
              <w:right w:val="single" w:color="B8C4DC" w:sz="4"/>
            </w:tcBorders>
            <w:shd w:fill="DCE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Значение</w:t>
            </w:r>
          </w:p>
        </w:tc>
        <w:tc>
          <w:tcPr>
            <w:tcW w:type="dxa" w:w="2626"/>
            <w:tcBorders>
              <w:top w:val="single" w:color="B8C4DC" w:sz="4"/>
              <w:left w:val="single" w:color="B8C4DC" w:sz="4"/>
              <w:bottom w:val="single" w:color="B8C4DC" w:sz="4"/>
              <w:right w:val="single" w:color="B8C4DC" w:sz="4"/>
            </w:tcBorders>
            <w:shd w:fill="DCE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Источник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8C4DC" w:sz="4"/>
              <w:left w:val="single" w:color="B8C4DC" w:sz="4"/>
              <w:bottom w:val="single" w:color="B8C4DC" w:sz="4"/>
              <w:right w:val="single" w:color="B8C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Чипы на RISC-V к 2031</w:t>
            </w:r>
          </w:p>
        </w:tc>
        <w:tc>
          <w:tcPr>
            <w:tcW w:type="dxa" w:w="3800"/>
            <w:tcBorders>
              <w:top w:val="single" w:color="B8C4DC" w:sz="4"/>
              <w:left w:val="single" w:color="B8C4DC" w:sz="4"/>
              <w:bottom w:val="single" w:color="B8C4DC" w:sz="4"/>
              <w:right w:val="single" w:color="B8C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35,9 млрд шт., выручка $318 млрд; около $222 млрд (≈70%) даёт ИИ-сегмент</w:t>
            </w:r>
          </w:p>
        </w:tc>
        <w:tc>
          <w:tcPr>
            <w:tcW w:type="dxa" w:w="2626"/>
            <w:tcBorders>
              <w:top w:val="single" w:color="B8C4DC" w:sz="4"/>
              <w:left w:val="single" w:color="B8C4DC" w:sz="4"/>
              <w:bottom w:val="single" w:color="B8C4DC" w:sz="4"/>
              <w:right w:val="single" w:color="B8C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SHD Group (через RISC-V International), 2026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8C4DC" w:sz="4"/>
              <w:left w:val="single" w:color="B8C4DC" w:sz="4"/>
              <w:bottom w:val="single" w:color="B8C4DC" w:sz="4"/>
              <w:right w:val="single" w:color="B8C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Рынок RISC-V (IP, ПО, оборудование)</w:t>
            </w:r>
          </w:p>
        </w:tc>
        <w:tc>
          <w:tcPr>
            <w:tcW w:type="dxa" w:w="3800"/>
            <w:tcBorders>
              <w:top w:val="single" w:color="B8C4DC" w:sz="4"/>
              <w:left w:val="single" w:color="B8C4DC" w:sz="4"/>
              <w:bottom w:val="single" w:color="B8C4DC" w:sz="4"/>
              <w:right w:val="single" w:color="B8C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$1,31 млрд в 2026 → $4,85 млрд к 2032, рост 24,3% в год</w:t>
            </w:r>
          </w:p>
        </w:tc>
        <w:tc>
          <w:tcPr>
            <w:tcW w:type="dxa" w:w="2626"/>
            <w:tcBorders>
              <w:top w:val="single" w:color="B8C4DC" w:sz="4"/>
              <w:left w:val="single" w:color="B8C4DC" w:sz="4"/>
              <w:bottom w:val="single" w:color="B8C4DC" w:sz="4"/>
              <w:right w:val="single" w:color="B8C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MarketsandMarkets, 2026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8C4DC" w:sz="4"/>
              <w:left w:val="single" w:color="B8C4DC" w:sz="4"/>
              <w:bottom w:val="single" w:color="B8C4DC" w:sz="4"/>
              <w:right w:val="single" w:color="B8C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Автомобили</w:t>
            </w:r>
          </w:p>
        </w:tc>
        <w:tc>
          <w:tcPr>
            <w:tcW w:type="dxa" w:w="3800"/>
            <w:tcBorders>
              <w:top w:val="single" w:color="B8C4DC" w:sz="4"/>
              <w:left w:val="single" w:color="B8C4DC" w:sz="4"/>
              <w:bottom w:val="single" w:color="B8C4DC" w:sz="4"/>
              <w:right w:val="single" w:color="B8C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Quintauris и SiFive стандартизируют RISC-V для зональных контроллеров и ADAS (янв. 2026); Infineon делает семейство AURIX на RISC-V</w:t>
            </w:r>
          </w:p>
        </w:tc>
        <w:tc>
          <w:tcPr>
            <w:tcW w:type="dxa" w:w="2626"/>
            <w:tcBorders>
              <w:top w:val="single" w:color="B8C4DC" w:sz="4"/>
              <w:left w:val="single" w:color="B8C4DC" w:sz="4"/>
              <w:bottom w:val="single" w:color="B8C4DC" w:sz="4"/>
              <w:right w:val="single" w:color="B8C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Next Waves Insight, 2026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8C4DC" w:sz="4"/>
              <w:left w:val="single" w:color="B8C4DC" w:sz="4"/>
              <w:bottom w:val="single" w:color="B8C4DC" w:sz="4"/>
              <w:right w:val="single" w:color="B8C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Единая база для софта</w:t>
            </w:r>
          </w:p>
        </w:tc>
        <w:tc>
          <w:tcPr>
            <w:tcW w:type="dxa" w:w="3800"/>
            <w:tcBorders>
              <w:top w:val="single" w:color="B8C4DC" w:sz="4"/>
              <w:left w:val="single" w:color="B8C4DC" w:sz="4"/>
              <w:bottom w:val="single" w:color="B8C4DC" w:sz="4"/>
              <w:right w:val="single" w:color="B8C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RVA23 ратифицирован в 2024; Ubuntu требует его с версии 25.10; Ubuntu 26.04 LTS вышла 23 апреля 2026</w:t>
            </w:r>
          </w:p>
        </w:tc>
        <w:tc>
          <w:tcPr>
            <w:tcW w:type="dxa" w:w="2626"/>
            <w:tcBorders>
              <w:top w:val="single" w:color="B8C4DC" w:sz="4"/>
              <w:left w:val="single" w:color="B8C4DC" w:sz="4"/>
              <w:bottom w:val="single" w:color="B8C4DC" w:sz="4"/>
              <w:right w:val="single" w:color="B8C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Canonical; youngju.dev, июль 2026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Цифры аналитиков отличаются в сотни раз, потому что рынок определяют по-разному: SHD считает выручку всех чипов на RISC-V, а MarketsandMarkets — рынок IP, ПО и сопутствующего оборудования. Поэтому мы опираемся на направление, а не на одну цифру.</w:t>
      </w:r>
    </w:p>
    <w:p>
      <w:pPr>
        <w:pStyle w:val="Heading1"/>
        <w:pBdr>
          <w:bottom w:val="single" w:color="2E5AAC" w:sz="6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1F2A44"/>
          <w:sz w:val="28"/>
          <w:szCs w:val="28"/>
        </w:rPr>
        <w:t xml:space="preserve">План выступления (5 минут)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0:00–0:30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Главный тезис: «какой профиль, а не какая архитектура».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0:30–2:30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Три тренда (по 40 секунд): ИИ на краю → автомобили → RVA23.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2:30–3:30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Угроза: фрагментация и как мы от неё защищаемся.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3:30–4:30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Возможность: умный IoT-чип на зрелом техпроцессе, V-Ruptor.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4:30–5:00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Вывод: открытость + стандарт = то, что выиграет в 2027 году.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5AAC"/>
          <w:sz w:val="24"/>
          <w:szCs w:val="24"/>
        </w:rPr>
        <w:t xml:space="preserve">Вероятные вопросы и короткие ответы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«Почему цифры аналитиков так сильно расходятся?»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Они определяют рынок по-разному (чипы целиком против IP и ПО), мы смотрим на общий вектор роста.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«Софт не готов — зачем RISC-V сейчас?»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Согласны: летом 2026 года LTS-дистрибутив ещё не запускался на реальном железе. Поэтому мы прогнозируем именно 2027 год как момент сближения софта и железа.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«Что, если фрагментация всё-таки случится?»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Мы держимся базового профиля и открытой документации, поэтому наш софт остаётся переносимым.</w:t>
      </w:r>
    </w:p>
    <w:p>
      <w:pPr>
        <w:pStyle w:val="Heading1"/>
        <w:pBdr>
          <w:bottom w:val="single" w:color="2E5AAC" w:sz="6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1F2A44"/>
          <w:sz w:val="28"/>
          <w:szCs w:val="28"/>
        </w:rPr>
        <w:t xml:space="preserve">Источники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SHD Group, RISC-V Market Forecast 2026 — riscv.org/blog/shd-forecast-2026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MarketsandMarkets, RISC-V Market (2026) — marketsandmarkets.com/Market-Reports/risc-v-market-263639200.html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Next Waves Insight, RISC-V in 2026: AI, Automotive, and China Drive Adoption — nextwavesinsight.com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Omdia, RISC-V adoption to be accelerated by AI — tfir.io/risc-v-adoption-to-be-accelerated-by-ai-omdia-report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Canonical, RISC-V profiles – why is RVA23 significant? — canonical.com/blog/risc-v-profiles-why-is-rva23-significant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The RISC-V RVA23 Profile (по состоянию на 16.07.2026) — youngju.dev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Promwad, RISC-V Profiles for Real Products — promwad.com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GM Insights, RISC-V Market Size and Share 2026–2035 — gminsights.com</w:t>
      </w:r>
    </w:p>
    <w:sectPr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Этап 5. Прогноз развития индустрии</dc:title>
  <dc:creator>RISC Foundation</dc:creator>
  <cp:lastModifiedBy>Un-named</cp:lastModifiedBy>
  <cp:revision>1</cp:revision>
  <dcterms:created xsi:type="dcterms:W3CDTF">2026-10-19T07:25:41.879Z</dcterms:created>
  <dcterms:modified xsi:type="dcterms:W3CDTF">2026-10-19T07:25:41.880Z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