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9.png" ContentType="image/png"/>
  <Override PartName="/word/media/rId33.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9.png" ContentType="image/png"/>
  <Override PartName="/word/media/rId93.png" ContentType="image/png"/>
  <Override PartName="/word/media/rId97.png" ContentType="image/png"/>
  <Override PartName="/word/media/rId101.png" ContentType="image/png"/>
  <Override PartName="/word/media/rId105.png" ContentType="image/png"/>
  <Override PartName="/word/media/rId113.png" ContentType="image/png"/>
  <Override PartName="/word/media/rId117.png" ContentType="image/png"/>
  <Override PartName="/word/media/rId121.png" ContentType="image/png"/>
  <Override PartName="/word/media/rId125.png" ContentType="image/png"/>
  <Override PartName="/word/media/rId129.png" ContentType="image/png"/>
  <Override PartName="/word/media/rId135.png" ContentType="image/png"/>
  <Override PartName="/word/media/rId139.png" ContentType="image/png"/>
  <Override PartName="/word/media/rId143.png" ContentType="image/png"/>
  <Override PartName="/word/media/rId149.png" ContentType="image/png"/>
  <Override PartName="/word/media/rId153.png" ContentType="image/png"/>
  <Override PartName="/word/media/rId1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Measles</w:t>
      </w:r>
      <w:r>
        <w:t xml:space="preserve"> </w:t>
      </w:r>
      <w:r>
        <w:t xml:space="preserve">and</w:t>
      </w:r>
      <w:r>
        <w:t xml:space="preserve"> </w:t>
      </w:r>
      <w:r>
        <w:t xml:space="preserve">Rubella</w:t>
      </w:r>
      <w:r>
        <w:t xml:space="preserve"> </w:t>
      </w:r>
      <w:r>
        <w:t xml:space="preserve">Risk</w:t>
      </w:r>
      <w:r>
        <w:t xml:space="preserve"> </w:t>
      </w:r>
      <w:r>
        <w:t xml:space="preserve">Assessment</w:t>
      </w:r>
      <w:r>
        <w:t xml:space="preserve"> </w:t>
      </w:r>
      <w:r>
        <w:t xml:space="preserve">Final</w:t>
      </w:r>
      <w:r>
        <w:t xml:space="preserve"> </w:t>
      </w:r>
      <w:r>
        <w:t xml:space="preserve">Report</w:t>
      </w:r>
      <w:r>
        <w:t xml:space="preserve"> </w:t>
      </w:r>
      <w:r>
        <w:t xml:space="preserve">-</w:t>
      </w:r>
      <w:r>
        <w:t xml:space="preserve"> </w:t>
      </w:r>
      <w:r>
        <w:t xml:space="preserve">Caribbean</w:t>
      </w:r>
    </w:p>
    <w:p>
      <w:pPr>
        <w:pStyle w:val="Author"/>
      </w:pPr>
      <w:r>
        <w:t xml:space="preserve">Measles</w:t>
      </w:r>
      <w:r>
        <w:t xml:space="preserve"> </w:t>
      </w:r>
      <w:r>
        <w:t xml:space="preserve">and</w:t>
      </w:r>
      <w:r>
        <w:t xml:space="preserve"> </w:t>
      </w:r>
      <w:r>
        <w:t xml:space="preserve">Rubella</w:t>
      </w:r>
      <w:r>
        <w:t xml:space="preserve"> </w:t>
      </w:r>
      <w:r>
        <w:t xml:space="preserve">Risk</w:t>
      </w:r>
      <w:r>
        <w:t xml:space="preserve"> </w:t>
      </w:r>
      <w:r>
        <w:t xml:space="preserve">Assessment</w:t>
      </w:r>
      <w:r>
        <w:t xml:space="preserve"> </w:t>
      </w:r>
      <w:r>
        <w:t xml:space="preserve">Profile</w:t>
      </w:r>
      <w:r>
        <w:t xml:space="preserve"> </w:t>
      </w:r>
      <w:r>
        <w:t xml:space="preserve">-</w:t>
      </w:r>
      <w:r>
        <w:t xml:space="preserve"> </w:t>
      </w:r>
      <w:r>
        <w:t xml:space="preserve">Caribbean,</w:t>
      </w:r>
      <w:r>
        <w:t xml:space="preserve"> </w:t>
      </w:r>
      <w:r>
        <w:t xml:space="preserve">03.11.2024</w:t>
      </w:r>
    </w:p>
    <w:p>
      <w:pPr>
        <w:pStyle w:val="Date"/>
      </w:pPr>
      <w:r>
        <w:drawing>
          <wp:inline>
            <wp:extent cx="1066800" cy="651612"/>
            <wp:effectExtent b="0" l="0" r="0" t="0"/>
            <wp:docPr descr="" title="" id="21" name="Picture"/>
            <a:graphic>
              <a:graphicData uri="http://schemas.openxmlformats.org/drawingml/2006/picture">
                <pic:pic>
                  <pic:nvPicPr>
                    <pic:cNvPr descr="Dashboard/www/country_flag.png" id="22" name="Picture"/>
                    <pic:cNvPicPr>
                      <a:picLocks noChangeArrowheads="1" noChangeAspect="1"/>
                    </pic:cNvPicPr>
                  </pic:nvPicPr>
                  <pic:blipFill>
                    <a:blip r:embed="rId20"/>
                    <a:stretch>
                      <a:fillRect/>
                    </a:stretch>
                  </pic:blipFill>
                  <pic:spPr bwMode="auto">
                    <a:xfrm>
                      <a:off x="0" y="0"/>
                      <a:ext cx="1066800" cy="651612"/>
                    </a:xfrm>
                    <a:prstGeom prst="rect">
                      <a:avLst/>
                    </a:prstGeom>
                    <a:noFill/>
                    <a:ln w="9525">
                      <a:noFill/>
                      <a:headEnd/>
                      <a:tailEnd/>
                    </a:ln>
                  </pic:spPr>
                </pic:pic>
              </a:graphicData>
            </a:graphic>
          </wp:inline>
        </w:drawing>
      </w:r>
    </w:p>
    <w:p>
      <w:r>
        <w:br w:type="page"/>
      </w:r>
    </w:p>
    <w:bookmarkStart w:id="162" w:name="background"/>
    <w:p>
      <w:pPr>
        <w:pStyle w:val="Heading1"/>
      </w:pPr>
      <w:r>
        <w:t xml:space="preserve">Background</w:t>
      </w:r>
    </w:p>
    <w:p>
      <w:pPr>
        <w:pStyle w:val="FirstParagraph"/>
      </w:pPr>
      <w:r>
        <w:t xml:space="preserve">The Pan American Health Organization/World Health Organization (PAHO/WHO) Measles and Rubella Risk Assessment Tool identifies areas that are not meeting programmatic targets for measles and rubella. Therefore, the results of the risk assessment will guide and strengthen activities for the sustainable elimination of these diseases, in order to educate the risk of outbreaks.</w:t>
      </w:r>
    </w:p>
    <w:p>
      <w:pPr>
        <w:pStyle w:val="BodyText"/>
      </w:pPr>
      <w:r>
        <w:t xml:space="preserve">This tool assesses risk at the país level by summing indicator points in five categories: population immunity, surveillance quality, program performance, threat assessment, and rapid response. Each paísity in the country is assigned a programmatic risk category: low, medium, high, or very high , based on the final score obtained. The scoring for each indicator was based on expert consensus. The range of possible scores goes from 0 to 100 risk points, according to the following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Risk categories</w:t>
            </w:r>
          </w:p>
        </w:tc>
        <w:tc>
          <w:tcPr/>
          <w:p>
            <w:pPr>
              <w:pStyle w:val="Compact"/>
              <w:jc w:val="right"/>
            </w:pPr>
            <w:r>
              <w:t xml:space="preserve">Total Risk Points</w:t>
            </w:r>
          </w:p>
        </w:tc>
      </w:tr>
      <w:tr>
        <w:tc>
          <w:tcPr/>
          <w:p>
            <w:pPr>
              <w:pStyle w:val="Compact"/>
              <w:jc w:val="left"/>
            </w:pPr>
            <w:r>
              <w:t xml:space="preserve">Low risk</w:t>
            </w:r>
          </w:p>
        </w:tc>
        <w:tc>
          <w:tcPr/>
          <w:p>
            <w:pPr>
              <w:pStyle w:val="Compact"/>
              <w:jc w:val="right"/>
            </w:pPr>
            <w:r>
              <w:t xml:space="preserve">Less than 26 points</w:t>
            </w:r>
          </w:p>
        </w:tc>
      </w:tr>
      <w:tr>
        <w:tc>
          <w:tcPr/>
          <w:p>
            <w:pPr>
              <w:pStyle w:val="Compact"/>
              <w:jc w:val="left"/>
            </w:pPr>
            <w:r>
              <w:t xml:space="preserve">Medium risk</w:t>
            </w:r>
          </w:p>
        </w:tc>
        <w:tc>
          <w:tcPr/>
          <w:p>
            <w:pPr>
              <w:pStyle w:val="Compact"/>
              <w:jc w:val="right"/>
            </w:pPr>
            <w:r>
              <w:t xml:space="preserve">Between 26 and 50 points</w:t>
            </w:r>
          </w:p>
        </w:tc>
      </w:tr>
      <w:tr>
        <w:tc>
          <w:tcPr/>
          <w:p>
            <w:pPr>
              <w:pStyle w:val="Compact"/>
              <w:jc w:val="left"/>
            </w:pPr>
            <w:r>
              <w:t xml:space="preserve">High risk</w:t>
            </w:r>
          </w:p>
        </w:tc>
        <w:tc>
          <w:tcPr/>
          <w:p>
            <w:pPr>
              <w:pStyle w:val="Compact"/>
              <w:jc w:val="right"/>
            </w:pPr>
            <w:r>
              <w:t xml:space="preserve">Between 51 and 75 points</w:t>
            </w:r>
          </w:p>
        </w:tc>
      </w:tr>
      <w:tr>
        <w:tc>
          <w:tcPr/>
          <w:p>
            <w:pPr>
              <w:pStyle w:val="Compact"/>
              <w:jc w:val="left"/>
            </w:pPr>
            <w:r>
              <w:t xml:space="preserve">Very high risk</w:t>
            </w:r>
          </w:p>
        </w:tc>
        <w:tc>
          <w:tcPr/>
          <w:p>
            <w:pPr>
              <w:pStyle w:val="Compact"/>
              <w:jc w:val="right"/>
            </w:pPr>
            <w:r>
              <w:t xml:space="preserve">More than 100 points</w:t>
            </w:r>
          </w:p>
        </w:tc>
      </w:tr>
    </w:tbl>
    <w:bookmarkStart w:id="23" w:name="risk-indicators"/>
    <w:p>
      <w:pPr>
        <w:pStyle w:val="Heading2"/>
      </w:pPr>
      <w:r>
        <w:t xml:space="preserve">Risk indicators</w:t>
      </w:r>
    </w:p>
    <w:p>
      <w:pPr>
        <w:pStyle w:val="Compact"/>
        <w:numPr>
          <w:ilvl w:val="0"/>
          <w:numId w:val="1001"/>
        </w:numPr>
      </w:pPr>
      <w:r>
        <w:t xml:space="preserve">Population immunity: Evaluates susceptibility risk for measles and rubella using reported administrative coverage for the first and second doses of measles-mumps-rubella vaccine (MMR1 and MMR2, respectively); and the coverage obtained in the latest follow-up campaign carried out in the country. This indicator also includes the proportion of suspected cases of measles and rubella who were not vaccinated or whose vaccination history is not known. (Total points = 40)</w:t>
      </w:r>
    </w:p>
    <w:p>
      <w:pPr>
        <w:pStyle w:val="Compact"/>
        <w:numPr>
          <w:ilvl w:val="0"/>
          <w:numId w:val="1001"/>
        </w:numPr>
      </w:pPr>
      <w:r>
        <w:t xml:space="preserve">Surveillance quality: Evaluates the sensitivity of the paísity for timely detection and confirmation of measles and rubella cases. Indicators in this category include the annual reporting rate for suspected cases of measles and rubella; the proportion of suspected cases with adequate investigation (home visit within 48 hours after notification and completion of eight of the 11 key variables); the proportion of cases with an adequate sample in &lt; 30 days; and the proportion of blood samples received in the laboratory in &lt; 5 days. (Total points = 20)</w:t>
      </w:r>
    </w:p>
    <w:p>
      <w:pPr>
        <w:pStyle w:val="Compact"/>
        <w:numPr>
          <w:ilvl w:val="0"/>
          <w:numId w:val="1001"/>
        </w:numPr>
      </w:pPr>
      <w:r>
        <w:t xml:space="preserve">Program performance: Evaluates specific aspects of routine immunization services, including administrative coverage indicators for MMR1 and MMR2; drop-out rate for MMR1-MMR2; and for the first dose of pentavalent vaccine (diphtheria-tetanus-pertussis [DTaP], hepatitis B, and Haemophilus influenzae) and MMR1. (Total points = 16)</w:t>
      </w:r>
    </w:p>
    <w:p>
      <w:pPr>
        <w:pStyle w:val="Compact"/>
        <w:numPr>
          <w:ilvl w:val="0"/>
          <w:numId w:val="1001"/>
        </w:numPr>
      </w:pPr>
      <w:r>
        <w:t xml:space="preserve">Threat assessment: Considers factors that may influence the risk of introduction and spread of measles and rubella in the population. These indicators include population density and the presence of vulnerable groups. (Total points = 12)</w:t>
      </w:r>
    </w:p>
    <w:p>
      <w:pPr>
        <w:pStyle w:val="Compact"/>
        <w:numPr>
          <w:ilvl w:val="0"/>
          <w:numId w:val="1001"/>
        </w:numPr>
      </w:pPr>
      <w:r>
        <w:t xml:space="preserve">Rapid response to imported cases of measles and rubella: Considers the presence of a rapid response to imported cases of measles and rubella. Indicators are measured at the subnational level and include the presence of a trained rapid response team and the proportion of hospitals trained to triage and isolate highly suspected cases of measles and rubella. (Total points = 12)</w:t>
      </w:r>
    </w:p>
    <w:p>
      <w:pPr>
        <w:pStyle w:val="FirstParagraph"/>
      </w:pPr>
      <w:r>
        <w:t xml:space="preserve">The tool can be used periodically by managers of national immunization, epidemiological surveillance, and laboratory programs to monitor implementation of measles and rubella sustainability strategies in the country. The tool requires data that is readily available and routinely collected by immunization and surveillance programs. Results are visualized through tables and maps, by paísity, with colors assigned to each risk category. In addition, país risk scores can be displayed by indicator, facilitating a better understanding of the programmatic weaknesses contributing to the final risk assessment score.</w:t>
      </w:r>
    </w:p>
    <w:p>
      <w:r>
        <w:br w:type="page"/>
      </w:r>
    </w:p>
    <w:bookmarkEnd w:id="23"/>
    <w:bookmarkStart w:id="37" w:name="Xaf1a960185eea417076196d4b74ed0e6fc7ce0b"/>
    <w:p>
      <w:pPr>
        <w:pStyle w:val="Heading2"/>
      </w:pPr>
      <w:r>
        <w:t xml:space="preserve">Section 1: Overall measles and rubella risk profile</w:t>
      </w:r>
    </w:p>
    <w:p>
      <w:pPr>
        <w:pStyle w:val="FirstParagraph"/>
      </w:pPr>
      <w:r>
        <w:t xml:space="preserve">From 21 countries in Caribbean, 0 (0%) were categorized as very high risk, 6 (28.6%) were categorized as high risk, 15 (71.4%) were categorized as medium risk, and 0 (0%) were categorized as low risk.</w:t>
      </w:r>
    </w:p>
    <w:bookmarkStart w:id="24" w:name="Xbe389283886baa1ec371ce2c0a351a492c3737f"/>
    <w:p>
      <w:pPr>
        <w:pStyle w:val="Heading4"/>
      </w:pPr>
      <w:r>
        <w:t xml:space="preserve">Table 1a: Number of paísities in general profile, Caribbean,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Risk categories</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Medium risk</w:t>
            </w:r>
          </w:p>
        </w:tc>
        <w:tc>
          <w:tcPr/>
          <w:p>
            <w:pPr>
              <w:pStyle w:val="Compact"/>
              <w:jc w:val="right"/>
            </w:pPr>
            <w:r>
              <w:t xml:space="preserve">15</w:t>
            </w:r>
          </w:p>
        </w:tc>
        <w:tc>
          <w:tcPr/>
          <w:p>
            <w:pPr>
              <w:pStyle w:val="Compact"/>
              <w:jc w:val="right"/>
            </w:pPr>
            <w:r>
              <w:t xml:space="preserve">71.4%</w:t>
            </w:r>
          </w:p>
        </w:tc>
      </w:tr>
      <w:tr>
        <w:tc>
          <w:tcPr/>
          <w:p>
            <w:pPr>
              <w:pStyle w:val="Compact"/>
              <w:jc w:val="left"/>
            </w:pPr>
            <w:r>
              <w:t xml:space="preserve">High risk</w:t>
            </w:r>
          </w:p>
        </w:tc>
        <w:tc>
          <w:tcPr/>
          <w:p>
            <w:pPr>
              <w:pStyle w:val="Compact"/>
              <w:jc w:val="right"/>
            </w:pPr>
            <w:r>
              <w:t xml:space="preserve">6</w:t>
            </w:r>
          </w:p>
        </w:tc>
        <w:tc>
          <w:tcPr/>
          <w:p>
            <w:pPr>
              <w:pStyle w:val="Compact"/>
              <w:jc w:val="right"/>
            </w:pPr>
            <w:r>
              <w:t xml:space="preserve">28.6%</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24"/>
    <w:bookmarkStart w:id="28" w:name="X5809e09b80d67d0f08c36de60dd2ce12691fd71"/>
    <w:p>
      <w:pPr>
        <w:pStyle w:val="Heading4"/>
      </w:pPr>
      <w:r>
        <w:t xml:space="preserve">Figure 1a: Risk assessment for measles and rubella Caribbean, 2019-2023.</w:t>
      </w:r>
    </w:p>
    <w:p>
      <w:pPr>
        <w:pStyle w:val="FirstParagraph"/>
      </w:pPr>
      <w:r>
        <w:drawing>
          <wp:inline>
            <wp:extent cx="4160520" cy="3120390"/>
            <wp:effectExtent b="0" l="0" r="0" t="0"/>
            <wp:docPr descr="" title="" id="26" name="Picture"/>
            <a:graphic>
              <a:graphicData uri="http://schemas.openxmlformats.org/drawingml/2006/picture">
                <pic:pic>
                  <pic:nvPicPr>
                    <pic:cNvPr descr="figures/fig_1a.png" id="27" name="Picture"/>
                    <pic:cNvPicPr>
                      <a:picLocks noChangeArrowheads="1" noChangeAspect="1"/>
                    </pic:cNvPicPr>
                  </pic:nvPicPr>
                  <pic:blipFill>
                    <a:blip r:embed="rId25"/>
                    <a:stretch>
                      <a:fillRect/>
                    </a:stretch>
                  </pic:blipFill>
                  <pic:spPr bwMode="auto">
                    <a:xfrm>
                      <a:off x="0" y="0"/>
                      <a:ext cx="4160520" cy="3120390"/>
                    </a:xfrm>
                    <a:prstGeom prst="rect">
                      <a:avLst/>
                    </a:prstGeom>
                    <a:noFill/>
                    <a:ln w="9525">
                      <a:noFill/>
                      <a:headEnd/>
                      <a:tailEnd/>
                    </a:ln>
                  </pic:spPr>
                </pic:pic>
              </a:graphicData>
            </a:graphic>
          </wp:inline>
        </w:drawing>
      </w:r>
    </w:p>
    <w:bookmarkEnd w:id="28"/>
    <w:bookmarkStart w:id="32" w:name="X8aec5042db87e20f4a3dd9fa70cf578f2dd4e63"/>
    <w:p>
      <w:pPr>
        <w:pStyle w:val="Heading4"/>
      </w:pPr>
      <w:r>
        <w:t xml:space="preserve">Figure 1b: Risk map for very high-risk paísities, Caribbean, 2019-2023.</w:t>
      </w:r>
    </w:p>
    <w:p>
      <w:pPr>
        <w:pStyle w:val="FirstParagraph"/>
      </w:pPr>
      <w:r>
        <w:drawing>
          <wp:inline>
            <wp:extent cx="4160520" cy="3120390"/>
            <wp:effectExtent b="0" l="0" r="0" t="0"/>
            <wp:docPr descr="" title="" id="30" name="Picture"/>
            <a:graphic>
              <a:graphicData uri="http://schemas.openxmlformats.org/drawingml/2006/picture">
                <pic:pic>
                  <pic:nvPicPr>
                    <pic:cNvPr descr="figures/fig_1b.png" id="31" name="Picture"/>
                    <pic:cNvPicPr>
                      <a:picLocks noChangeArrowheads="1" noChangeAspect="1"/>
                    </pic:cNvPicPr>
                  </pic:nvPicPr>
                  <pic:blipFill>
                    <a:blip r:embed="rId29"/>
                    <a:stretch>
                      <a:fillRect/>
                    </a:stretch>
                  </pic:blipFill>
                  <pic:spPr bwMode="auto">
                    <a:xfrm>
                      <a:off x="0" y="0"/>
                      <a:ext cx="4160520" cy="3120390"/>
                    </a:xfrm>
                    <a:prstGeom prst="rect">
                      <a:avLst/>
                    </a:prstGeom>
                    <a:noFill/>
                    <a:ln w="9525">
                      <a:noFill/>
                      <a:headEnd/>
                      <a:tailEnd/>
                    </a:ln>
                  </pic:spPr>
                </pic:pic>
              </a:graphicData>
            </a:graphic>
          </wp:inline>
        </w:drawing>
      </w:r>
    </w:p>
    <w:bookmarkEnd w:id="32"/>
    <w:bookmarkStart w:id="36" w:name="X2d3c87ec29b2aabafd38520c777a4625a943a06"/>
    <w:p>
      <w:pPr>
        <w:pStyle w:val="Heading4"/>
      </w:pPr>
      <w:r>
        <w:t xml:space="preserve">Figure 1c: Risk map for high-risk paísities, Caribbean, 2019-2023.</w:t>
      </w:r>
    </w:p>
    <w:p>
      <w:pPr>
        <w:pStyle w:val="FirstParagraph"/>
      </w:pPr>
      <w:r>
        <w:drawing>
          <wp:inline>
            <wp:extent cx="4160520" cy="3120390"/>
            <wp:effectExtent b="0" l="0" r="0" t="0"/>
            <wp:docPr descr="" title="" id="34" name="Picture"/>
            <a:graphic>
              <a:graphicData uri="http://schemas.openxmlformats.org/drawingml/2006/picture">
                <pic:pic>
                  <pic:nvPicPr>
                    <pic:cNvPr descr="figures/fig_1c.png" id="35" name="Picture"/>
                    <pic:cNvPicPr>
                      <a:picLocks noChangeArrowheads="1" noChangeAspect="1"/>
                    </pic:cNvPicPr>
                  </pic:nvPicPr>
                  <pic:blipFill>
                    <a:blip r:embed="rId3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36"/>
    <w:bookmarkEnd w:id="37"/>
    <w:bookmarkStart w:id="87" w:name="section-2-population-immunity"/>
    <w:p>
      <w:pPr>
        <w:pStyle w:val="Heading2"/>
      </w:pPr>
      <w:r>
        <w:t xml:space="preserve">Section 2: Population Immunity</w:t>
      </w:r>
    </w:p>
    <w:bookmarkStart w:id="38" w:name="X1e74c7a5e27d01bc62920829df64c80dc0b35de"/>
    <w:p>
      <w:pPr>
        <w:pStyle w:val="Heading4"/>
      </w:pPr>
      <w:r>
        <w:t xml:space="preserve">Table 2a: Number of countries with population immunity, Caribbean,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Population Immunity</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7</w:t>
            </w:r>
          </w:p>
        </w:tc>
        <w:tc>
          <w:tcPr/>
          <w:p>
            <w:pPr>
              <w:pStyle w:val="Compact"/>
              <w:jc w:val="right"/>
            </w:pPr>
            <w:r>
              <w:t xml:space="preserve">33.3%</w:t>
            </w:r>
          </w:p>
        </w:tc>
      </w:tr>
      <w:tr>
        <w:tc>
          <w:tcPr/>
          <w:p>
            <w:pPr>
              <w:pStyle w:val="Compact"/>
              <w:jc w:val="left"/>
            </w:pPr>
            <w:r>
              <w:t xml:space="preserve">Medium risk</w:t>
            </w:r>
          </w:p>
        </w:tc>
        <w:tc>
          <w:tcPr/>
          <w:p>
            <w:pPr>
              <w:pStyle w:val="Compact"/>
              <w:jc w:val="right"/>
            </w:pPr>
            <w:r>
              <w:t xml:space="preserve">11</w:t>
            </w:r>
          </w:p>
        </w:tc>
        <w:tc>
          <w:tcPr/>
          <w:p>
            <w:pPr>
              <w:pStyle w:val="Compact"/>
              <w:jc w:val="right"/>
            </w:pPr>
            <w:r>
              <w:t xml:space="preserve">52.4%</w:t>
            </w:r>
          </w:p>
        </w:tc>
      </w:tr>
      <w:tr>
        <w:tc>
          <w:tcPr/>
          <w:p>
            <w:pPr>
              <w:pStyle w:val="Compact"/>
              <w:jc w:val="left"/>
            </w:pPr>
            <w:r>
              <w:t xml:space="preserve">High risk</w:t>
            </w:r>
          </w:p>
        </w:tc>
        <w:tc>
          <w:tcPr/>
          <w:p>
            <w:pPr>
              <w:pStyle w:val="Compact"/>
              <w:jc w:val="right"/>
            </w:pPr>
            <w:r>
              <w:t xml:space="preserve">3</w:t>
            </w:r>
          </w:p>
        </w:tc>
        <w:tc>
          <w:tcPr/>
          <w:p>
            <w:pPr>
              <w:pStyle w:val="Compact"/>
              <w:jc w:val="right"/>
            </w:pPr>
            <w:r>
              <w:t xml:space="preserve">14.3%</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38"/>
    <w:bookmarkStart w:id="42" w:name="X665c89474d551df7b6544f2ab9968fbba7df198"/>
    <w:p>
      <w:pPr>
        <w:pStyle w:val="Heading4"/>
      </w:pPr>
      <w:r>
        <w:t xml:space="preserve">Figure 2a: Risk assessment for population immunity, Caribbean, 2019-2023.</w:t>
      </w:r>
    </w:p>
    <w:p>
      <w:pPr>
        <w:pStyle w:val="FirstParagraph"/>
      </w:pPr>
      <w:r>
        <w:drawing>
          <wp:inline>
            <wp:extent cx="4800600" cy="3600450"/>
            <wp:effectExtent b="0" l="0" r="0" t="0"/>
            <wp:docPr descr="" title="" id="40" name="Picture"/>
            <a:graphic>
              <a:graphicData uri="http://schemas.openxmlformats.org/drawingml/2006/picture">
                <pic:pic>
                  <pic:nvPicPr>
                    <pic:cNvPr descr="figures/fig_2a.png" id="41" name="Picture"/>
                    <pic:cNvPicPr>
                      <a:picLocks noChangeArrowheads="1" noChangeAspect="1"/>
                    </pic:cNvPicPr>
                  </pic:nvPicPr>
                  <pic:blipFill>
                    <a:blip r:embed="rId39"/>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42"/>
    <w:bookmarkStart w:id="46" w:name="X07cf896a779c9a49ffa42875aa1f6153bd50fce"/>
    <w:p>
      <w:pPr>
        <w:pStyle w:val="Heading4"/>
      </w:pPr>
      <w:r>
        <w:t xml:space="preserve">Figure 2b: Coverage of measles-rubella (MR) campaign, Caribbean, 2023.</w:t>
      </w:r>
    </w:p>
    <w:p>
      <w:pPr>
        <w:pStyle w:val="FirstParagraph"/>
      </w:pPr>
      <w:r>
        <w:drawing>
          <wp:inline>
            <wp:extent cx="4160520" cy="3120390"/>
            <wp:effectExtent b="0" l="0" r="0" t="0"/>
            <wp:docPr descr="" title="" id="44" name="Picture"/>
            <a:graphic>
              <a:graphicData uri="http://schemas.openxmlformats.org/drawingml/2006/picture">
                <pic:pic>
                  <pic:nvPicPr>
                    <pic:cNvPr descr="figures/fig_2b.png" id="45" name="Picture"/>
                    <pic:cNvPicPr>
                      <a:picLocks noChangeArrowheads="1" noChangeAspect="1"/>
                    </pic:cNvPicPr>
                  </pic:nvPicPr>
                  <pic:blipFill>
                    <a:blip r:embed="rId43"/>
                    <a:stretch>
                      <a:fillRect/>
                    </a:stretch>
                  </pic:blipFill>
                  <pic:spPr bwMode="auto">
                    <a:xfrm>
                      <a:off x="0" y="0"/>
                      <a:ext cx="4160520" cy="3120390"/>
                    </a:xfrm>
                    <a:prstGeom prst="rect">
                      <a:avLst/>
                    </a:prstGeom>
                    <a:noFill/>
                    <a:ln w="9525">
                      <a:noFill/>
                      <a:headEnd/>
                      <a:tailEnd/>
                    </a:ln>
                  </pic:spPr>
                </pic:pic>
              </a:graphicData>
            </a:graphic>
          </wp:inline>
        </w:drawing>
      </w:r>
    </w:p>
    <w:bookmarkEnd w:id="46"/>
    <w:bookmarkStart w:id="50" w:name="figure-2c-mmr1-coverage-caribbean-2019."/>
    <w:p>
      <w:pPr>
        <w:pStyle w:val="Heading4"/>
      </w:pPr>
      <w:r>
        <w:t xml:space="preserve">Figure 2c: MMR1 coverage, Caribbean, 2019.</w:t>
      </w:r>
    </w:p>
    <w:p>
      <w:pPr>
        <w:pStyle w:val="FirstParagraph"/>
      </w:pPr>
      <w:r>
        <w:drawing>
          <wp:inline>
            <wp:extent cx="4160520" cy="3120390"/>
            <wp:effectExtent b="0" l="0" r="0" t="0"/>
            <wp:docPr descr="" title="" id="48" name="Picture"/>
            <a:graphic>
              <a:graphicData uri="http://schemas.openxmlformats.org/drawingml/2006/picture">
                <pic:pic>
                  <pic:nvPicPr>
                    <pic:cNvPr descr="figures/fig_2c.png" id="49" name="Picture"/>
                    <pic:cNvPicPr>
                      <a:picLocks noChangeArrowheads="1" noChangeAspect="1"/>
                    </pic:cNvPicPr>
                  </pic:nvPicPr>
                  <pic:blipFill>
                    <a:blip r:embed="rId47"/>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50"/>
    <w:bookmarkStart w:id="54" w:name="figure-2d-mmr1-coverage-caribbean-2020."/>
    <w:p>
      <w:pPr>
        <w:pStyle w:val="Heading4"/>
      </w:pPr>
      <w:r>
        <w:t xml:space="preserve">Figure 2d: MMR1 coverage, Caribbean, 2020.</w:t>
      </w:r>
    </w:p>
    <w:p>
      <w:pPr>
        <w:pStyle w:val="FirstParagraph"/>
      </w:pPr>
      <w:r>
        <w:drawing>
          <wp:inline>
            <wp:extent cx="4160520" cy="3120390"/>
            <wp:effectExtent b="0" l="0" r="0" t="0"/>
            <wp:docPr descr="" title="" id="52" name="Picture"/>
            <a:graphic>
              <a:graphicData uri="http://schemas.openxmlformats.org/drawingml/2006/picture">
                <pic:pic>
                  <pic:nvPicPr>
                    <pic:cNvPr descr="figures/fig_2d.png" id="53" name="Picture"/>
                    <pic:cNvPicPr>
                      <a:picLocks noChangeArrowheads="1" noChangeAspect="1"/>
                    </pic:cNvPicPr>
                  </pic:nvPicPr>
                  <pic:blipFill>
                    <a:blip r:embed="rId51"/>
                    <a:stretch>
                      <a:fillRect/>
                    </a:stretch>
                  </pic:blipFill>
                  <pic:spPr bwMode="auto">
                    <a:xfrm>
                      <a:off x="0" y="0"/>
                      <a:ext cx="4160520" cy="3120390"/>
                    </a:xfrm>
                    <a:prstGeom prst="rect">
                      <a:avLst/>
                    </a:prstGeom>
                    <a:noFill/>
                    <a:ln w="9525">
                      <a:noFill/>
                      <a:headEnd/>
                      <a:tailEnd/>
                    </a:ln>
                  </pic:spPr>
                </pic:pic>
              </a:graphicData>
            </a:graphic>
          </wp:inline>
        </w:drawing>
      </w:r>
    </w:p>
    <w:bookmarkEnd w:id="54"/>
    <w:bookmarkStart w:id="58" w:name="figure-2e-mmr1-coverage-caribbean-2021."/>
    <w:p>
      <w:pPr>
        <w:pStyle w:val="Heading4"/>
      </w:pPr>
      <w:r>
        <w:t xml:space="preserve">Figure 2e: MMR1 coverage, Caribbean, 2021.</w:t>
      </w:r>
    </w:p>
    <w:p>
      <w:pPr>
        <w:pStyle w:val="FirstParagraph"/>
      </w:pPr>
      <w:r>
        <w:drawing>
          <wp:inline>
            <wp:extent cx="4160520" cy="3120390"/>
            <wp:effectExtent b="0" l="0" r="0" t="0"/>
            <wp:docPr descr="" title="" id="56" name="Picture"/>
            <a:graphic>
              <a:graphicData uri="http://schemas.openxmlformats.org/drawingml/2006/picture">
                <pic:pic>
                  <pic:nvPicPr>
                    <pic:cNvPr descr="figures/fig_2e.png" id="57" name="Picture"/>
                    <pic:cNvPicPr>
                      <a:picLocks noChangeArrowheads="1" noChangeAspect="1"/>
                    </pic:cNvPicPr>
                  </pic:nvPicPr>
                  <pic:blipFill>
                    <a:blip r:embed="rId55"/>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58"/>
    <w:bookmarkStart w:id="62" w:name="figure-2f-mmr1-coverage-caribbean-2022."/>
    <w:p>
      <w:pPr>
        <w:pStyle w:val="Heading4"/>
      </w:pPr>
      <w:r>
        <w:t xml:space="preserve">Figure 2f MMR1 coverage, Caribbean, 2022.</w:t>
      </w:r>
    </w:p>
    <w:p>
      <w:pPr>
        <w:pStyle w:val="FirstParagraph"/>
      </w:pPr>
      <w:r>
        <w:drawing>
          <wp:inline>
            <wp:extent cx="4160520" cy="3120390"/>
            <wp:effectExtent b="0" l="0" r="0" t="0"/>
            <wp:docPr descr="" title="" id="60" name="Picture"/>
            <a:graphic>
              <a:graphicData uri="http://schemas.openxmlformats.org/drawingml/2006/picture">
                <pic:pic>
                  <pic:nvPicPr>
                    <pic:cNvPr descr="figures/fig_2f.png" id="61" name="Picture"/>
                    <pic:cNvPicPr>
                      <a:picLocks noChangeArrowheads="1" noChangeAspect="1"/>
                    </pic:cNvPicPr>
                  </pic:nvPicPr>
                  <pic:blipFill>
                    <a:blip r:embed="rId59"/>
                    <a:stretch>
                      <a:fillRect/>
                    </a:stretch>
                  </pic:blipFill>
                  <pic:spPr bwMode="auto">
                    <a:xfrm>
                      <a:off x="0" y="0"/>
                      <a:ext cx="4160520" cy="3120390"/>
                    </a:xfrm>
                    <a:prstGeom prst="rect">
                      <a:avLst/>
                    </a:prstGeom>
                    <a:noFill/>
                    <a:ln w="9525">
                      <a:noFill/>
                      <a:headEnd/>
                      <a:tailEnd/>
                    </a:ln>
                  </pic:spPr>
                </pic:pic>
              </a:graphicData>
            </a:graphic>
          </wp:inline>
        </w:drawing>
      </w:r>
    </w:p>
    <w:bookmarkEnd w:id="62"/>
    <w:bookmarkStart w:id="66" w:name="figure-2g-mmr1-coverage-caribbean-2023."/>
    <w:p>
      <w:pPr>
        <w:pStyle w:val="Heading4"/>
      </w:pPr>
      <w:r>
        <w:t xml:space="preserve">Figure 2g: MMR1 coverage, Caribbean, 2023.</w:t>
      </w:r>
    </w:p>
    <w:p>
      <w:pPr>
        <w:pStyle w:val="FirstParagraph"/>
      </w:pPr>
      <w:r>
        <w:drawing>
          <wp:inline>
            <wp:extent cx="4160520" cy="3120390"/>
            <wp:effectExtent b="0" l="0" r="0" t="0"/>
            <wp:docPr descr="" title="" id="64" name="Picture"/>
            <a:graphic>
              <a:graphicData uri="http://schemas.openxmlformats.org/drawingml/2006/picture">
                <pic:pic>
                  <pic:nvPicPr>
                    <pic:cNvPr descr="figures/fig_2g.png" id="65" name="Picture"/>
                    <pic:cNvPicPr>
                      <a:picLocks noChangeArrowheads="1" noChangeAspect="1"/>
                    </pic:cNvPicPr>
                  </pic:nvPicPr>
                  <pic:blipFill>
                    <a:blip r:embed="rId6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66"/>
    <w:bookmarkStart w:id="70" w:name="figure-2h-mmr2-coverage-caribbean-2019."/>
    <w:p>
      <w:pPr>
        <w:pStyle w:val="Heading4"/>
      </w:pPr>
      <w:r>
        <w:t xml:space="preserve">Figure 2h: MMR2 coverage, Caribbean, 2019.</w:t>
      </w:r>
    </w:p>
    <w:p>
      <w:pPr>
        <w:pStyle w:val="FirstParagraph"/>
      </w:pPr>
      <w:r>
        <w:drawing>
          <wp:inline>
            <wp:extent cx="4160520" cy="3120390"/>
            <wp:effectExtent b="0" l="0" r="0" t="0"/>
            <wp:docPr descr="" title="" id="68" name="Picture"/>
            <a:graphic>
              <a:graphicData uri="http://schemas.openxmlformats.org/drawingml/2006/picture">
                <pic:pic>
                  <pic:nvPicPr>
                    <pic:cNvPr descr="figures/fig_2h.png" id="69" name="Picture"/>
                    <pic:cNvPicPr>
                      <a:picLocks noChangeArrowheads="1" noChangeAspect="1"/>
                    </pic:cNvPicPr>
                  </pic:nvPicPr>
                  <pic:blipFill>
                    <a:blip r:embed="rId67"/>
                    <a:stretch>
                      <a:fillRect/>
                    </a:stretch>
                  </pic:blipFill>
                  <pic:spPr bwMode="auto">
                    <a:xfrm>
                      <a:off x="0" y="0"/>
                      <a:ext cx="4160520" cy="3120390"/>
                    </a:xfrm>
                    <a:prstGeom prst="rect">
                      <a:avLst/>
                    </a:prstGeom>
                    <a:noFill/>
                    <a:ln w="9525">
                      <a:noFill/>
                      <a:headEnd/>
                      <a:tailEnd/>
                    </a:ln>
                  </pic:spPr>
                </pic:pic>
              </a:graphicData>
            </a:graphic>
          </wp:inline>
        </w:drawing>
      </w:r>
    </w:p>
    <w:bookmarkEnd w:id="70"/>
    <w:bookmarkStart w:id="74" w:name="figure-2i-mmr2-coverage-caribbean-2020."/>
    <w:p>
      <w:pPr>
        <w:pStyle w:val="Heading4"/>
      </w:pPr>
      <w:r>
        <w:t xml:space="preserve">Figure 2i: MMR2 coverage, Caribbean, 2020.</w:t>
      </w:r>
    </w:p>
    <w:p>
      <w:pPr>
        <w:pStyle w:val="FirstParagraph"/>
      </w:pPr>
      <w:r>
        <w:drawing>
          <wp:inline>
            <wp:extent cx="4160520" cy="3120390"/>
            <wp:effectExtent b="0" l="0" r="0" t="0"/>
            <wp:docPr descr="" title="" id="72" name="Picture"/>
            <a:graphic>
              <a:graphicData uri="http://schemas.openxmlformats.org/drawingml/2006/picture">
                <pic:pic>
                  <pic:nvPicPr>
                    <pic:cNvPr descr="figures/fig_2i.png" id="73" name="Picture"/>
                    <pic:cNvPicPr>
                      <a:picLocks noChangeArrowheads="1" noChangeAspect="1"/>
                    </pic:cNvPicPr>
                  </pic:nvPicPr>
                  <pic:blipFill>
                    <a:blip r:embed="rId71"/>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74"/>
    <w:bookmarkStart w:id="78" w:name="figure-2j-mmr2-coverage-caribbean-2021."/>
    <w:p>
      <w:pPr>
        <w:pStyle w:val="Heading4"/>
      </w:pPr>
      <w:r>
        <w:t xml:space="preserve">Figure 2j: MMR2 coverage, Caribbean, 2021.</w:t>
      </w:r>
    </w:p>
    <w:p>
      <w:pPr>
        <w:pStyle w:val="FirstParagraph"/>
      </w:pPr>
      <w:r>
        <w:drawing>
          <wp:inline>
            <wp:extent cx="4160520" cy="3120390"/>
            <wp:effectExtent b="0" l="0" r="0" t="0"/>
            <wp:docPr descr="" title="" id="76" name="Picture"/>
            <a:graphic>
              <a:graphicData uri="http://schemas.openxmlformats.org/drawingml/2006/picture">
                <pic:pic>
                  <pic:nvPicPr>
                    <pic:cNvPr descr="figures/fig_2j.png" id="77" name="Picture"/>
                    <pic:cNvPicPr>
                      <a:picLocks noChangeArrowheads="1" noChangeAspect="1"/>
                    </pic:cNvPicPr>
                  </pic:nvPicPr>
                  <pic:blipFill>
                    <a:blip r:embed="rId75"/>
                    <a:stretch>
                      <a:fillRect/>
                    </a:stretch>
                  </pic:blipFill>
                  <pic:spPr bwMode="auto">
                    <a:xfrm>
                      <a:off x="0" y="0"/>
                      <a:ext cx="4160520" cy="3120390"/>
                    </a:xfrm>
                    <a:prstGeom prst="rect">
                      <a:avLst/>
                    </a:prstGeom>
                    <a:noFill/>
                    <a:ln w="9525">
                      <a:noFill/>
                      <a:headEnd/>
                      <a:tailEnd/>
                    </a:ln>
                  </pic:spPr>
                </pic:pic>
              </a:graphicData>
            </a:graphic>
          </wp:inline>
        </w:drawing>
      </w:r>
    </w:p>
    <w:bookmarkEnd w:id="78"/>
    <w:bookmarkStart w:id="82" w:name="figure-2k-mmr2-coverage-caribbean-2022."/>
    <w:p>
      <w:pPr>
        <w:pStyle w:val="Heading4"/>
      </w:pPr>
      <w:r>
        <w:t xml:space="preserve">Figure 2k: MMR2 coverage, Caribbean, 2022.</w:t>
      </w:r>
    </w:p>
    <w:p>
      <w:pPr>
        <w:pStyle w:val="FirstParagraph"/>
      </w:pPr>
      <w:r>
        <w:drawing>
          <wp:inline>
            <wp:extent cx="4160520" cy="3120390"/>
            <wp:effectExtent b="0" l="0" r="0" t="0"/>
            <wp:docPr descr="" title="" id="80" name="Picture"/>
            <a:graphic>
              <a:graphicData uri="http://schemas.openxmlformats.org/drawingml/2006/picture">
                <pic:pic>
                  <pic:nvPicPr>
                    <pic:cNvPr descr="figures/fig_2k.png" id="81" name="Picture"/>
                    <pic:cNvPicPr>
                      <a:picLocks noChangeArrowheads="1" noChangeAspect="1"/>
                    </pic:cNvPicPr>
                  </pic:nvPicPr>
                  <pic:blipFill>
                    <a:blip r:embed="rId79"/>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82"/>
    <w:bookmarkStart w:id="86" w:name="figure-2l-mmr2-coverage-caribbean-2023."/>
    <w:p>
      <w:pPr>
        <w:pStyle w:val="Heading4"/>
      </w:pPr>
      <w:r>
        <w:t xml:space="preserve">Figure 2l: MMR2 coverage, Caribbean, 2023.</w:t>
      </w:r>
    </w:p>
    <w:p>
      <w:pPr>
        <w:pStyle w:val="FirstParagraph"/>
      </w:pPr>
      <w:r>
        <w:drawing>
          <wp:inline>
            <wp:extent cx="4160520" cy="3120390"/>
            <wp:effectExtent b="0" l="0" r="0" t="0"/>
            <wp:docPr descr="" title="" id="84" name="Picture"/>
            <a:graphic>
              <a:graphicData uri="http://schemas.openxmlformats.org/drawingml/2006/picture">
                <pic:pic>
                  <pic:nvPicPr>
                    <pic:cNvPr descr="figures/fig_2l.png" id="85" name="Picture"/>
                    <pic:cNvPicPr>
                      <a:picLocks noChangeArrowheads="1" noChangeAspect="1"/>
                    </pic:cNvPicPr>
                  </pic:nvPicPr>
                  <pic:blipFill>
                    <a:blip r:embed="rId8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86"/>
    <w:bookmarkEnd w:id="87"/>
    <w:bookmarkStart w:id="111" w:name="section-3-surveillance-quality"/>
    <w:p>
      <w:pPr>
        <w:pStyle w:val="Heading2"/>
      </w:pPr>
      <w:r>
        <w:t xml:space="preserve">Section 3: Surveillance Quality</w:t>
      </w:r>
    </w:p>
    <w:bookmarkStart w:id="88" w:name="Xad72a94567f58a77b68ef48a92f8f996900da26"/>
    <w:p>
      <w:pPr>
        <w:pStyle w:val="Heading4"/>
      </w:pPr>
      <w:r>
        <w:t xml:space="preserve">Table 3a: Number of countries under surveillance, Caribbean,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Surveillance Quality</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2</w:t>
            </w:r>
          </w:p>
        </w:tc>
        <w:tc>
          <w:tcPr/>
          <w:p>
            <w:pPr>
              <w:pStyle w:val="Compact"/>
              <w:jc w:val="right"/>
            </w:pPr>
            <w:r>
              <w:t xml:space="preserve">9.5%</w:t>
            </w:r>
          </w:p>
        </w:tc>
      </w:tr>
      <w:tr>
        <w:tc>
          <w:tcPr/>
          <w:p>
            <w:pPr>
              <w:pStyle w:val="Compact"/>
              <w:jc w:val="left"/>
            </w:pPr>
            <w:r>
              <w:t xml:space="preserve">Medium risk</w:t>
            </w:r>
          </w:p>
        </w:tc>
        <w:tc>
          <w:tcPr/>
          <w:p>
            <w:pPr>
              <w:pStyle w:val="Compact"/>
              <w:jc w:val="right"/>
            </w:pPr>
            <w:r>
              <w:t xml:space="preserve">5</w:t>
            </w:r>
          </w:p>
        </w:tc>
        <w:tc>
          <w:tcPr/>
          <w:p>
            <w:pPr>
              <w:pStyle w:val="Compact"/>
              <w:jc w:val="right"/>
            </w:pPr>
            <w:r>
              <w:t xml:space="preserve">23.8%</w:t>
            </w:r>
          </w:p>
        </w:tc>
      </w:tr>
      <w:tr>
        <w:tc>
          <w:tcPr/>
          <w:p>
            <w:pPr>
              <w:pStyle w:val="Compact"/>
              <w:jc w:val="left"/>
            </w:pPr>
            <w:r>
              <w:t xml:space="preserve">High risk</w:t>
            </w:r>
          </w:p>
        </w:tc>
        <w:tc>
          <w:tcPr/>
          <w:p>
            <w:pPr>
              <w:pStyle w:val="Compact"/>
              <w:jc w:val="right"/>
            </w:pPr>
            <w:r>
              <w:t xml:space="preserve">11</w:t>
            </w:r>
          </w:p>
        </w:tc>
        <w:tc>
          <w:tcPr/>
          <w:p>
            <w:pPr>
              <w:pStyle w:val="Compact"/>
              <w:jc w:val="right"/>
            </w:pPr>
            <w:r>
              <w:t xml:space="preserve">52.4%</w:t>
            </w:r>
          </w:p>
        </w:tc>
      </w:tr>
      <w:tr>
        <w:tc>
          <w:tcPr/>
          <w:p>
            <w:pPr>
              <w:pStyle w:val="Compact"/>
              <w:jc w:val="left"/>
            </w:pPr>
            <w:r>
              <w:t xml:space="preserve">Very high risk</w:t>
            </w:r>
          </w:p>
        </w:tc>
        <w:tc>
          <w:tcPr/>
          <w:p>
            <w:pPr>
              <w:pStyle w:val="Compact"/>
              <w:jc w:val="right"/>
            </w:pPr>
            <w:r>
              <w:t xml:space="preserve">3</w:t>
            </w:r>
          </w:p>
        </w:tc>
        <w:tc>
          <w:tcPr/>
          <w:p>
            <w:pPr>
              <w:pStyle w:val="Compact"/>
              <w:jc w:val="right"/>
            </w:pPr>
            <w:r>
              <w:t xml:space="preserve">14.3%</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88"/>
    <w:bookmarkStart w:id="92" w:name="X182193fca73771df52c315a23cfb69d9dd68414"/>
    <w:p>
      <w:pPr>
        <w:pStyle w:val="Heading4"/>
      </w:pPr>
      <w:r>
        <w:t xml:space="preserve">Figure 3a: Risk assessment for surveillance quality, Caribbean, 2023.</w:t>
      </w:r>
    </w:p>
    <w:p>
      <w:pPr>
        <w:pStyle w:val="FirstParagraph"/>
      </w:pPr>
      <w:r>
        <w:drawing>
          <wp:inline>
            <wp:extent cx="4800600" cy="3600450"/>
            <wp:effectExtent b="0" l="0" r="0" t="0"/>
            <wp:docPr descr="" title="" id="90" name="Picture"/>
            <a:graphic>
              <a:graphicData uri="http://schemas.openxmlformats.org/drawingml/2006/picture">
                <pic:pic>
                  <pic:nvPicPr>
                    <pic:cNvPr descr="figures/fig_3a.png" id="91" name="Picture"/>
                    <pic:cNvPicPr>
                      <a:picLocks noChangeArrowheads="1" noChangeAspect="1"/>
                    </pic:cNvPicPr>
                  </pic:nvPicPr>
                  <pic:blipFill>
                    <a:blip r:embed="rId89"/>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92"/>
    <w:bookmarkStart w:id="96" w:name="X8ec10ef14354b67e378e065a6448feb9316b0fa"/>
    <w:p>
      <w:pPr>
        <w:pStyle w:val="Heading4"/>
      </w:pPr>
      <w:r>
        <w:t xml:space="preserve">Figure 3b: Annual reporting rate of suspected measles and rubella cases per 100,000 population</w:t>
      </w:r>
      <w:r>
        <w:rPr>
          <w:vertAlign w:val="superscript"/>
        </w:rPr>
        <w:t xml:space="preserve">1</w:t>
      </w:r>
      <w:r>
        <w:t xml:space="preserve">, Caribbean, 2023.</w:t>
      </w:r>
    </w:p>
    <w:p>
      <w:pPr>
        <w:pStyle w:val="FirstParagraph"/>
      </w:pPr>
      <w:r>
        <w:drawing>
          <wp:inline>
            <wp:extent cx="3733800" cy="2800350"/>
            <wp:effectExtent b="0" l="0" r="0" t="0"/>
            <wp:docPr descr="" title="" id="94" name="Picture"/>
            <a:graphic>
              <a:graphicData uri="http://schemas.openxmlformats.org/drawingml/2006/picture">
                <pic:pic>
                  <pic:nvPicPr>
                    <pic:cNvPr descr="figures/fig_3b.png" id="95" name="Picture"/>
                    <pic:cNvPicPr>
                      <a:picLocks noChangeArrowheads="1" noChangeAspect="1"/>
                    </pic:cNvPicPr>
                  </pic:nvPicPr>
                  <pic:blipFill>
                    <a:blip r:embed="rId93"/>
                    <a:stretch>
                      <a:fillRect/>
                    </a:stretch>
                  </pic:blipFill>
                  <pic:spPr bwMode="auto">
                    <a:xfrm>
                      <a:off x="0" y="0"/>
                      <a:ext cx="3733800" cy="2800350"/>
                    </a:xfrm>
                    <a:prstGeom prst="rect">
                      <a:avLst/>
                    </a:prstGeom>
                    <a:noFill/>
                    <a:ln w="9525">
                      <a:noFill/>
                      <a:headEnd/>
                      <a:tailEnd/>
                    </a:ln>
                  </pic:spPr>
                </pic:pic>
              </a:graphicData>
            </a:graphic>
          </wp:inline>
        </w:drawing>
      </w:r>
    </w:p>
    <w:p>
      <w:pPr>
        <w:pStyle w:val="BodyText"/>
      </w:pPr>
      <w:r>
        <w:rPr>
          <w:vertAlign w:val="superscript"/>
        </w:rPr>
        <w:t xml:space="preserve">1</w:t>
      </w:r>
      <w:r>
        <w:t xml:space="preserve"> </w:t>
      </w:r>
      <w:r>
        <w:t xml:space="preserve">When a country has fewer than 100,000 inhabitants and has reported at least one suspected case in the most recent year, the tool assigns 0 risk points.  If the paísity has been in epidemiological silence (has not reported any cases), the tool will assign the maximum risk score (8 points).</w:t>
      </w:r>
    </w:p>
    <w:bookmarkEnd w:id="96"/>
    <w:bookmarkStart w:id="100" w:name="X077c8d402249da3fa77defab6c9b93d14a45d6c"/>
    <w:p>
      <w:pPr>
        <w:pStyle w:val="Heading4"/>
      </w:pPr>
      <w:r>
        <w:t xml:space="preserve">Figure 3c: Proportion of suspected cases with adequate investigation, Caribbean, 2023.</w:t>
      </w:r>
    </w:p>
    <w:p>
      <w:pPr>
        <w:pStyle w:val="FirstParagraph"/>
      </w:pPr>
      <w:r>
        <w:drawing>
          <wp:inline>
            <wp:extent cx="3733800" cy="2800350"/>
            <wp:effectExtent b="0" l="0" r="0" t="0"/>
            <wp:docPr descr="" title="" id="98" name="Picture"/>
            <a:graphic>
              <a:graphicData uri="http://schemas.openxmlformats.org/drawingml/2006/picture">
                <pic:pic>
                  <pic:nvPicPr>
                    <pic:cNvPr descr="figures/fig_3c.png" id="99" name="Picture"/>
                    <pic:cNvPicPr>
                      <a:picLocks noChangeArrowheads="1" noChangeAspect="1"/>
                    </pic:cNvPicPr>
                  </pic:nvPicPr>
                  <pic:blipFill>
                    <a:blip r:embed="rId97"/>
                    <a:stretch>
                      <a:fillRect/>
                    </a:stretch>
                  </pic:blipFill>
                  <pic:spPr bwMode="auto">
                    <a:xfrm>
                      <a:off x="0" y="0"/>
                      <a:ext cx="3733800" cy="2800350"/>
                    </a:xfrm>
                    <a:prstGeom prst="rect">
                      <a:avLst/>
                    </a:prstGeom>
                    <a:noFill/>
                    <a:ln w="9525">
                      <a:noFill/>
                      <a:headEnd/>
                      <a:tailEnd/>
                    </a:ln>
                  </pic:spPr>
                </pic:pic>
              </a:graphicData>
            </a:graphic>
          </wp:inline>
        </w:drawing>
      </w:r>
    </w:p>
    <w:p>
      <w:r>
        <w:br w:type="page"/>
      </w:r>
    </w:p>
    <w:bookmarkEnd w:id="100"/>
    <w:bookmarkStart w:id="104" w:name="X589a2f085ce7840461e61589a14da18cf20e1c6"/>
    <w:p>
      <w:pPr>
        <w:pStyle w:val="Heading4"/>
      </w:pPr>
      <w:r>
        <w:t xml:space="preserve">Figure 3d: Proportion of suspected cases with adequate sample, Caribbean, 2023.</w:t>
      </w:r>
    </w:p>
    <w:p>
      <w:pPr>
        <w:pStyle w:val="FirstParagraph"/>
      </w:pPr>
      <w:r>
        <w:drawing>
          <wp:inline>
            <wp:extent cx="4160520" cy="3120390"/>
            <wp:effectExtent b="0" l="0" r="0" t="0"/>
            <wp:docPr descr="" title="" id="102" name="Picture"/>
            <a:graphic>
              <a:graphicData uri="http://schemas.openxmlformats.org/drawingml/2006/picture">
                <pic:pic>
                  <pic:nvPicPr>
                    <pic:cNvPr descr="figures/fig_3d.png" id="103" name="Picture"/>
                    <pic:cNvPicPr>
                      <a:picLocks noChangeArrowheads="1" noChangeAspect="1"/>
                    </pic:cNvPicPr>
                  </pic:nvPicPr>
                  <pic:blipFill>
                    <a:blip r:embed="rId101"/>
                    <a:stretch>
                      <a:fillRect/>
                    </a:stretch>
                  </pic:blipFill>
                  <pic:spPr bwMode="auto">
                    <a:xfrm>
                      <a:off x="0" y="0"/>
                      <a:ext cx="4160520" cy="3120390"/>
                    </a:xfrm>
                    <a:prstGeom prst="rect">
                      <a:avLst/>
                    </a:prstGeom>
                    <a:noFill/>
                    <a:ln w="9525">
                      <a:noFill/>
                      <a:headEnd/>
                      <a:tailEnd/>
                    </a:ln>
                  </pic:spPr>
                </pic:pic>
              </a:graphicData>
            </a:graphic>
          </wp:inline>
        </w:drawing>
      </w:r>
    </w:p>
    <w:bookmarkEnd w:id="104"/>
    <w:bookmarkStart w:id="108" w:name="X0afbc54b44efed4db5b6d6834c8a765ccc68f1d"/>
    <w:p>
      <w:pPr>
        <w:pStyle w:val="Heading4"/>
      </w:pPr>
      <w:r>
        <w:t xml:space="preserve">Figure 3e: Proportion of samples sent to the laboratory in &lt;= 5 days, Caribbean, 2023.</w:t>
      </w:r>
    </w:p>
    <w:p>
      <w:pPr>
        <w:pStyle w:val="FirstParagraph"/>
      </w:pPr>
      <w:r>
        <w:drawing>
          <wp:inline>
            <wp:extent cx="4160520" cy="3120390"/>
            <wp:effectExtent b="0" l="0" r="0" t="0"/>
            <wp:docPr descr="" title="" id="106" name="Picture"/>
            <a:graphic>
              <a:graphicData uri="http://schemas.openxmlformats.org/drawingml/2006/picture">
                <pic:pic>
                  <pic:nvPicPr>
                    <pic:cNvPr descr="figures/fig_3e.png" id="107" name="Picture"/>
                    <pic:cNvPicPr>
                      <a:picLocks noChangeArrowheads="1" noChangeAspect="1"/>
                    </pic:cNvPicPr>
                  </pic:nvPicPr>
                  <pic:blipFill>
                    <a:blip r:embed="rId105"/>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08"/>
    <w:bookmarkStart w:id="110" w:name="Xa8aeb6a3ef6d870442d52472a78e95d4609812b"/>
    <w:p>
      <w:pPr>
        <w:pStyle w:val="Heading3"/>
      </w:pPr>
      <w:r>
        <w:t xml:space="preserve">Table 3b: Silent countries, Caribbean, 2019-2023.</w:t>
      </w:r>
    </w:p>
    <w:bookmarkStart w:id="109" w:name="X8a2d7915ee4f1c9d7fbf2434dfdcebf1e69f8fb"/>
    <w:p>
      <w:pPr>
        <w:pStyle w:val="Heading4"/>
      </w:pPr>
      <w:r>
        <w:t xml:space="preserve">Figure 3f: Silent countries, Caribbean, 2023.</w:t>
      </w:r>
    </w:p>
    <w:p>
      <w:pPr>
        <w:pStyle w:val="FirstParagraph"/>
      </w:pPr>
      <w:r>
        <w:t xml:space="preserve">NR</w:t>
      </w:r>
    </w:p>
    <w:p>
      <w:r>
        <w:br w:type="page"/>
      </w:r>
    </w:p>
    <w:bookmarkEnd w:id="109"/>
    <w:bookmarkEnd w:id="110"/>
    <w:bookmarkEnd w:id="111"/>
    <w:bookmarkStart w:id="133" w:name="section-4-program-delivery-performance"/>
    <w:p>
      <w:pPr>
        <w:pStyle w:val="Heading2"/>
      </w:pPr>
      <w:r>
        <w:t xml:space="preserve">Section 4: Program Delivery Performance</w:t>
      </w:r>
    </w:p>
    <w:bookmarkStart w:id="112" w:name="X7873c23e95ab6afa8c18aecaa46d9e80a2140e2"/>
    <w:p>
      <w:pPr>
        <w:pStyle w:val="Heading4"/>
      </w:pPr>
      <w:r>
        <w:t xml:space="preserve">Table 4a: Number of paísities in program performance, Caribbean,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Program Delivery Performance</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6</w:t>
            </w:r>
          </w:p>
        </w:tc>
        <w:tc>
          <w:tcPr/>
          <w:p>
            <w:pPr>
              <w:pStyle w:val="Compact"/>
              <w:jc w:val="right"/>
            </w:pPr>
            <w:r>
              <w:t xml:space="preserve">28.6%</w:t>
            </w:r>
          </w:p>
        </w:tc>
      </w:tr>
      <w:tr>
        <w:tc>
          <w:tcPr/>
          <w:p>
            <w:pPr>
              <w:pStyle w:val="Compact"/>
              <w:jc w:val="left"/>
            </w:pPr>
            <w:r>
              <w:t xml:space="preserve">Medium risk</w:t>
            </w:r>
          </w:p>
        </w:tc>
        <w:tc>
          <w:tcPr/>
          <w:p>
            <w:pPr>
              <w:pStyle w:val="Compact"/>
              <w:jc w:val="right"/>
            </w:pPr>
            <w:r>
              <w:t xml:space="preserve">9</w:t>
            </w:r>
          </w:p>
        </w:tc>
        <w:tc>
          <w:tcPr/>
          <w:p>
            <w:pPr>
              <w:pStyle w:val="Compact"/>
              <w:jc w:val="right"/>
            </w:pPr>
            <w:r>
              <w:t xml:space="preserve">42.9%</w:t>
            </w:r>
          </w:p>
        </w:tc>
      </w:tr>
      <w:tr>
        <w:tc>
          <w:tcPr/>
          <w:p>
            <w:pPr>
              <w:pStyle w:val="Compact"/>
              <w:jc w:val="left"/>
            </w:pPr>
            <w:r>
              <w:t xml:space="preserve">High risk</w:t>
            </w:r>
          </w:p>
        </w:tc>
        <w:tc>
          <w:tcPr/>
          <w:p>
            <w:pPr>
              <w:pStyle w:val="Compact"/>
              <w:jc w:val="right"/>
            </w:pPr>
            <w:r>
              <w:t xml:space="preserve">6</w:t>
            </w:r>
          </w:p>
        </w:tc>
        <w:tc>
          <w:tcPr/>
          <w:p>
            <w:pPr>
              <w:pStyle w:val="Compact"/>
              <w:jc w:val="right"/>
            </w:pPr>
            <w:r>
              <w:t xml:space="preserve">28.6%</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112"/>
    <w:bookmarkStart w:id="116" w:name="X36e14b28c7949d43c8ad983499d261d1bf5b30c"/>
    <w:p>
      <w:pPr>
        <w:pStyle w:val="Heading4"/>
      </w:pPr>
      <w:r>
        <w:t xml:space="preserve">Figure 4a: Risk assessment for program performance, Caribbean, 2019-2023.</w:t>
      </w:r>
    </w:p>
    <w:p>
      <w:pPr>
        <w:pStyle w:val="FirstParagraph"/>
      </w:pPr>
      <w:r>
        <w:drawing>
          <wp:inline>
            <wp:extent cx="4800600" cy="3600450"/>
            <wp:effectExtent b="0" l="0" r="0" t="0"/>
            <wp:docPr descr="" title="" id="114" name="Picture"/>
            <a:graphic>
              <a:graphicData uri="http://schemas.openxmlformats.org/drawingml/2006/picture">
                <pic:pic>
                  <pic:nvPicPr>
                    <pic:cNvPr descr="figures/fig_4a.png" id="115" name="Picture"/>
                    <pic:cNvPicPr>
                      <a:picLocks noChangeArrowheads="1" noChangeAspect="1"/>
                    </pic:cNvPicPr>
                  </pic:nvPicPr>
                  <pic:blipFill>
                    <a:blip r:embed="rId113"/>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116"/>
    <w:bookmarkStart w:id="120" w:name="X6e6ba3bf2ab145b8c224aaf8990fd068d82ba34"/>
    <w:p>
      <w:pPr>
        <w:pStyle w:val="Heading4"/>
      </w:pPr>
      <w:r>
        <w:t xml:space="preserve">Figure 4b: MMR1 trend, Caribbean, 2019-2023.</w:t>
      </w:r>
    </w:p>
    <w:p>
      <w:pPr>
        <w:pStyle w:val="FirstParagraph"/>
      </w:pPr>
      <w:r>
        <w:drawing>
          <wp:inline>
            <wp:extent cx="4160520" cy="3120390"/>
            <wp:effectExtent b="0" l="0" r="0" t="0"/>
            <wp:docPr descr="" title="" id="118" name="Picture"/>
            <a:graphic>
              <a:graphicData uri="http://schemas.openxmlformats.org/drawingml/2006/picture">
                <pic:pic>
                  <pic:nvPicPr>
                    <pic:cNvPr descr="figures/fig_4b.png" id="119" name="Picture"/>
                    <pic:cNvPicPr>
                      <a:picLocks noChangeArrowheads="1" noChangeAspect="1"/>
                    </pic:cNvPicPr>
                  </pic:nvPicPr>
                  <pic:blipFill>
                    <a:blip r:embed="rId117"/>
                    <a:stretch>
                      <a:fillRect/>
                    </a:stretch>
                  </pic:blipFill>
                  <pic:spPr bwMode="auto">
                    <a:xfrm>
                      <a:off x="0" y="0"/>
                      <a:ext cx="4160520" cy="3120390"/>
                    </a:xfrm>
                    <a:prstGeom prst="rect">
                      <a:avLst/>
                    </a:prstGeom>
                    <a:noFill/>
                    <a:ln w="9525">
                      <a:noFill/>
                      <a:headEnd/>
                      <a:tailEnd/>
                    </a:ln>
                  </pic:spPr>
                </pic:pic>
              </a:graphicData>
            </a:graphic>
          </wp:inline>
        </w:drawing>
      </w:r>
    </w:p>
    <w:bookmarkEnd w:id="120"/>
    <w:bookmarkStart w:id="124" w:name="X77049812eb4d65a76ae6a2f6729c99f2dd42098"/>
    <w:p>
      <w:pPr>
        <w:pStyle w:val="Heading4"/>
      </w:pPr>
      <w:r>
        <w:t xml:space="preserve">Figure 4c: MMR2 trend, Caribbean, 2019-2023.</w:t>
      </w:r>
    </w:p>
    <w:p>
      <w:pPr>
        <w:pStyle w:val="FirstParagraph"/>
      </w:pPr>
      <w:r>
        <w:drawing>
          <wp:inline>
            <wp:extent cx="4160520" cy="3120390"/>
            <wp:effectExtent b="0" l="0" r="0" t="0"/>
            <wp:docPr descr="" title="" id="122" name="Picture"/>
            <a:graphic>
              <a:graphicData uri="http://schemas.openxmlformats.org/drawingml/2006/picture">
                <pic:pic>
                  <pic:nvPicPr>
                    <pic:cNvPr descr="figures/fig_4c.png" id="123" name="Picture"/>
                    <pic:cNvPicPr>
                      <a:picLocks noChangeArrowheads="1" noChangeAspect="1"/>
                    </pic:cNvPicPr>
                  </pic:nvPicPr>
                  <pic:blipFill>
                    <a:blip r:embed="rId121"/>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24"/>
    <w:bookmarkStart w:id="128" w:name="X45293f4e0a6b425bb85772dcd17129a26aeeb9b"/>
    <w:p>
      <w:pPr>
        <w:pStyle w:val="Heading4"/>
      </w:pPr>
      <w:r>
        <w:t xml:space="preserve">Figure 4d: Drop-out rate MMR1-MMR2, Caribbean, 2023.</w:t>
      </w:r>
    </w:p>
    <w:p>
      <w:pPr>
        <w:pStyle w:val="FirstParagraph"/>
      </w:pPr>
      <w:r>
        <w:drawing>
          <wp:inline>
            <wp:extent cx="4160520" cy="3120390"/>
            <wp:effectExtent b="0" l="0" r="0" t="0"/>
            <wp:docPr descr="" title="" id="126" name="Picture"/>
            <a:graphic>
              <a:graphicData uri="http://schemas.openxmlformats.org/drawingml/2006/picture">
                <pic:pic>
                  <pic:nvPicPr>
                    <pic:cNvPr descr="figures/fig_4d.png" id="127" name="Picture"/>
                    <pic:cNvPicPr>
                      <a:picLocks noChangeArrowheads="1" noChangeAspect="1"/>
                    </pic:cNvPicPr>
                  </pic:nvPicPr>
                  <pic:blipFill>
                    <a:blip r:embed="rId125"/>
                    <a:stretch>
                      <a:fillRect/>
                    </a:stretch>
                  </pic:blipFill>
                  <pic:spPr bwMode="auto">
                    <a:xfrm>
                      <a:off x="0" y="0"/>
                      <a:ext cx="4160520" cy="3120390"/>
                    </a:xfrm>
                    <a:prstGeom prst="rect">
                      <a:avLst/>
                    </a:prstGeom>
                    <a:noFill/>
                    <a:ln w="9525">
                      <a:noFill/>
                      <a:headEnd/>
                      <a:tailEnd/>
                    </a:ln>
                  </pic:spPr>
                </pic:pic>
              </a:graphicData>
            </a:graphic>
          </wp:inline>
        </w:drawing>
      </w:r>
    </w:p>
    <w:bookmarkEnd w:id="128"/>
    <w:bookmarkStart w:id="132" w:name="X3663bfb87feae196f847bc7b42b7609c792618c"/>
    <w:p>
      <w:pPr>
        <w:pStyle w:val="Heading4"/>
      </w:pPr>
      <w:r>
        <w:t xml:space="preserve">Figure 4e: Drop-out rate Penta1-MMR1, Caribbean, 2023.</w:t>
      </w:r>
    </w:p>
    <w:p>
      <w:pPr>
        <w:pStyle w:val="FirstParagraph"/>
      </w:pPr>
      <w:r>
        <w:drawing>
          <wp:inline>
            <wp:extent cx="4160520" cy="3120390"/>
            <wp:effectExtent b="0" l="0" r="0" t="0"/>
            <wp:docPr descr="" title="" id="130" name="Picture"/>
            <a:graphic>
              <a:graphicData uri="http://schemas.openxmlformats.org/drawingml/2006/picture">
                <pic:pic>
                  <pic:nvPicPr>
                    <pic:cNvPr descr="figures/fig_4e.png" id="131" name="Picture"/>
                    <pic:cNvPicPr>
                      <a:picLocks noChangeArrowheads="1" noChangeAspect="1"/>
                    </pic:cNvPicPr>
                  </pic:nvPicPr>
                  <pic:blipFill>
                    <a:blip r:embed="rId129"/>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32"/>
    <w:bookmarkEnd w:id="133"/>
    <w:bookmarkStart w:id="147" w:name="section-5-threat-assessment"/>
    <w:p>
      <w:pPr>
        <w:pStyle w:val="Heading2"/>
      </w:pPr>
      <w:r>
        <w:t xml:space="preserve">Section 5: Threat Assessment</w:t>
      </w:r>
    </w:p>
    <w:bookmarkStart w:id="134" w:name="Xdd01ba3f8d4f95a9df775ebe5defe9d9162a736"/>
    <w:p>
      <w:pPr>
        <w:pStyle w:val="Heading4"/>
      </w:pPr>
      <w:r>
        <w:t xml:space="preserve">Table 5a: Number of paísities in threat assessment, Caribbean,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Threat Assessment</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Medium risk</w:t>
            </w:r>
          </w:p>
        </w:tc>
        <w:tc>
          <w:tcPr/>
          <w:p>
            <w:pPr>
              <w:pStyle w:val="Compact"/>
              <w:jc w:val="right"/>
            </w:pPr>
            <w:r>
              <w:t xml:space="preserve">16</w:t>
            </w:r>
          </w:p>
        </w:tc>
        <w:tc>
          <w:tcPr/>
          <w:p>
            <w:pPr>
              <w:pStyle w:val="Compact"/>
              <w:jc w:val="right"/>
            </w:pPr>
            <w:r>
              <w:t xml:space="preserve">76.2%</w:t>
            </w:r>
          </w:p>
        </w:tc>
      </w:tr>
      <w:tr>
        <w:tc>
          <w:tcPr/>
          <w:p>
            <w:pPr>
              <w:pStyle w:val="Compact"/>
              <w:jc w:val="left"/>
            </w:pPr>
            <w:r>
              <w:t xml:space="preserve">High risk</w:t>
            </w:r>
          </w:p>
        </w:tc>
        <w:tc>
          <w:tcPr/>
          <w:p>
            <w:pPr>
              <w:pStyle w:val="Compact"/>
              <w:jc w:val="right"/>
            </w:pPr>
            <w:r>
              <w:t xml:space="preserve">5</w:t>
            </w:r>
          </w:p>
        </w:tc>
        <w:tc>
          <w:tcPr/>
          <w:p>
            <w:pPr>
              <w:pStyle w:val="Compact"/>
              <w:jc w:val="right"/>
            </w:pPr>
            <w:r>
              <w:t xml:space="preserve">23.8%</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134"/>
    <w:bookmarkStart w:id="138" w:name="X43ea366638d86a998cfd4141705070378c13548"/>
    <w:p>
      <w:pPr>
        <w:pStyle w:val="Heading4"/>
      </w:pPr>
      <w:r>
        <w:t xml:space="preserve">Figure 5a: Risk profile for threat assessment, Caribbean, 2019-2023.</w:t>
      </w:r>
    </w:p>
    <w:p>
      <w:pPr>
        <w:pStyle w:val="FirstParagraph"/>
      </w:pPr>
      <w:r>
        <w:drawing>
          <wp:inline>
            <wp:extent cx="4800600" cy="3600450"/>
            <wp:effectExtent b="0" l="0" r="0" t="0"/>
            <wp:docPr descr="" title="" id="136" name="Picture"/>
            <a:graphic>
              <a:graphicData uri="http://schemas.openxmlformats.org/drawingml/2006/picture">
                <pic:pic>
                  <pic:nvPicPr>
                    <pic:cNvPr descr="figures/fig_5a.png" id="137" name="Picture"/>
                    <pic:cNvPicPr>
                      <a:picLocks noChangeArrowheads="1" noChangeAspect="1"/>
                    </pic:cNvPicPr>
                  </pic:nvPicPr>
                  <pic:blipFill>
                    <a:blip r:embed="rId135"/>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138"/>
    <w:bookmarkStart w:id="142" w:name="X197cda020f0908d2f5f925fb06efc283aee3436"/>
    <w:p>
      <w:pPr>
        <w:pStyle w:val="Heading4"/>
      </w:pPr>
      <w:r>
        <w:t xml:space="preserve">Figure 5b: Population density (per km</w:t>
      </w:r>
      <w:r>
        <w:rPr>
          <w:vertAlign w:val="superscript"/>
        </w:rPr>
        <w:t xml:space="preserve">2</w:t>
      </w:r>
      <w:r>
        <w:t xml:space="preserve">), Caribbean, 2019-2023.</w:t>
      </w:r>
    </w:p>
    <w:p>
      <w:pPr>
        <w:pStyle w:val="FirstParagraph"/>
      </w:pPr>
      <w:r>
        <w:drawing>
          <wp:inline>
            <wp:extent cx="4160520" cy="3120390"/>
            <wp:effectExtent b="0" l="0" r="0" t="0"/>
            <wp:docPr descr="" title="" id="140" name="Picture"/>
            <a:graphic>
              <a:graphicData uri="http://schemas.openxmlformats.org/drawingml/2006/picture">
                <pic:pic>
                  <pic:nvPicPr>
                    <pic:cNvPr descr="figures/fig_5b.png" id="141" name="Picture"/>
                    <pic:cNvPicPr>
                      <a:picLocks noChangeArrowheads="1" noChangeAspect="1"/>
                    </pic:cNvPicPr>
                  </pic:nvPicPr>
                  <pic:blipFill>
                    <a:blip r:embed="rId139"/>
                    <a:stretch>
                      <a:fillRect/>
                    </a:stretch>
                  </pic:blipFill>
                  <pic:spPr bwMode="auto">
                    <a:xfrm>
                      <a:off x="0" y="0"/>
                      <a:ext cx="4160520" cy="3120390"/>
                    </a:xfrm>
                    <a:prstGeom prst="rect">
                      <a:avLst/>
                    </a:prstGeom>
                    <a:noFill/>
                    <a:ln w="9525">
                      <a:noFill/>
                      <a:headEnd/>
                      <a:tailEnd/>
                    </a:ln>
                  </pic:spPr>
                </pic:pic>
              </a:graphicData>
            </a:graphic>
          </wp:inline>
        </w:drawing>
      </w:r>
    </w:p>
    <w:bookmarkEnd w:id="142"/>
    <w:bookmarkStart w:id="146" w:name="X6f4b00ba46e5ca5b98e0e482e8fc8b9944bc585"/>
    <w:p>
      <w:pPr>
        <w:pStyle w:val="Heading4"/>
      </w:pPr>
      <w:r>
        <w:t xml:space="preserve">Figure 5c: Presence of vulnerable population, Caribbean, 2023.</w:t>
      </w:r>
    </w:p>
    <w:p>
      <w:pPr>
        <w:pStyle w:val="FirstParagraph"/>
      </w:pPr>
      <w:r>
        <w:drawing>
          <wp:inline>
            <wp:extent cx="4160520" cy="3120390"/>
            <wp:effectExtent b="0" l="0" r="0" t="0"/>
            <wp:docPr descr="" title="" id="144" name="Picture"/>
            <a:graphic>
              <a:graphicData uri="http://schemas.openxmlformats.org/drawingml/2006/picture">
                <pic:pic>
                  <pic:nvPicPr>
                    <pic:cNvPr descr="figures/fig_5c.png" id="145" name="Picture"/>
                    <pic:cNvPicPr>
                      <a:picLocks noChangeArrowheads="1" noChangeAspect="1"/>
                    </pic:cNvPicPr>
                  </pic:nvPicPr>
                  <pic:blipFill>
                    <a:blip r:embed="rId14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46"/>
    <w:bookmarkEnd w:id="147"/>
    <w:bookmarkStart w:id="161" w:name="X5f3d087ecf2ed63024defbafc57fa9e01e765e6"/>
    <w:p>
      <w:pPr>
        <w:pStyle w:val="Heading2"/>
      </w:pPr>
      <w:r>
        <w:t xml:space="preserve">Section 6: Rapid response to imported cases</w:t>
      </w:r>
    </w:p>
    <w:bookmarkStart w:id="148" w:name="X04b1fbcf8b29251e4d3920af0348925adf06eea"/>
    <w:p>
      <w:pPr>
        <w:pStyle w:val="Heading4"/>
      </w:pPr>
      <w:r>
        <w:t xml:space="preserve">Table 6a: Number of paísities in rapid response, Caribbean,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Rapid response to imported cases</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Medium risk</w:t>
            </w:r>
          </w:p>
        </w:tc>
        <w:tc>
          <w:tcPr/>
          <w:p>
            <w:pPr>
              <w:pStyle w:val="Compact"/>
              <w:jc w:val="right"/>
            </w:pPr>
            <w:r>
              <w:t xml:space="preserve">21</w:t>
            </w:r>
          </w:p>
        </w:tc>
        <w:tc>
          <w:tcPr/>
          <w:p>
            <w:pPr>
              <w:pStyle w:val="Compact"/>
              <w:jc w:val="right"/>
            </w:pPr>
            <w:r>
              <w:t xml:space="preserve">100.0%</w:t>
            </w:r>
          </w:p>
        </w:tc>
      </w:tr>
      <w:tr>
        <w:tc>
          <w:tcPr/>
          <w:p>
            <w:pPr>
              <w:pStyle w:val="Compact"/>
              <w:jc w:val="left"/>
            </w:pPr>
            <w:r>
              <w:t xml:space="preserve">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148"/>
    <w:bookmarkStart w:id="152" w:name="X1590d6d04171e5b668c12e5fae30786ccc1b0b4"/>
    <w:p>
      <w:pPr>
        <w:pStyle w:val="Heading4"/>
      </w:pPr>
      <w:r>
        <w:t xml:space="preserve">Figure 6a: Risk assessment for rapid response to imported cases, Caribbean, 2019-2023.</w:t>
      </w:r>
    </w:p>
    <w:p>
      <w:pPr>
        <w:pStyle w:val="FirstParagraph"/>
      </w:pPr>
      <w:r>
        <w:drawing>
          <wp:inline>
            <wp:extent cx="4800600" cy="3600450"/>
            <wp:effectExtent b="0" l="0" r="0" t="0"/>
            <wp:docPr descr="" title="" id="150" name="Picture"/>
            <a:graphic>
              <a:graphicData uri="http://schemas.openxmlformats.org/drawingml/2006/picture">
                <pic:pic>
                  <pic:nvPicPr>
                    <pic:cNvPr descr="figures/fig_6a.png" id="151" name="Picture"/>
                    <pic:cNvPicPr>
                      <a:picLocks noChangeArrowheads="1" noChangeAspect="1"/>
                    </pic:cNvPicPr>
                  </pic:nvPicPr>
                  <pic:blipFill>
                    <a:blip r:embed="rId149"/>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152"/>
    <w:bookmarkStart w:id="156" w:name="Xcdd5cb5e188a1551b72bdcb66685753df60b172"/>
    <w:p>
      <w:pPr>
        <w:pStyle w:val="Heading4"/>
      </w:pPr>
      <w:r>
        <w:t xml:space="preserve">Figure 6b: Presence of trained rapid response team at subnational level, Caribbean, 2019-2023.</w:t>
      </w:r>
    </w:p>
    <w:p>
      <w:pPr>
        <w:pStyle w:val="FirstParagraph"/>
      </w:pPr>
      <w:r>
        <w:drawing>
          <wp:inline>
            <wp:extent cx="4160520" cy="3120390"/>
            <wp:effectExtent b="0" l="0" r="0" t="0"/>
            <wp:docPr descr="" title="" id="154" name="Picture"/>
            <a:graphic>
              <a:graphicData uri="http://schemas.openxmlformats.org/drawingml/2006/picture">
                <pic:pic>
                  <pic:nvPicPr>
                    <pic:cNvPr descr="figures/fig_6b.png" id="155" name="Picture"/>
                    <pic:cNvPicPr>
                      <a:picLocks noChangeArrowheads="1" noChangeAspect="1"/>
                    </pic:cNvPicPr>
                  </pic:nvPicPr>
                  <pic:blipFill>
                    <a:blip r:embed="rId153"/>
                    <a:stretch>
                      <a:fillRect/>
                    </a:stretch>
                  </pic:blipFill>
                  <pic:spPr bwMode="auto">
                    <a:xfrm>
                      <a:off x="0" y="0"/>
                      <a:ext cx="4160520" cy="3120390"/>
                    </a:xfrm>
                    <a:prstGeom prst="rect">
                      <a:avLst/>
                    </a:prstGeom>
                    <a:noFill/>
                    <a:ln w="9525">
                      <a:noFill/>
                      <a:headEnd/>
                      <a:tailEnd/>
                    </a:ln>
                  </pic:spPr>
                </pic:pic>
              </a:graphicData>
            </a:graphic>
          </wp:inline>
        </w:drawing>
      </w:r>
    </w:p>
    <w:bookmarkEnd w:id="156"/>
    <w:bookmarkStart w:id="160" w:name="Xac5f121cf38ae92992ee9a1ec65f1881114e018"/>
    <w:p>
      <w:pPr>
        <w:pStyle w:val="Heading4"/>
      </w:pPr>
      <w:r>
        <w:t xml:space="preserve">Figure 6c: Percentage of hospitals at subnational level with staff trained in triage and isolation, Caribbean, 2019-2023.</w:t>
      </w:r>
    </w:p>
    <w:p>
      <w:pPr>
        <w:pStyle w:val="FirstParagraph"/>
      </w:pPr>
      <w:r>
        <w:drawing>
          <wp:inline>
            <wp:extent cx="4160520" cy="3120390"/>
            <wp:effectExtent b="0" l="0" r="0" t="0"/>
            <wp:docPr descr="" title="" id="158" name="Picture"/>
            <a:graphic>
              <a:graphicData uri="http://schemas.openxmlformats.org/drawingml/2006/picture">
                <pic:pic>
                  <pic:nvPicPr>
                    <pic:cNvPr descr="figures/fig_6c.png" id="159" name="Picture"/>
                    <pic:cNvPicPr>
                      <a:picLocks noChangeArrowheads="1" noChangeAspect="1"/>
                    </pic:cNvPicPr>
                  </pic:nvPicPr>
                  <pic:blipFill>
                    <a:blip r:embed="rId157"/>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60"/>
    <w:bookmarkEnd w:id="161"/>
    <w:bookmarkEnd w:id="162"/>
    <w:bookmarkStart w:id="166" w:name="appendix-global-variables"/>
    <w:p>
      <w:pPr>
        <w:pStyle w:val="Heading1"/>
      </w:pPr>
      <w:r>
        <w:t xml:space="preserve">Appendix: Global variables</w:t>
      </w:r>
    </w:p>
    <w:bookmarkStart w:id="163" w:name="global-reference-data"/>
    <w:p>
      <w:pPr>
        <w:pStyle w:val="Heading4"/>
      </w:pPr>
      <w:r>
        <w:t xml:space="preserve">Global reference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Global reference data</w:t>
            </w:r>
          </w:p>
        </w:tc>
        <w:tc>
          <w:tcPr/>
          <w:p>
            <w:pPr>
              <w:pStyle w:val="Compact"/>
              <w:jc w:val="center"/>
            </w:pPr>
            <w:r>
              <w:t xml:space="preserve">Value</w:t>
            </w:r>
          </w:p>
        </w:tc>
      </w:tr>
      <w:tr>
        <w:tc>
          <w:tcPr/>
          <w:p>
            <w:pPr>
              <w:pStyle w:val="Compact"/>
              <w:jc w:val="left"/>
            </w:pPr>
            <w:r>
              <w:t xml:space="preserve">Name of country or subnational level</w:t>
            </w:r>
          </w:p>
        </w:tc>
        <w:tc>
          <w:tcPr/>
          <w:p>
            <w:pPr>
              <w:pStyle w:val="Compact"/>
              <w:jc w:val="center"/>
            </w:pPr>
            <w:r>
              <w:t xml:space="preserve">Caribbean</w:t>
            </w:r>
          </w:p>
        </w:tc>
      </w:tr>
      <w:tr>
        <w:tc>
          <w:tcPr/>
          <w:p>
            <w:pPr>
              <w:pStyle w:val="Compact"/>
              <w:jc w:val="left"/>
            </w:pPr>
            <w:r>
              <w:t xml:space="preserve">Year of risk assessment</w:t>
            </w:r>
          </w:p>
        </w:tc>
        <w:tc>
          <w:tcPr/>
          <w:p>
            <w:pPr>
              <w:pStyle w:val="Compact"/>
              <w:jc w:val="center"/>
            </w:pPr>
            <w:r>
              <w:t xml:space="preserve">2024</w:t>
            </w:r>
          </w:p>
        </w:tc>
      </w:tr>
      <w:tr>
        <w:tc>
          <w:tcPr/>
          <w:p>
            <w:pPr>
              <w:pStyle w:val="Compact"/>
              <w:jc w:val="left"/>
            </w:pPr>
            <w:r>
              <w:t xml:space="preserve">Does the country have a trained rapid response team?</w:t>
            </w:r>
          </w:p>
        </w:tc>
        <w:tc>
          <w:tcPr/>
          <w:p>
            <w:pPr>
              <w:pStyle w:val="Compact"/>
              <w:jc w:val="center"/>
            </w:pPr>
            <w:r>
              <w:t xml:space="preserve">Si</w:t>
            </w:r>
          </w:p>
        </w:tc>
      </w:tr>
      <w:tr>
        <w:tc>
          <w:tcPr/>
          <w:p>
            <w:pPr>
              <w:pStyle w:val="Compact"/>
              <w:jc w:val="left"/>
            </w:pPr>
            <w:r>
              <w:t xml:space="preserve">Year of last campaign (YYYY)?</w:t>
            </w:r>
          </w:p>
        </w:tc>
        <w:tc>
          <w:tcPr/>
          <w:p>
            <w:pPr>
              <w:pStyle w:val="Compact"/>
              <w:jc w:val="center"/>
            </w:pPr>
            <w:r>
              <w:t xml:space="preserve">2023</w:t>
            </w:r>
          </w:p>
        </w:tc>
      </w:tr>
      <w:tr>
        <w:tc>
          <w:tcPr/>
          <w:p>
            <w:pPr>
              <w:pStyle w:val="Compact"/>
              <w:jc w:val="left"/>
            </w:pPr>
            <w:r>
              <w:t xml:space="preserve">MMR1 age of administration (months)</w:t>
            </w:r>
          </w:p>
        </w:tc>
        <w:tc>
          <w:tcPr/>
          <w:p>
            <w:pPr>
              <w:pStyle w:val="Compact"/>
              <w:jc w:val="center"/>
            </w:pPr>
            <w:r>
              <w:t xml:space="preserve">12</w:t>
            </w:r>
          </w:p>
        </w:tc>
      </w:tr>
      <w:tr>
        <w:tc>
          <w:tcPr/>
          <w:p>
            <w:pPr>
              <w:pStyle w:val="Compact"/>
              <w:jc w:val="left"/>
            </w:pPr>
            <w:r>
              <w:t xml:space="preserve">MMR2 age of administration (months)</w:t>
            </w:r>
          </w:p>
        </w:tc>
        <w:tc>
          <w:tcPr/>
          <w:p>
            <w:pPr>
              <w:pStyle w:val="Compact"/>
              <w:jc w:val="center"/>
            </w:pPr>
            <w:r>
              <w:t xml:space="preserve">18</w:t>
            </w:r>
          </w:p>
        </w:tc>
      </w:tr>
      <w:tr>
        <w:tc>
          <w:tcPr/>
          <w:p>
            <w:pPr>
              <w:pStyle w:val="Compact"/>
              <w:jc w:val="left"/>
            </w:pPr>
            <w:r>
              <w:t xml:space="preserve">Outbreak</w:t>
            </w:r>
          </w:p>
        </w:tc>
        <w:tc>
          <w:tcPr/>
          <w:p>
            <w:pPr>
              <w:pStyle w:val="Compact"/>
              <w:jc w:val="center"/>
            </w:pPr>
            <w:r>
              <w:t xml:space="preserve">No</w:t>
            </w:r>
          </w:p>
        </w:tc>
      </w:tr>
      <w:tr>
        <w:tc>
          <w:tcPr/>
          <w:p>
            <w:pPr>
              <w:pStyle w:val="Compact"/>
              <w:jc w:val="left"/>
            </w:pPr>
            <w:r>
              <w:t xml:space="preserve">Language</w:t>
            </w:r>
          </w:p>
        </w:tc>
        <w:tc>
          <w:tcPr/>
          <w:p>
            <w:pPr>
              <w:pStyle w:val="Compact"/>
              <w:jc w:val="center"/>
            </w:pPr>
            <w:r>
              <w:t xml:space="preserve">ENG</w:t>
            </w:r>
          </w:p>
        </w:tc>
      </w:tr>
    </w:tbl>
    <w:bookmarkEnd w:id="163"/>
    <w:bookmarkStart w:id="164" w:name="calculated-fields"/>
    <w:p>
      <w:pPr>
        <w:pStyle w:val="Heading4"/>
      </w:pPr>
      <w:r>
        <w:t xml:space="preserve">Calculated fields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Calculated fields</w:t>
            </w:r>
          </w:p>
        </w:tc>
        <w:tc>
          <w:tcPr/>
          <w:p>
            <w:pPr>
              <w:pStyle w:val="Compact"/>
              <w:jc w:val="center"/>
            </w:pPr>
            <w:r>
              <w:t xml:space="preserve">Value</w:t>
            </w:r>
          </w:p>
        </w:tc>
      </w:tr>
      <w:tr>
        <w:tc>
          <w:tcPr/>
          <w:p>
            <w:pPr>
              <w:pStyle w:val="Compact"/>
              <w:jc w:val="left"/>
            </w:pPr>
            <w:r>
              <w:t xml:space="preserve">First year of data</w:t>
            </w:r>
          </w:p>
        </w:tc>
        <w:tc>
          <w:tcPr/>
          <w:p>
            <w:pPr>
              <w:pStyle w:val="Compact"/>
              <w:jc w:val="center"/>
            </w:pPr>
            <w:r>
              <w:t xml:space="preserve">2019</w:t>
            </w:r>
          </w:p>
        </w:tc>
      </w:tr>
      <w:tr>
        <w:tc>
          <w:tcPr/>
          <w:p>
            <w:pPr>
              <w:pStyle w:val="Compact"/>
              <w:jc w:val="left"/>
            </w:pPr>
            <w:r>
              <w:t xml:space="preserve">Last year of data</w:t>
            </w:r>
          </w:p>
        </w:tc>
        <w:tc>
          <w:tcPr/>
          <w:p>
            <w:pPr>
              <w:pStyle w:val="Compact"/>
              <w:jc w:val="center"/>
            </w:pPr>
            <w:r>
              <w:t xml:space="preserve">2023</w:t>
            </w:r>
          </w:p>
        </w:tc>
      </w:tr>
      <w:tr>
        <w:tc>
          <w:tcPr/>
          <w:p>
            <w:pPr>
              <w:pStyle w:val="Compact"/>
              <w:jc w:val="left"/>
            </w:pPr>
            <w:r>
              <w:t xml:space="preserve">Years of assessment</w:t>
            </w:r>
          </w:p>
        </w:tc>
        <w:tc>
          <w:tcPr/>
          <w:p>
            <w:pPr>
              <w:pStyle w:val="Compact"/>
              <w:jc w:val="center"/>
            </w:pPr>
            <w:r>
              <w:t xml:space="preserve">2019-2023</w:t>
            </w:r>
          </w:p>
        </w:tc>
      </w:tr>
    </w:tbl>
    <w:bookmarkEnd w:id="164"/>
    <w:bookmarkStart w:id="165" w:name="geoelement"/>
    <w:p>
      <w:pPr>
        <w:pStyle w:val="Heading4"/>
      </w:pPr>
      <w:r>
        <w:t xml:space="preserve">Geoelement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Geoelement</w:t>
            </w:r>
          </w:p>
        </w:tc>
        <w:tc>
          <w:tcPr/>
          <w:p>
            <w:pPr>
              <w:pStyle w:val="Compact"/>
              <w:jc w:val="center"/>
            </w:pPr>
            <w:r>
              <w:t xml:space="preserve">Value</w:t>
            </w:r>
          </w:p>
        </w:tc>
      </w:tr>
      <w:tr>
        <w:tc>
          <w:tcPr/>
          <w:p>
            <w:pPr>
              <w:pStyle w:val="Compact"/>
              <w:jc w:val="left"/>
            </w:pPr>
            <w:r>
              <w:t xml:space="preserve">Shapefiles loaded </w:t>
            </w:r>
          </w:p>
        </w:tc>
        <w:tc>
          <w:tcPr/>
          <w:p>
            <w:pPr>
              <w:pStyle w:val="Compact"/>
              <w:jc w:val="center"/>
            </w:pPr>
            <w:r>
              <w:t xml:space="preserve">26</w:t>
            </w:r>
          </w:p>
        </w:tc>
      </w:tr>
      <w:tr>
        <w:tc>
          <w:tcPr/>
          <w:p>
            <w:pPr>
              <w:pStyle w:val="Compact"/>
              <w:jc w:val="left"/>
            </w:pPr>
            <w:r>
              <w:t xml:space="preserve">Number of subnational levels</w:t>
            </w:r>
          </w:p>
        </w:tc>
        <w:tc>
          <w:tcPr/>
          <w:p>
            <w:pPr>
              <w:pStyle w:val="Compact"/>
              <w:jc w:val="center"/>
            </w:pPr>
            <w:r>
              <w:t xml:space="preserve">1</w:t>
            </w:r>
          </w:p>
        </w:tc>
      </w:tr>
      <w:tr>
        <w:tc>
          <w:tcPr/>
          <w:p>
            <w:pPr>
              <w:pStyle w:val="Compact"/>
              <w:jc w:val="left"/>
            </w:pPr>
            <w:r>
              <w:t xml:space="preserve">Number of countries</w:t>
            </w:r>
          </w:p>
        </w:tc>
        <w:tc>
          <w:tcPr/>
          <w:p>
            <w:pPr>
              <w:pStyle w:val="Compact"/>
              <w:jc w:val="center"/>
            </w:pPr>
            <w:r>
              <w:t xml:space="preserve">26</w:t>
            </w:r>
          </w:p>
        </w:tc>
      </w:tr>
      <w:tr>
        <w:tc>
          <w:tcPr/>
          <w:p>
            <w:pPr>
              <w:pStyle w:val="Compact"/>
              <w:jc w:val="left"/>
            </w:pPr>
            <w:r>
              <w:t xml:space="preserve">Population of country in reference year</w:t>
            </w:r>
          </w:p>
        </w:tc>
        <w:tc>
          <w:tcPr/>
          <w:p>
            <w:pPr>
              <w:pStyle w:val="Compact"/>
              <w:jc w:val="center"/>
            </w:pPr>
            <w:r>
              <w:t xml:space="preserve">8,057,839</w:t>
            </w:r>
          </w:p>
        </w:tc>
      </w:tr>
      <w:tr>
        <w:tc>
          <w:tcPr/>
          <w:p>
            <w:pPr>
              <w:pStyle w:val="Compact"/>
              <w:jc w:val="left"/>
            </w:pPr>
            <w:r>
              <w:t xml:space="preserve">Area (km2) in reference year</w:t>
            </w:r>
          </w:p>
        </w:tc>
        <w:tc>
          <w:tcPr/>
          <w:p>
            <w:pPr>
              <w:pStyle w:val="Compact"/>
              <w:jc w:val="center"/>
            </w:pPr>
            <w:r>
              <w:t xml:space="preserve">425,291.2</w:t>
            </w:r>
          </w:p>
        </w:tc>
      </w:tr>
    </w:tbl>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7" Target="media/rId1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Measles and Rubella Risk Assessment Final Report - Caribbean</dc:title>
  <dc:creator>Measles and Rubella Risk Assessment Profile - Caribbean, 03.11.2024</dc:creator>
  <cp:keywords/>
  <dcterms:created xsi:type="dcterms:W3CDTF">2024-11-03T14:07:44Z</dcterms:created>
  <dcterms:modified xsi:type="dcterms:W3CDTF">2024-11-03T14:07:44Z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