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38.png" ContentType="image/png"/>
  <Override PartName="/word/media/rId142.png" ContentType="image/png"/>
  <Override PartName="/word/media/rId146.png" ContentType="image/png"/>
  <Override PartName="/word/media/rId152.png" ContentType="image/png"/>
  <Override PartName="/word/media/rId156.png" ContentType="image/png"/>
  <Override PartName="/word/media/rId1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r>
        <w:t xml:space="preserve"> </w:t>
      </w:r>
      <w:r>
        <w:t xml:space="preserve">05.12.2024</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5"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municipio a través de la suma de puntos de indicadores en cinco categorías: inmunidad poblacional, calidad de la vigilancia, rendimiento del programa, evaluación de la amenaza y respuesta rápida. A cada municipio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pStyle w:val="Compact"/>
        <w:numPr>
          <w:ilvl w:val="0"/>
          <w:numId w:val="1001"/>
        </w:numPr>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pStyle w:val="Compact"/>
        <w:numPr>
          <w:ilvl w:val="0"/>
          <w:numId w:val="1001"/>
        </w:numPr>
      </w:pPr>
      <w:r>
        <w:t xml:space="preserve">Calidad de la vigilancia: Evalúa la sensibilidad del municipio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pStyle w:val="Compact"/>
        <w:numPr>
          <w:ilvl w:val="0"/>
          <w:numId w:val="1001"/>
        </w:numPr>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pStyle w:val="Compact"/>
        <w:numPr>
          <w:ilvl w:val="0"/>
          <w:numId w:val="1001"/>
        </w:numPr>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pStyle w:val="Compact"/>
        <w:numPr>
          <w:ilvl w:val="0"/>
          <w:numId w:val="1001"/>
        </w:numPr>
      </w:pPr>
      <w:r>
        <w:t xml:space="preserve">Respuesta rápida a casos importados de sarampión y rubeola: Toma en cuenta la presencia de una respuesta rápida a casos importados de sarampión y rubeola. Los indicadores se miden a nivel subnacional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municipio con colores asignados para cada categoría de riesgo. Además, las puntuaciones de riesgo por municipio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6 municipios en Belize, 0 (0%) fueron categorizados en muy alto riesgo, 0 (0%) fueron categorizados en alto riesgo, 5 (83.3%) fueron categorizados en riesgo mediano, y 1 (16.7%) fueron categorizados en bajo riesgo.</w:t>
      </w:r>
    </w:p>
    <w:bookmarkStart w:id="24" w:name="X867ac1f8bd70a1eb2dd75aca14538843edd3779"/>
    <w:p>
      <w:pPr>
        <w:pStyle w:val="Heading4"/>
      </w:pPr>
      <w:r>
        <w:t xml:space="preserve">Tabla 1a: Número de municipios en perfil general,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Categorías de riesgo</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7c1481678d8e3e02ff85792cfa84c0a9bdf0aa6"/>
    <w:p>
      <w:pPr>
        <w:pStyle w:val="Heading4"/>
      </w:pPr>
      <w:r>
        <w:t xml:space="preserve">Figura 1a: Evaluación de riesgo para sarampión y rubeola Belize, 2019-2023.</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4b586478599606fd9ca8ebff065870f6eb468b6"/>
    <w:p>
      <w:pPr>
        <w:pStyle w:val="Heading4"/>
      </w:pPr>
      <w:r>
        <w:t xml:space="preserve">Figura 1b: Mapa de riesgo para municipios de muy alto riesgo, Belize, 2019-2023.</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82c5029615ad567a49a06060f3fff7939d35862"/>
    <w:p>
      <w:pPr>
        <w:pStyle w:val="Heading4"/>
      </w:pPr>
      <w:r>
        <w:t xml:space="preserve">Figura 1c: Mapa de riesgo para municipios de alto riesgo, Belize, 2019-2023.</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14189dc612320d9b45788e17cba0f09192c3e6a"/>
    <w:p>
      <w:pPr>
        <w:pStyle w:val="Heading4"/>
      </w:pPr>
      <w:r>
        <w:t xml:space="preserve">Tabla 2a: Número de municipios en inmunidad poblacional,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Inmunidad de la población</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50e52bb6494e4de744f62130a8b91b1b117a310"/>
    <w:p>
      <w:pPr>
        <w:pStyle w:val="Heading4"/>
      </w:pPr>
      <w:r>
        <w:t xml:space="preserve">Figura 2a: Evaluación de riesgo para inmunidad poblacional, Belize, 2019-2023.</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10f2bf7cd8cdba7df711b0b457b21d2dd6f6baf"/>
    <w:p>
      <w:pPr>
        <w:pStyle w:val="Heading4"/>
      </w:pPr>
      <w:r>
        <w:t xml:space="preserve">Figura 2b: Cobertura de la campaña de sarampión-rubéola (SR), Belize, 2015.</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figura-2c-cobertura-de-srp1-belize-2019."/>
    <w:p>
      <w:pPr>
        <w:pStyle w:val="Heading4"/>
      </w:pPr>
      <w:r>
        <w:t xml:space="preserve">Figura 2c: Cobertura de SRP1, Belize, 2019.</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figura-2d-cobertura-de-srp1-belize-2020."/>
    <w:p>
      <w:pPr>
        <w:pStyle w:val="Heading4"/>
      </w:pPr>
      <w:r>
        <w:t xml:space="preserve">Figura 2d: Cobertura de SRP1, Belize, 2020.</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figura-2e-cobertura-de-srp1-belize-2021."/>
    <w:p>
      <w:pPr>
        <w:pStyle w:val="Heading4"/>
      </w:pPr>
      <w:r>
        <w:t xml:space="preserve">Figura 2e: Cobertura de SRP1, Belize, 2021.</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figura-2f-cobertura-de-srp1-belize-2022."/>
    <w:p>
      <w:pPr>
        <w:pStyle w:val="Heading4"/>
      </w:pPr>
      <w:r>
        <w:t xml:space="preserve">Figura 2f Cobertura de SRP1, Belize, 2022.</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figura-2g-cobertura-de-srp1-belize-2023."/>
    <w:p>
      <w:pPr>
        <w:pStyle w:val="Heading4"/>
      </w:pPr>
      <w:r>
        <w:t xml:space="preserve">Figura 2g: Cobertura de SRP1, Belize, 2023.</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figura-2h-cobertura-de-srp2-belize-2019."/>
    <w:p>
      <w:pPr>
        <w:pStyle w:val="Heading4"/>
      </w:pPr>
      <w:r>
        <w:t xml:space="preserve">Figura 2h: Cobertura de SRP2, Belize, 2019.</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figura-2i-cobertura-de-srp2-belize-2020."/>
    <w:p>
      <w:pPr>
        <w:pStyle w:val="Heading4"/>
      </w:pPr>
      <w:r>
        <w:t xml:space="preserve">Figura 2i: Cobertura de SRP2, Belize, 2020.</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figura-2j-cobertura-de-srp2-belize-2021."/>
    <w:p>
      <w:pPr>
        <w:pStyle w:val="Heading4"/>
      </w:pPr>
      <w:r>
        <w:t xml:space="preserve">Figura 2j: Cobertura de SRP2, Belize, 2021.</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figura-2k-cobertura-de-srp2-belize-2022."/>
    <w:p>
      <w:pPr>
        <w:pStyle w:val="Heading4"/>
      </w:pPr>
      <w:r>
        <w:t xml:space="preserve">Figura 2k: Cobertura de SRP2, Belize, 2022.</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figura-2l-cobertura-de-srp2-belize-2023."/>
    <w:p>
      <w:pPr>
        <w:pStyle w:val="Heading4"/>
      </w:pPr>
      <w:r>
        <w:t xml:space="preserve">Figura 2l: Cobertura de SRP2, Belize, 2023.</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14" w:name="sección-3-calidad-de-la-vigilancia"/>
    <w:p>
      <w:pPr>
        <w:pStyle w:val="Heading2"/>
      </w:pPr>
      <w:r>
        <w:t xml:space="preserve">Sección 3: Calidad de la vigilancia</w:t>
      </w:r>
    </w:p>
    <w:bookmarkStart w:id="88" w:name="Xd85c385a475abf6c49db466678f01497a9d8d71"/>
    <w:p>
      <w:pPr>
        <w:pStyle w:val="Heading4"/>
      </w:pPr>
      <w:r>
        <w:t xml:space="preserve">Tabla 3a: Número de municipios en calidad de vigilancia,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Calidad de la vigilancia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Riesgo mediano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452479ccc67c409d3e6a39be54150a5f76cf1e4"/>
    <w:p>
      <w:pPr>
        <w:pStyle w:val="Heading4"/>
      </w:pPr>
      <w:r>
        <w:t xml:space="preserve">Figura 3a: Evaluación de riesgo para calidad de la vigilancia, Belize, 2023.</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eb670b120488fd1d2d825613db04d4e37740363"/>
    <w:p>
      <w:pPr>
        <w:pStyle w:val="Heading4"/>
      </w:pPr>
      <w:r>
        <w:t xml:space="preserve">Figura 3b: Tasa anual de notificación de casos sospechosos de sarampión y rubeola por 100,000 habitantes</w:t>
      </w:r>
      <w:r>
        <w:rPr>
          <w:vertAlign w:val="superscript"/>
        </w:rPr>
        <w:t xml:space="preserve">1</w:t>
      </w:r>
      <w:r>
        <w:t xml:space="preserve">, Belize, 2023.</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municipio tiene menos de 100,000 habitantes y ha reportado al menos un caso sospechoso en el año más reciente, la herramienta asigna 0 puntos de riesgo. Si el municipio ha estado en silencio epidemiológico (no ha reportado ningún caso), la herramienta asignará la máxima puntuación de riesgo (8 puntos).</w:t>
      </w:r>
    </w:p>
    <w:bookmarkEnd w:id="96"/>
    <w:bookmarkStart w:id="100" w:name="X6433a9e88fb720a86b2b1685279927e696225d2"/>
    <w:p>
      <w:pPr>
        <w:pStyle w:val="Heading4"/>
      </w:pPr>
      <w:r>
        <w:t xml:space="preserve">Figura 3c: Proporción de casos sospechosos con investigación adecuada, Belize, 2023.</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c9d4f4c3a051a881f4697409d2f9632f8c763e1"/>
    <w:p>
      <w:pPr>
        <w:pStyle w:val="Heading4"/>
      </w:pPr>
      <w:r>
        <w:t xml:space="preserve">Figura 3d: Proporción de casos sospechosos con muestra adecuada, Belize, 2023.</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2bfbd01f6ffa617fea5e9b4429bcaf659dee7f2"/>
    <w:p>
      <w:pPr>
        <w:pStyle w:val="Heading4"/>
      </w:pPr>
      <w:r>
        <w:t xml:space="preserve">Figura 3e: Proporción de muestras enviadas al laboratorio en &lt;= 5 días, Belize, 2023.</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Start w:id="113" w:name="X32b1a1451ceba63a103e3126100639c18eeb09b"/>
    <w:p>
      <w:pPr>
        <w:pStyle w:val="Heading3"/>
      </w:pPr>
      <w:r>
        <w:t xml:space="preserve">Tabla 3b: Municipios silenciosos, Belize, 2019-2023.</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Municipios reportando casos</w:t>
            </w:r>
          </w:p>
        </w:tc>
        <w:tc>
          <w:tcPr/>
          <w:p>
            <w:pPr>
              <w:pStyle w:val="Compact"/>
            </w:pPr>
          </w:p>
        </w:tc>
      </w:tr>
      <w:tr>
        <w:tc>
          <w:tcPr/>
          <w:p>
            <w:pPr>
              <w:pStyle w:val="Compact"/>
              <w:jc w:val="left"/>
            </w:pPr>
            <w:r>
              <w:t xml:space="preserve">Número de municipios silenciosos</w:t>
            </w:r>
          </w:p>
        </w:tc>
        <w:tc>
          <w:tcPr/>
          <w:p>
            <w:pPr>
              <w:pStyle w:val="Compact"/>
              <w:jc w:val="right"/>
            </w:pPr>
            <w:r>
              <w:t xml:space="preserve">0</w:t>
            </w:r>
          </w:p>
        </w:tc>
      </w:tr>
      <w:tr>
        <w:tc>
          <w:tcPr/>
          <w:p>
            <w:pPr>
              <w:pStyle w:val="Compact"/>
              <w:jc w:val="left"/>
            </w:pPr>
            <w:r>
              <w:t xml:space="preserve">Porcentaje de municipios silenciosos</w:t>
            </w:r>
          </w:p>
        </w:tc>
        <w:tc>
          <w:tcPr/>
          <w:p>
            <w:pPr>
              <w:pStyle w:val="Compact"/>
              <w:jc w:val="right"/>
            </w:pPr>
            <w:r>
              <w:t xml:space="preserve">0.0</w:t>
            </w:r>
          </w:p>
        </w:tc>
      </w:tr>
    </w:tbl>
    <w:bookmarkStart w:id="112" w:name="X97843ac255443d39674740e797c79d235a829e3"/>
    <w:p>
      <w:pPr>
        <w:pStyle w:val="Heading4"/>
      </w:pPr>
      <w:r>
        <w:t xml:space="preserve">Figura 3f: Municipios silenciosos, Belize, 2023.</w:t>
      </w:r>
    </w:p>
    <w:p>
      <w:pPr>
        <w:pStyle w:val="FirstParagraph"/>
      </w:pPr>
      <w:r>
        <w:drawing>
          <wp:inline>
            <wp:extent cx="4160520" cy="3120390"/>
            <wp:effectExtent b="0" l="0" r="0" t="0"/>
            <wp:docPr descr="" title="" id="110" name="Picture"/>
            <a:graphic>
              <a:graphicData uri="http://schemas.openxmlformats.org/drawingml/2006/picture">
                <pic:pic>
                  <pic:nvPicPr>
                    <pic:cNvPr descr="figures/fig_3f.png" id="111" name="Picture"/>
                    <pic:cNvPicPr>
                      <a:picLocks noChangeArrowheads="1" noChangeAspect="1"/>
                    </pic:cNvPicPr>
                  </pic:nvPicPr>
                  <pic:blipFill>
                    <a:blip r:embed="rId10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12"/>
    <w:bookmarkEnd w:id="113"/>
    <w:bookmarkEnd w:id="114"/>
    <w:bookmarkStart w:id="136" w:name="sección-4-desempeño-del-programa"/>
    <w:p>
      <w:pPr>
        <w:pStyle w:val="Heading2"/>
      </w:pPr>
      <w:r>
        <w:t xml:space="preserve">Sección 4: Desempeño del programa</w:t>
      </w:r>
    </w:p>
    <w:bookmarkStart w:id="115" w:name="X5b6d4fe3aadacd631ebfd3f92128a2369233fd0"/>
    <w:p>
      <w:pPr>
        <w:pStyle w:val="Heading4"/>
      </w:pPr>
      <w:r>
        <w:t xml:space="preserve">Tabla 4a: Número de municipios en rendimiento del programa,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Desempeño del programa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Alto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5"/>
    <w:bookmarkStart w:id="119" w:name="X064b6f4ec3d488b28a18e1b3610425cdbd47694"/>
    <w:p>
      <w:pPr>
        <w:pStyle w:val="Heading4"/>
      </w:pPr>
      <w:r>
        <w:t xml:space="preserve">Figura 4a: Evaluación de riesgo para rendimiento del programa, Belize, 2019-2023.</w:t>
      </w:r>
    </w:p>
    <w:p>
      <w:pPr>
        <w:pStyle w:val="FirstParagraph"/>
      </w:pPr>
      <w:r>
        <w:drawing>
          <wp:inline>
            <wp:extent cx="4800600" cy="3600450"/>
            <wp:effectExtent b="0" l="0" r="0" t="0"/>
            <wp:docPr descr="" title="" id="117" name="Picture"/>
            <a:graphic>
              <a:graphicData uri="http://schemas.openxmlformats.org/drawingml/2006/picture">
                <pic:pic>
                  <pic:nvPicPr>
                    <pic:cNvPr descr="figures/fig_4a.png" id="118" name="Picture"/>
                    <pic:cNvPicPr>
                      <a:picLocks noChangeArrowheads="1" noChangeAspect="1"/>
                    </pic:cNvPicPr>
                  </pic:nvPicPr>
                  <pic:blipFill>
                    <a:blip r:embed="rId116"/>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9"/>
    <w:bookmarkStart w:id="123" w:name="X95d439da50b5892a6f8cbb47abcdeba02b42ab2"/>
    <w:p>
      <w:pPr>
        <w:pStyle w:val="Heading4"/>
      </w:pPr>
      <w:r>
        <w:t xml:space="preserve">Figura 4b: Tendencia de SRP1, Belize, 2019-2023.</w:t>
      </w:r>
    </w:p>
    <w:p>
      <w:pPr>
        <w:pStyle w:val="FirstParagraph"/>
      </w:pPr>
      <w:r>
        <w:drawing>
          <wp:inline>
            <wp:extent cx="4160520" cy="3120390"/>
            <wp:effectExtent b="0" l="0" r="0" t="0"/>
            <wp:docPr descr="" title="" id="121" name="Picture"/>
            <a:graphic>
              <a:graphicData uri="http://schemas.openxmlformats.org/drawingml/2006/picture">
                <pic:pic>
                  <pic:nvPicPr>
                    <pic:cNvPr descr="figures/fig_4b.png" id="122" name="Picture"/>
                    <pic:cNvPicPr>
                      <a:picLocks noChangeArrowheads="1" noChangeAspect="1"/>
                    </pic:cNvPicPr>
                  </pic:nvPicPr>
                  <pic:blipFill>
                    <a:blip r:embed="rId120"/>
                    <a:stretch>
                      <a:fillRect/>
                    </a:stretch>
                  </pic:blipFill>
                  <pic:spPr bwMode="auto">
                    <a:xfrm>
                      <a:off x="0" y="0"/>
                      <a:ext cx="4160520" cy="3120390"/>
                    </a:xfrm>
                    <a:prstGeom prst="rect">
                      <a:avLst/>
                    </a:prstGeom>
                    <a:noFill/>
                    <a:ln w="9525">
                      <a:noFill/>
                      <a:headEnd/>
                      <a:tailEnd/>
                    </a:ln>
                  </pic:spPr>
                </pic:pic>
              </a:graphicData>
            </a:graphic>
          </wp:inline>
        </w:drawing>
      </w:r>
    </w:p>
    <w:bookmarkEnd w:id="123"/>
    <w:bookmarkStart w:id="127" w:name="X07af3156c14f36bd4073b6f8a2ba04f5a583f70"/>
    <w:p>
      <w:pPr>
        <w:pStyle w:val="Heading4"/>
      </w:pPr>
      <w:r>
        <w:t xml:space="preserve">Figura 4c: Tendencia de SRP2, Belize, 2019-2023.</w:t>
      </w:r>
    </w:p>
    <w:p>
      <w:pPr>
        <w:pStyle w:val="FirstParagraph"/>
      </w:pPr>
      <w:r>
        <w:drawing>
          <wp:inline>
            <wp:extent cx="4160520" cy="3120390"/>
            <wp:effectExtent b="0" l="0" r="0" t="0"/>
            <wp:docPr descr="" title="" id="125" name="Picture"/>
            <a:graphic>
              <a:graphicData uri="http://schemas.openxmlformats.org/drawingml/2006/picture">
                <pic:pic>
                  <pic:nvPicPr>
                    <pic:cNvPr descr="figures/fig_4c.png" id="126" name="Picture"/>
                    <pic:cNvPicPr>
                      <a:picLocks noChangeArrowheads="1" noChangeAspect="1"/>
                    </pic:cNvPicPr>
                  </pic:nvPicPr>
                  <pic:blipFill>
                    <a:blip r:embed="rId124"/>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7"/>
    <w:bookmarkStart w:id="131" w:name="X121b1f6b37890f1fcf0605facf65f9ce77a4456"/>
    <w:p>
      <w:pPr>
        <w:pStyle w:val="Heading4"/>
      </w:pPr>
      <w:r>
        <w:t xml:space="preserve">Figura 4d: Tasa de deserción SRP1-SRP2, Belize, 2023.</w:t>
      </w:r>
    </w:p>
    <w:p>
      <w:pPr>
        <w:pStyle w:val="FirstParagraph"/>
      </w:pPr>
      <w:r>
        <w:drawing>
          <wp:inline>
            <wp:extent cx="4160520" cy="3120390"/>
            <wp:effectExtent b="0" l="0" r="0" t="0"/>
            <wp:docPr descr="" title="" id="129" name="Picture"/>
            <a:graphic>
              <a:graphicData uri="http://schemas.openxmlformats.org/drawingml/2006/picture">
                <pic:pic>
                  <pic:nvPicPr>
                    <pic:cNvPr descr="figures/fig_4d.png" id="130" name="Picture"/>
                    <pic:cNvPicPr>
                      <a:picLocks noChangeArrowheads="1" noChangeAspect="1"/>
                    </pic:cNvPicPr>
                  </pic:nvPicPr>
                  <pic:blipFill>
                    <a:blip r:embed="rId128"/>
                    <a:stretch>
                      <a:fillRect/>
                    </a:stretch>
                  </pic:blipFill>
                  <pic:spPr bwMode="auto">
                    <a:xfrm>
                      <a:off x="0" y="0"/>
                      <a:ext cx="4160520" cy="3120390"/>
                    </a:xfrm>
                    <a:prstGeom prst="rect">
                      <a:avLst/>
                    </a:prstGeom>
                    <a:noFill/>
                    <a:ln w="9525">
                      <a:noFill/>
                      <a:headEnd/>
                      <a:tailEnd/>
                    </a:ln>
                  </pic:spPr>
                </pic:pic>
              </a:graphicData>
            </a:graphic>
          </wp:inline>
        </w:drawing>
      </w:r>
    </w:p>
    <w:bookmarkEnd w:id="131"/>
    <w:bookmarkStart w:id="135" w:name="Xb46e0de90ff8abf516f63024c65f7985b57bf00"/>
    <w:p>
      <w:pPr>
        <w:pStyle w:val="Heading4"/>
      </w:pPr>
      <w:r>
        <w:t xml:space="preserve">Figura 4e: Tasa de deserción Penta1-SRP1, Belize, 2023.</w:t>
      </w:r>
    </w:p>
    <w:p>
      <w:pPr>
        <w:pStyle w:val="FirstParagraph"/>
      </w:pPr>
      <w:r>
        <w:drawing>
          <wp:inline>
            <wp:extent cx="4160520" cy="3120390"/>
            <wp:effectExtent b="0" l="0" r="0" t="0"/>
            <wp:docPr descr="" title="" id="133" name="Picture"/>
            <a:graphic>
              <a:graphicData uri="http://schemas.openxmlformats.org/drawingml/2006/picture">
                <pic:pic>
                  <pic:nvPicPr>
                    <pic:cNvPr descr="figures/fig_4e.png" id="134" name="Picture"/>
                    <pic:cNvPicPr>
                      <a:picLocks noChangeArrowheads="1" noChangeAspect="1"/>
                    </pic:cNvPicPr>
                  </pic:nvPicPr>
                  <pic:blipFill>
                    <a:blip r:embed="rId132"/>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5"/>
    <w:bookmarkEnd w:id="136"/>
    <w:bookmarkStart w:id="150" w:name="sección-5-evaluación-de-la-amenaza"/>
    <w:p>
      <w:pPr>
        <w:pStyle w:val="Heading2"/>
      </w:pPr>
      <w:r>
        <w:t xml:space="preserve">Sección 5: Evaluación de la amenaza</w:t>
      </w:r>
    </w:p>
    <w:bookmarkStart w:id="137" w:name="Xd14aa988bbfad2fd139c26bc2c8477063864679"/>
    <w:p>
      <w:pPr>
        <w:pStyle w:val="Heading4"/>
      </w:pPr>
      <w:r>
        <w:t xml:space="preserve">Tabla 5a: Número de municipios en evaluación de la amenaza,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Evaluación de la amenaza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7"/>
    <w:bookmarkStart w:id="141" w:name="Xa0929b7b652eb47ac4611cc15cef5e56728fcd3"/>
    <w:p>
      <w:pPr>
        <w:pStyle w:val="Heading4"/>
      </w:pPr>
      <w:r>
        <w:t xml:space="preserve">Figura 5a: Perfil de riesgo para evaluación de la amenaza, Belize, 2019-2023.</w:t>
      </w:r>
    </w:p>
    <w:p>
      <w:pPr>
        <w:pStyle w:val="FirstParagraph"/>
      </w:pPr>
      <w:r>
        <w:drawing>
          <wp:inline>
            <wp:extent cx="4800600" cy="3600450"/>
            <wp:effectExtent b="0" l="0" r="0" t="0"/>
            <wp:docPr descr="" title="" id="139" name="Picture"/>
            <a:graphic>
              <a:graphicData uri="http://schemas.openxmlformats.org/drawingml/2006/picture">
                <pic:pic>
                  <pic:nvPicPr>
                    <pic:cNvPr descr="figures/fig_5a.png" id="140" name="Picture"/>
                    <pic:cNvPicPr>
                      <a:picLocks noChangeArrowheads="1" noChangeAspect="1"/>
                    </pic:cNvPicPr>
                  </pic:nvPicPr>
                  <pic:blipFill>
                    <a:blip r:embed="rId138"/>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41"/>
    <w:bookmarkStart w:id="145" w:name="X0bffa6499fff0270ecd18c2e50c52405184ca9d"/>
    <w:p>
      <w:pPr>
        <w:pStyle w:val="Heading4"/>
      </w:pPr>
      <w:r>
        <w:t xml:space="preserve">Figura 5b: Densidad poblacional (por km</w:t>
      </w:r>
      <w:r>
        <w:rPr>
          <w:vertAlign w:val="superscript"/>
        </w:rPr>
        <w:t xml:space="preserve">2</w:t>
      </w:r>
      <w:r>
        <w:t xml:space="preserve">), Belize, 2019-2023.</w:t>
      </w:r>
    </w:p>
    <w:p>
      <w:pPr>
        <w:pStyle w:val="FirstParagraph"/>
      </w:pPr>
      <w:r>
        <w:drawing>
          <wp:inline>
            <wp:extent cx="4160520" cy="3120390"/>
            <wp:effectExtent b="0" l="0" r="0" t="0"/>
            <wp:docPr descr="" title="" id="143" name="Picture"/>
            <a:graphic>
              <a:graphicData uri="http://schemas.openxmlformats.org/drawingml/2006/picture">
                <pic:pic>
                  <pic:nvPicPr>
                    <pic:cNvPr descr="figures/fig_5b.png" id="144" name="Picture"/>
                    <pic:cNvPicPr>
                      <a:picLocks noChangeArrowheads="1" noChangeAspect="1"/>
                    </pic:cNvPicPr>
                  </pic:nvPicPr>
                  <pic:blipFill>
                    <a:blip r:embed="rId142"/>
                    <a:stretch>
                      <a:fillRect/>
                    </a:stretch>
                  </pic:blipFill>
                  <pic:spPr bwMode="auto">
                    <a:xfrm>
                      <a:off x="0" y="0"/>
                      <a:ext cx="4160520" cy="3120390"/>
                    </a:xfrm>
                    <a:prstGeom prst="rect">
                      <a:avLst/>
                    </a:prstGeom>
                    <a:noFill/>
                    <a:ln w="9525">
                      <a:noFill/>
                      <a:headEnd/>
                      <a:tailEnd/>
                    </a:ln>
                  </pic:spPr>
                </pic:pic>
              </a:graphicData>
            </a:graphic>
          </wp:inline>
        </w:drawing>
      </w:r>
    </w:p>
    <w:bookmarkEnd w:id="145"/>
    <w:bookmarkStart w:id="149" w:name="Xb7fc4220dfe4c740e2a12e27f9b50dbc335978e"/>
    <w:p>
      <w:pPr>
        <w:pStyle w:val="Heading4"/>
      </w:pPr>
      <w:r>
        <w:t xml:space="preserve">Figura 5c: Presencia de población vulnerable, Belize, 2023.</w:t>
      </w:r>
    </w:p>
    <w:p>
      <w:pPr>
        <w:pStyle w:val="FirstParagraph"/>
      </w:pPr>
      <w:r>
        <w:drawing>
          <wp:inline>
            <wp:extent cx="4160520" cy="3120390"/>
            <wp:effectExtent b="0" l="0" r="0" t="0"/>
            <wp:docPr descr="" title="" id="147" name="Picture"/>
            <a:graphic>
              <a:graphicData uri="http://schemas.openxmlformats.org/drawingml/2006/picture">
                <pic:pic>
                  <pic:nvPicPr>
                    <pic:cNvPr descr="figures/fig_5c.png" id="148" name="Picture"/>
                    <pic:cNvPicPr>
                      <a:picLocks noChangeArrowheads="1" noChangeAspect="1"/>
                    </pic:cNvPicPr>
                  </pic:nvPicPr>
                  <pic:blipFill>
                    <a:blip r:embed="rId146"/>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9"/>
    <w:bookmarkEnd w:id="150"/>
    <w:bookmarkStart w:id="164" w:name="X10f68f215141d3a969b3669ad0cae78768d2242"/>
    <w:p>
      <w:pPr>
        <w:pStyle w:val="Heading2"/>
      </w:pPr>
      <w:r>
        <w:t xml:space="preserve">Sección 6: Respuesta rápida a casos importados</w:t>
      </w:r>
    </w:p>
    <w:bookmarkStart w:id="151" w:name="X9708efabe0e6d5b9c3a4af9fd5a9c5dbc2bdf4f"/>
    <w:p>
      <w:pPr>
        <w:pStyle w:val="Heading4"/>
      </w:pPr>
      <w:r>
        <w:t xml:space="preserve">Tabla 6a: Número de municipios en respuesta rápida, Belize, 2019-2023.</w:t>
      </w:r>
    </w:p>
    <w:tbl>
      <w:tblPr>
        <w:tblStyle w:val="Table"/>
        <w:tblW w:type="pct" w:w="5000"/>
        <w:tblLayout w:type="fixed"/>
        <w:tblLook w:firstRow="1" w:lastRow="0" w:firstColumn="0" w:lastColumn="0" w:noHBand="0" w:noVBand="0" w:val="0020"/>
      </w:tblPr>
      <w:tblGrid>
        <w:gridCol w:w="3905"/>
        <w:gridCol w:w="2278"/>
        <w:gridCol w:w="1735"/>
      </w:tblGrid>
      <w:tr>
        <w:trPr>
          <w:tblHeader w:val="on"/>
        </w:trPr>
        <w:tc>
          <w:tcPr/>
          <w:p>
            <w:pPr>
              <w:pStyle w:val="Compact"/>
              <w:jc w:val="left"/>
            </w:pPr>
            <w:r>
              <w:t xml:space="preserve">Respuesta rápida a casos importados</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6</w:t>
            </w:r>
          </w:p>
        </w:tc>
        <w:tc>
          <w:tcPr/>
          <w:p>
            <w:pPr>
              <w:pStyle w:val="Compact"/>
              <w:jc w:val="right"/>
            </w:pPr>
            <w:r>
              <w:t xml:space="preserve">100.0%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51"/>
    <w:bookmarkStart w:id="155" w:name="Xc67b5a03a9bb43329b5c26bf44622f58632e2e0"/>
    <w:p>
      <w:pPr>
        <w:pStyle w:val="Heading4"/>
      </w:pPr>
      <w:r>
        <w:t xml:space="preserve">Figura 6a: Evaluación de riesgo para respuesta rápida a casos importados, Belize, 2019-2023.</w:t>
      </w:r>
    </w:p>
    <w:p>
      <w:pPr>
        <w:pStyle w:val="FirstParagraph"/>
      </w:pPr>
      <w:r>
        <w:drawing>
          <wp:inline>
            <wp:extent cx="4800600" cy="3600450"/>
            <wp:effectExtent b="0" l="0" r="0" t="0"/>
            <wp:docPr descr="" title="" id="153" name="Picture"/>
            <a:graphic>
              <a:graphicData uri="http://schemas.openxmlformats.org/drawingml/2006/picture">
                <pic:pic>
                  <pic:nvPicPr>
                    <pic:cNvPr descr="figures/fig_6a.png" id="154" name="Picture"/>
                    <pic:cNvPicPr>
                      <a:picLocks noChangeArrowheads="1" noChangeAspect="1"/>
                    </pic:cNvPicPr>
                  </pic:nvPicPr>
                  <pic:blipFill>
                    <a:blip r:embed="rId152"/>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5"/>
    <w:bookmarkStart w:id="159" w:name="X7facf4714d8634b4c262515123a1a8e411937d7"/>
    <w:p>
      <w:pPr>
        <w:pStyle w:val="Heading4"/>
      </w:pPr>
      <w:r>
        <w:t xml:space="preserve">Figura 6b: Presencia de equipo de respuesta rápida entrenado a nivel subnacional, Belize, 2019-2023.</w:t>
      </w:r>
    </w:p>
    <w:p>
      <w:pPr>
        <w:pStyle w:val="FirstParagraph"/>
      </w:pPr>
      <w:r>
        <w:drawing>
          <wp:inline>
            <wp:extent cx="4160520" cy="3120390"/>
            <wp:effectExtent b="0" l="0" r="0" t="0"/>
            <wp:docPr descr="" title="" id="157" name="Picture"/>
            <a:graphic>
              <a:graphicData uri="http://schemas.openxmlformats.org/drawingml/2006/picture">
                <pic:pic>
                  <pic:nvPicPr>
                    <pic:cNvPr descr="figures/fig_6b.png" id="158" name="Picture"/>
                    <pic:cNvPicPr>
                      <a:picLocks noChangeArrowheads="1" noChangeAspect="1"/>
                    </pic:cNvPicPr>
                  </pic:nvPicPr>
                  <pic:blipFill>
                    <a:blip r:embed="rId156"/>
                    <a:stretch>
                      <a:fillRect/>
                    </a:stretch>
                  </pic:blipFill>
                  <pic:spPr bwMode="auto">
                    <a:xfrm>
                      <a:off x="0" y="0"/>
                      <a:ext cx="4160520" cy="3120390"/>
                    </a:xfrm>
                    <a:prstGeom prst="rect">
                      <a:avLst/>
                    </a:prstGeom>
                    <a:noFill/>
                    <a:ln w="9525">
                      <a:noFill/>
                      <a:headEnd/>
                      <a:tailEnd/>
                    </a:ln>
                  </pic:spPr>
                </pic:pic>
              </a:graphicData>
            </a:graphic>
          </wp:inline>
        </w:drawing>
      </w:r>
    </w:p>
    <w:bookmarkEnd w:id="159"/>
    <w:bookmarkStart w:id="163" w:name="Xcbb2150446dc1d834befc7a0c81529d32a58493"/>
    <w:p>
      <w:pPr>
        <w:pStyle w:val="Heading4"/>
      </w:pPr>
      <w:r>
        <w:t xml:space="preserve">Figura 6c: Porcentaje de hospitales a nivel subnacional con personal capacitado en triaje y aislamiento, Belize, 2019-2023.</w:t>
      </w:r>
    </w:p>
    <w:p>
      <w:pPr>
        <w:pStyle w:val="FirstParagraph"/>
      </w:pPr>
      <w:r>
        <w:drawing>
          <wp:inline>
            <wp:extent cx="4160520" cy="3120390"/>
            <wp:effectExtent b="0" l="0" r="0" t="0"/>
            <wp:docPr descr="" title="" id="161" name="Picture"/>
            <a:graphic>
              <a:graphicData uri="http://schemas.openxmlformats.org/drawingml/2006/picture">
                <pic:pic>
                  <pic:nvPicPr>
                    <pic:cNvPr descr="figures/fig_6c.png" id="162" name="Picture"/>
                    <pic:cNvPicPr>
                      <a:picLocks noChangeArrowheads="1" noChangeAspect="1"/>
                    </pic:cNvPicPr>
                  </pic:nvPicPr>
                  <pic:blipFill>
                    <a:blip r:embed="rId160"/>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63"/>
    <w:bookmarkEnd w:id="164"/>
    <w:bookmarkEnd w:id="165"/>
    <w:bookmarkStart w:id="169" w:name="apéndice-variables-globales"/>
    <w:p>
      <w:pPr>
        <w:pStyle w:val="Heading1"/>
      </w:pPr>
      <w:r>
        <w:t xml:space="preserve">Apéndice: Variables globales</w:t>
      </w:r>
    </w:p>
    <w:bookmarkStart w:id="166" w:name="datos-globales-de-referencia"/>
    <w:p>
      <w:pPr>
        <w:pStyle w:val="Heading4"/>
      </w:pPr>
      <w:r>
        <w:t xml:space="preserve">Datos globales de referencia</w:t>
      </w:r>
    </w:p>
    <w:tbl>
      <w:tblPr>
        <w:tblStyle w:val="Table"/>
        <w:tblW w:type="pct" w:w="5000"/>
        <w:tblLayout w:type="fixed"/>
        <w:tblLook w:firstRow="1" w:lastRow="0" w:firstColumn="0" w:lastColumn="0" w:noHBand="0" w:noVBand="0" w:val="0020"/>
      </w:tblPr>
      <w:tblGrid>
        <w:gridCol w:w="7063"/>
        <w:gridCol w:w="856"/>
      </w:tblGrid>
      <w:tr>
        <w:trPr>
          <w:tblHeader w:val="on"/>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subnacional</w:t>
            </w:r>
          </w:p>
        </w:tc>
        <w:tc>
          <w:tcPr/>
          <w:p>
            <w:pPr>
              <w:pStyle w:val="Compact"/>
              <w:jc w:val="center"/>
            </w:pPr>
            <w:r>
              <w:t xml:space="preserve">Belize</w:t>
            </w:r>
          </w:p>
        </w:tc>
      </w:tr>
      <w:tr>
        <w:tc>
          <w:tcPr/>
          <w:p>
            <w:pPr>
              <w:pStyle w:val="Compact"/>
              <w:jc w:val="left"/>
            </w:pPr>
            <w:r>
              <w:t xml:space="preserve">Año de la evaluación del riesgo</w:t>
            </w:r>
          </w:p>
        </w:tc>
        <w:tc>
          <w:tcPr/>
          <w:p>
            <w:pPr>
              <w:pStyle w:val="Compact"/>
              <w:jc w:val="center"/>
            </w:pPr>
            <w:r>
              <w:t xml:space="preserve">2024</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2015</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6"/>
    <w:bookmarkStart w:id="167" w:name="campos-calculados"/>
    <w:p>
      <w:pPr>
        <w:pStyle w:val="Heading4"/>
      </w:pPr>
      <w:r>
        <w:t xml:space="preserve">Campos calculados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2019</w:t>
            </w:r>
          </w:p>
        </w:tc>
      </w:tr>
      <w:tr>
        <w:tc>
          <w:tcPr/>
          <w:p>
            <w:pPr>
              <w:pStyle w:val="Compact"/>
              <w:jc w:val="left"/>
            </w:pPr>
            <w:r>
              <w:t xml:space="preserve">Último año de datos</w:t>
            </w:r>
          </w:p>
        </w:tc>
        <w:tc>
          <w:tcPr/>
          <w:p>
            <w:pPr>
              <w:pStyle w:val="Compact"/>
              <w:jc w:val="center"/>
            </w:pPr>
            <w:r>
              <w:t xml:space="preserve">2023</w:t>
            </w:r>
          </w:p>
        </w:tc>
      </w:tr>
      <w:tr>
        <w:tc>
          <w:tcPr/>
          <w:p>
            <w:pPr>
              <w:pStyle w:val="Compact"/>
              <w:jc w:val="left"/>
            </w:pPr>
            <w:r>
              <w:t xml:space="preserve">Años de evaluación</w:t>
            </w:r>
          </w:p>
        </w:tc>
        <w:tc>
          <w:tcPr/>
          <w:p>
            <w:pPr>
              <w:pStyle w:val="Compact"/>
              <w:jc w:val="center"/>
            </w:pPr>
            <w:r>
              <w:t xml:space="preserve">2019-2023</w:t>
            </w:r>
          </w:p>
        </w:tc>
      </w:tr>
    </w:tbl>
    <w:bookmarkEnd w:id="167"/>
    <w:bookmarkStart w:id="168" w:name="geoelemento"/>
    <w:p>
      <w:pPr>
        <w:pStyle w:val="Heading4"/>
      </w:pPr>
      <w:r>
        <w:t xml:space="preserve">Geoelemento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6</w:t>
            </w:r>
          </w:p>
        </w:tc>
      </w:tr>
      <w:tr>
        <w:tc>
          <w:tcPr/>
          <w:p>
            <w:pPr>
              <w:pStyle w:val="Compact"/>
              <w:jc w:val="left"/>
            </w:pPr>
            <w:r>
              <w:t xml:space="preserve">Número de niveles subnacionales</w:t>
            </w:r>
          </w:p>
        </w:tc>
        <w:tc>
          <w:tcPr/>
          <w:p>
            <w:pPr>
              <w:pStyle w:val="Compact"/>
              <w:jc w:val="center"/>
            </w:pPr>
            <w:r>
              <w:t xml:space="preserve">1</w:t>
            </w:r>
          </w:p>
        </w:tc>
      </w:tr>
      <w:tr>
        <w:tc>
          <w:tcPr/>
          <w:p>
            <w:pPr>
              <w:pStyle w:val="Compact"/>
              <w:jc w:val="left"/>
            </w:pPr>
            <w:r>
              <w:t xml:space="preserve">Número de municipios</w:t>
            </w:r>
          </w:p>
        </w:tc>
        <w:tc>
          <w:tcPr/>
          <w:p>
            <w:pPr>
              <w:pStyle w:val="Compact"/>
              <w:jc w:val="center"/>
            </w:pPr>
            <w:r>
              <w:t xml:space="preserve">6</w:t>
            </w:r>
          </w:p>
        </w:tc>
      </w:tr>
      <w:tr>
        <w:tc>
          <w:tcPr/>
          <w:p>
            <w:pPr>
              <w:pStyle w:val="Compact"/>
              <w:jc w:val="left"/>
            </w:pPr>
            <w:r>
              <w:t xml:space="preserve">Población del país en el año de referencia</w:t>
            </w:r>
          </w:p>
        </w:tc>
        <w:tc>
          <w:tcPr/>
          <w:p>
            <w:pPr>
              <w:pStyle w:val="Compact"/>
              <w:jc w:val="center"/>
            </w:pPr>
            <w:r>
              <w:t xml:space="preserve">398,533</w:t>
            </w:r>
          </w:p>
        </w:tc>
      </w:tr>
      <w:tr>
        <w:tc>
          <w:tcPr/>
          <w:p>
            <w:pPr>
              <w:pStyle w:val="Compact"/>
              <w:jc w:val="left"/>
            </w:pPr>
            <w:r>
              <w:t xml:space="preserve">Áreas (km2) en el año de referencia</w:t>
            </w:r>
          </w:p>
        </w:tc>
        <w:tc>
          <w:tcPr/>
          <w:p>
            <w:pPr>
              <w:pStyle w:val="Compact"/>
              <w:jc w:val="center"/>
            </w:pPr>
            <w:r>
              <w:t xml:space="preserve">22,965.5</w:t>
            </w:r>
          </w:p>
        </w:tc>
      </w:tr>
    </w:tbl>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Belize</dc:title>
  <dc:creator>Perfil de evaluación de riesgo para sarampión y rubeola - Belize, 05.12.2024</dc:creator>
  <cp:keywords/>
  <dcterms:created xsi:type="dcterms:W3CDTF">2024-12-05T16:43:56Z</dcterms:created>
  <dcterms:modified xsi:type="dcterms:W3CDTF">2024-12-05T16:43:56Z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