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28.11.2023</w:t>
      </w:r>
    </w:p>
    <w:p>
      <w:pPr>
        <w:pStyle w:val="Date"/>
      </w:pPr>
      <w:r>
        <w:drawing>
          <wp:inline>
            <wp:extent cx="1066800" cy="6045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0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algo, en base a la puntación final obtenida. El puntaje para cada indicador fue realizado por consenso de expertos. El rango de puntajes posibles va de 0 a 100 puntos de riesgo, según la siguiente tabla: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de puntos de riesgo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Menos de 35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35 y 48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Entre 49 y 60 puntos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en riesgo muy alto, 84 (24.7%) fueron categorizados en riesgo alto, 95 (27.9%) fueron categorizados en riesgo mediano, y 33 (9.7%) fueron categorizados en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>
      <w:tblPr>
        <w:tblStyle w:val="Table"/>
        <w:tblW w:type="auto" w:w="0"/>
        <w:tblLook w:firstRow="0" w:lastRow="0" w:firstColumn="0" w:lastColumn="0" w:noHBand="0" w:noVBand="0" w:val="0000"/>
        <w:jc w:val="start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t xml:space="preserve">Población total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Población &lt;15 año para el año de evaluación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5,530,551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Número de municipios en el país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Esquema de vacunación contra la polio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Datos faltantes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Cobertura de polio 3 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Tasa de PFA nacional del último año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</w:tbl>
    <w:bookmarkEnd w:id="24"/>
    <w:bookmarkStart w:id="25" w:name="X688c61c8e160d61d9ad0cf0a0354235e9898f7d"/>
    <w:p>
      <w:pPr>
        <w:pStyle w:val="Heading2"/>
      </w:pPr>
      <w:r>
        <w:t xml:space="preserve">Tabla 1b: Resultados del análisis de riesgo municipal,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24.7%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21.90%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52.18%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25"/>
    <w:bookmarkStart w:id="29" w:name="X2e0bc93629233c616bc02c12d1bdabea85acd1f"/>
    <w:p>
      <w:pPr>
        <w:pStyle w:val="Heading2"/>
      </w:pPr>
      <w:r>
        <w:t xml:space="preserve">Figura 1a: Resultados del análisis de riesgo municipal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29"/>
    <w:bookmarkStart w:id="33" w:name="X352fc07bb452030233fe1b577bd57d56d5a3e39"/>
    <w:p>
      <w:pPr>
        <w:pStyle w:val="Heading2"/>
      </w:pPr>
      <w:r>
        <w:t xml:space="preserve">Figura 1b: Resultados del análisis de riesgo municipal para los municipios con ≥100,000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3"/>
    <w:bookmarkStart w:id="37" w:name="X524b65aac7709bef969c275ad3ca8af332bc786"/>
    <w:p>
      <w:pPr>
        <w:pStyle w:val="Heading2"/>
      </w:pPr>
      <w:r>
        <w:t xml:space="preserve">Figura 1c: Resultados del análisis de riesgo municipal para los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</w:t>
            </w:r>
          </w:p>
        </w:tc>
      </w:tr>
    </w:tbl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tabla-2a-guatemala-2018-2022."/>
    <w:p>
      <w:pPr>
        <w:pStyle w:val="Heading2"/>
      </w:pPr>
      <w:r>
        <w:t xml:space="preserve">Tabla 2a: 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30.6%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20.51%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15.3%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14.19%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14.49%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36.2%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50.81%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39"/>
    <w:bookmarkStart w:id="43" w:name="Xeac1dc3a623908a53205c0ada8efbc1910b6e23"/>
    <w:p>
      <w:pPr>
        <w:pStyle w:val="Heading2"/>
      </w:pPr>
      <w:r>
        <w:t xml:space="preserve">Figura 2a: Resultados del análisis de riesgo para el componente de inmunidad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43"/>
    <w:bookmarkStart w:id="47" w:name="X61d5742c282e51e5d511dd75e5e4cefd045e04d"/>
    <w:p>
      <w:pPr>
        <w:pStyle w:val="Heading2"/>
      </w:pPr>
      <w:r>
        <w:t xml:space="preserve">Figura 2b: Resultados del análisis de riesgo para el componente de inmunidad para municipios con ≥100 000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47"/>
    <w:bookmarkStart w:id="51" w:name="X5041f662ec19dae9ac7d4bfa61ee61f364df133"/>
    <w:p>
      <w:pPr>
        <w:pStyle w:val="Heading2"/>
      </w:pPr>
      <w:r>
        <w:t xml:space="preserve">Figura 2c: Resultados del análisis de riesgo para el componente de inmunidad para municipios con &lt;100 000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tabla-3a-guatemala-2018-2022."/>
    <w:p>
      <w:pPr>
        <w:pStyle w:val="Heading2"/>
      </w:pPr>
      <w:r>
        <w:t xml:space="preserve">Tabla 3a: , Guatemala, 2018-2022.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Categorías de 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Número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de municipios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&lt;5 (%)*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Población &lt;15 (%)*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9.34%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8.66%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39.07%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Riesgo muy 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47.4%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42.93%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100.00%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*Respecto a la población total de ese grupo de edad</w:t>
      </w:r>
    </w:p>
    <w:p>
      <w:r>
        <w:br w:type="page"/>
      </w:r>
    </w:p>
    <w:bookmarkEnd w:id="53"/>
    <w:bookmarkStart w:id="57" w:name="Xa6307c12661f4e39410f80c0b7169c85727a729"/>
    <w:p>
      <w:pPr>
        <w:pStyle w:val="Heading2"/>
      </w:pPr>
      <w:r>
        <w:t xml:space="preserve">Figura 3a: Resultados del análisis de riesgo para el componente de vigilancia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p>
      <w:r>
        <w:br w:type="page"/>
      </w:r>
    </w:p>
    <w:bookmarkEnd w:id="57"/>
    <w:bookmarkStart w:id="61" w:name="X5ca0dd1fa2cd4089f420cb62dc110f5bd3fe2ff"/>
    <w:p>
      <w:pPr>
        <w:pStyle w:val="Heading2"/>
      </w:pPr>
      <w:r>
        <w:t xml:space="preserve">Figura 3b: Resultados del análisis de riesgo para el componente de vigilancia para municipios con &gt;100 000 menores de 15 años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p>
      <w:r>
        <w:br w:type="page"/>
      </w:r>
    </w:p>
    <w:bookmarkEnd w:id="61"/>
    <w:bookmarkStart w:id="65" w:name="figura-3c-guatemala-2018-2022."/>
    <w:p>
      <w:pPr>
        <w:pStyle w:val="Heading2"/>
      </w:pPr>
      <w:r>
        <w:t xml:space="preserve">Figura 3c: Guatemala, 2018-2022.</w:t>
      </w:r>
    </w:p>
    <w:p>
      <w:pPr>
        <w:pStyle w:val="FirstParagraph"/>
      </w:pPr>
      <w:r>
        <w:drawing>
          <wp:inline>
            <wp:extent cx="4160520" cy="312039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≥100 000 menores de 15 años o con &lt;100 000 menores de 15 años, pero que tuvo casos de PFA en el último año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Riesgo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Bajo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Mediano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Muy alto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mínimo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Límite máximo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</w:t>
            </w:r>
          </w:p>
        </w:tc>
      </w:tr>
    </w:tbl>
    <w:p>
      <w:pPr>
        <w:pStyle w:val="BodyText"/>
      </w:pPr>
      <w:r>
        <w:rPr>
          <w:bCs/>
          <w:b/>
        </w:rPr>
        <w:t xml:space="preserve">Note:</w:t>
      </w:r>
      <w:r>
        <w:t xml:space="preserve"> </w:t>
      </w:r>
      <w:r>
        <w:t xml:space="preserve">^^ &lt;100000 menores de 15 años que no haya tenido casos de PFA en el último año</w:t>
      </w: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28.11.2023</dc:creator>
  <cp:keywords/>
  <dcterms:created xsi:type="dcterms:W3CDTF">2023-11-29T04:52:33Z</dcterms:created>
  <dcterms:modified xsi:type="dcterms:W3CDTF">2023-11-29T04:52:33Z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