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68.png" ContentType="image/png"/>
  <Override PartName="/word/media/rId20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40.png" ContentType="image/png"/>
  <Override PartName="/word/media/rId44.png" ContentType="image/png"/>
  <Override PartName="/word/media/rId48.png" ContentType="image/png"/>
  <Override PartName="/word/media/rId54.png" ContentType="image/png"/>
  <Override PartName="/word/media/rId58.png" ContentType="image/png"/>
  <Override PartName="/word/media/rId62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Guatemala</w:t>
      </w:r>
    </w:p>
    <w:p>
      <w:pPr>
        <w:pStyle w:val="Author"/>
      </w:pPr>
      <w:r>
        <w:t xml:space="preserve">Resultados</w:t>
      </w:r>
      <w:r>
        <w:t xml:space="preserve"> </w:t>
      </w:r>
      <w:r>
        <w:t xml:space="preserve">del</w:t>
      </w:r>
      <w:r>
        <w:t xml:space="preserve"> </w:t>
      </w:r>
      <w:r>
        <w:t xml:space="preserve">análisis</w:t>
      </w:r>
      <w:r>
        <w:t xml:space="preserve"> </w:t>
      </w:r>
      <w:r>
        <w:t xml:space="preserve">de</w:t>
      </w:r>
      <w:r>
        <w:t xml:space="preserve"> </w:t>
      </w:r>
      <w:r>
        <w:t xml:space="preserve">riesgo</w:t>
      </w:r>
      <w:r>
        <w:t xml:space="preserve"> </w:t>
      </w:r>
      <w:r>
        <w:t xml:space="preserve">para</w:t>
      </w:r>
      <w:r>
        <w:t xml:space="preserve"> </w:t>
      </w:r>
      <w:r>
        <w:t xml:space="preserve">polio</w:t>
      </w:r>
      <w:r>
        <w:t xml:space="preserve"> </w:t>
      </w:r>
      <w:r>
        <w:t xml:space="preserve">del</w:t>
      </w:r>
      <w:r>
        <w:t xml:space="preserve"> </w:t>
      </w:r>
      <w:r>
        <w:t xml:space="preserve">nivel</w:t>
      </w:r>
      <w:r>
        <w:t xml:space="preserve"> </w:t>
      </w:r>
      <w:r>
        <w:t xml:space="preserve">municipal,</w:t>
      </w:r>
      <w:r>
        <w:t xml:space="preserve"> </w:t>
      </w:r>
      <w:r>
        <w:t xml:space="preserve">09.02.2024</w:t>
      </w:r>
    </w:p>
    <w:p>
      <w:pPr>
        <w:pStyle w:val="Date"/>
      </w:pPr>
      <w:r>
        <w:drawing>
          <wp:inline>
            <wp:extent cx="1188720" cy="673608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Dashboard/www/country_flag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720" cy="673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3" w:name="antecedentes"/>
    <w:p>
      <w:pPr>
        <w:pStyle w:val="Heading1"/>
      </w:pPr>
      <w:r>
        <w:t xml:space="preserve">Antecedentes</w:t>
      </w:r>
    </w:p>
    <w:p>
      <w:pPr>
        <w:pStyle w:val="FirstParagraph"/>
      </w:pPr>
      <w:r>
        <w:t xml:space="preserve">Este informe muestra los resultados del análisis de riesgo para polio del nivel municipal que incluye indicadores de inmunidad, vigilancia epidemiológica, determinantes sociales y la presencia de eventos o brotes de enfermedades prevenibles por vacunación. El objetivo de realizar el análisis de riesgo es encaminar las decisiones hacia la mitigación del riesgo total y por componente. Además, el resultado servirá de insumo para el informe anual sobre la documentación del estatus de la erradicación de la polio.</w:t>
      </w:r>
    </w:p>
    <w:p>
      <w:pPr>
        <w:pStyle w:val="BodyText"/>
      </w:pPr>
      <w:r>
        <w:t xml:space="preserve">A cada municipio del país se le asigna una categoría programática de riesgo: bajo, medio, alto o muy alto, con base a la puntación final obtenida. El puntaje para cada indicador fue realizado por consenso de expertos. El rango de puntajes posibles va de 0 a 100 puntos de riesgo, según la siguiente tabla: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2453"/>
        <w:gridCol w:w="2893"/>
      </w:tblGrid>
      <w:tr>
        <w:trPr>
          <w:trHeight w:val="621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Categorías de riesgo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Total de puntos de riesgo</w:t>
            </w:r>
          </w:p>
        </w:tc>
      </w:tr>
      <w:tr>
        <w:trPr>
          <w:trHeight w:val="618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bajo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Menos de 35 puntos</w:t>
            </w:r>
          </w:p>
        </w:tc>
      </w:tr>
      <w:tr>
        <w:trPr>
          <w:trHeight w:val="618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medio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Entre 35 y 48 puntos</w:t>
            </w:r>
          </w:p>
        </w:tc>
      </w:tr>
      <w:tr>
        <w:trPr>
          <w:trHeight w:val="617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alto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Entre 49 y 60 puntos</w:t>
            </w:r>
          </w:p>
        </w:tc>
      </w:tr>
      <w:tr>
        <w:trPr>
          <w:trHeight w:val="618" w:hRule="auto"/>
        </w:trPr>
        body4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muy alto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Más de 60 puntos</w:t>
            </w:r>
          </w:p>
        </w:tc>
      </w:tr>
    </w:tbl>
    <w:p>
      <w:pPr>
        <w:pStyle w:val="BodyText"/>
      </w:pPr>
      <w:r>
        <w:t xml:space="preserve">La herramienta para el análisis de riesgo ha sido elaborada por la Organización Panamericana de la Salud para disposición de los países.</w:t>
      </w:r>
    </w:p>
    <w:p>
      <w:r>
        <w:br w:type="page"/>
      </w:r>
    </w:p>
    <w:bookmarkEnd w:id="23"/>
    <w:bookmarkStart w:id="38" w:name="sección-1-perfil-general-de-riesgo"/>
    <w:p>
      <w:pPr>
        <w:pStyle w:val="Heading1"/>
      </w:pPr>
      <w:r>
        <w:rPr>
          <w:bCs/>
          <w:b/>
        </w:rPr>
        <w:t xml:space="preserve">Sección 1: Perfil general de riesgo</w:t>
      </w:r>
    </w:p>
    <w:p>
      <w:pPr>
        <w:pStyle w:val="FirstParagraph"/>
      </w:pPr>
      <w:r>
        <w:t xml:space="preserve">De 340 municipios en Guatemala, 128 (37.6%) fueron categorizados como de riesgo muy alto, 84 (24.7%) fueron categorizados como de riesgo alto, 95 (27.9%) fueron categorizados como de riesgo medio, y 33 (9.7%) de riesgo bajo.</w:t>
      </w:r>
    </w:p>
    <w:bookmarkStart w:id="24" w:name="tabla-1a-perfil-de-país"/>
    <w:p>
      <w:pPr>
        <w:pStyle w:val="Heading2"/>
      </w:pPr>
      <w:r>
        <w:t xml:space="preserve">Tabla 1a: Perfil de país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4820"/>
        <w:gridCol w:w="1878"/>
      </w:tblGrid>
      <w:tr>
        <w:trPr>
          <w:trHeight w:val="618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total para el año de evaluación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Datos faltantes</w:t>
            </w:r>
          </w:p>
        </w:tc>
      </w:tr>
      <w:tr>
        <w:trPr>
          <w:trHeight w:val="618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&lt;1 año para el año de evaluación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Datos faltantes</w:t>
            </w:r>
          </w:p>
        </w:tc>
      </w:tr>
      <w:tr>
        <w:trPr>
          <w:trHeight w:val="618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&lt;5 año para el año de evaluación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Datos faltantes</w:t>
            </w:r>
          </w:p>
        </w:tc>
      </w:tr>
      <w:tr>
        <w:trPr>
          <w:trHeight w:val="618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&lt;15 año para el año de evaluación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5,530,551</w:t>
            </w:r>
          </w:p>
        </w:tc>
      </w:tr>
      <w:tr>
        <w:trPr>
          <w:trHeight w:val="618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Número de municipios en el país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340</w:t>
            </w:r>
          </w:p>
        </w:tc>
      </w:tr>
      <w:tr>
        <w:trPr>
          <w:trHeight w:val="618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Esquema de vacunación contra la polio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Datos faltantes</w:t>
            </w:r>
          </w:p>
        </w:tc>
      </w:tr>
      <w:tr>
        <w:trPr>
          <w:trHeight w:val="619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Cobertura de polio 3 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95%</w:t>
            </w:r>
          </w:p>
        </w:tc>
      </w:tr>
      <w:tr>
        <w:trPr>
          <w:trHeight w:val="619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Cobertura de polio 3 2019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93%</w:t>
            </w:r>
          </w:p>
        </w:tc>
      </w:tr>
      <w:tr>
        <w:trPr>
          <w:trHeight w:val="619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Cobertura de polio 3 2020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86%</w:t>
            </w:r>
          </w:p>
        </w:tc>
      </w:tr>
      <w:tr>
        <w:trPr>
          <w:trHeight w:val="619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Cobertura de polio 3 2021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78%</w:t>
            </w:r>
          </w:p>
        </w:tc>
      </w:tr>
      <w:tr>
        <w:trPr>
          <w:trHeight w:val="619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Cobertura de polio 3 2022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83%</w:t>
            </w:r>
          </w:p>
        </w:tc>
      </w:tr>
      <w:tr>
        <w:trPr>
          <w:trHeight w:val="576" w:hRule="auto"/>
        </w:trPr>
        body12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Tasa de PFA nacional del último año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0.20</w:t>
            </w:r>
          </w:p>
        </w:tc>
      </w:tr>
    </w:tbl>
    <w:bookmarkEnd w:id="24"/>
    <w:bookmarkStart w:id="25" w:name="X14b959f332b1f51833c1426d829cb86e0d197dd"/>
    <w:p>
      <w:pPr>
        <w:pStyle w:val="Heading2"/>
      </w:pPr>
      <w:r>
        <w:t xml:space="preserve">Tabla 1b: Resultados del análisis de riesgo municipal, Guatemala, 2023.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440"/>
        <w:gridCol w:w="1440"/>
        <w:gridCol w:w="1440"/>
        <w:gridCol w:w="1440"/>
        <w:gridCol w:w="1440"/>
        <w:gridCol w:w="1440"/>
      </w:tblGrid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Categorías de riesgo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Número de municipios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% de municipios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&lt;1 (%)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&lt;5 (%)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&lt;15 (%)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bajo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33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9.7%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6.91%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medio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27.9%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19.01%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alto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24.7%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21.90%</w:t>
            </w:r>
          </w:p>
        </w:tc>
      </w:tr>
      <w:tr>
        <w:trPr>
          <w:trHeight w:val="360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muy alto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37.6%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52.18%</w:t>
            </w:r>
          </w:p>
        </w:tc>
      </w:tr>
      <w:tr>
        <w:trPr>
          <w:trHeight w:val="360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Total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100.0%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100.00%</w:t>
            </w:r>
          </w:p>
        </w:tc>
      </w:tr>
      <w:tr>
        <w:trPr>
          <w:trHeight w:val="360" w:hRule="auto"/>
        </w:trPr>
        footer1
        <w:tc>
          <w:tcPr>
            <w:gridSpan w:val="6"/>
            <w:tcBorders>
              <w:bottom w:val="none" w:sz="0" w:space="0" w:color="FFFFFF"/>
              <w:top w:val="single" w:sz="12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Respecto a la población total de ese grupo de edad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; </w:t>
            </w:r>
          </w:p>
        </w:tc>
      </w:tr>
    </w:tbl>
    <w:p>
      <w:r>
        <w:br w:type="page"/>
      </w:r>
    </w:p>
    <w:bookmarkEnd w:id="25"/>
    <w:bookmarkStart w:id="29" w:name="X7bd9033861a16da6d169f10bb60edcf633b0e11"/>
    <w:p>
      <w:pPr>
        <w:pStyle w:val="Heading2"/>
      </w:pPr>
      <w:r>
        <w:t xml:space="preserve">Figura 1a: Resultados del análisis de riesgo municipal Guatemala, 2023.</w:t>
      </w:r>
    </w:p>
    <w:p>
      <w:pPr>
        <w:pStyle w:val="FirstParagraph"/>
      </w:pPr>
      <w:r>
        <w:drawing>
          <wp:inline>
            <wp:extent cx="4636008" cy="3477006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figures/fig_1a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008" cy="3477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29"/>
    <w:bookmarkStart w:id="33" w:name="X49f628b9a8d66188e53e0e44d5678306d78fe59"/>
    <w:p>
      <w:pPr>
        <w:pStyle w:val="Heading2"/>
      </w:pPr>
      <w:r>
        <w:t xml:space="preserve">Figura 1b: Resultados del análisis de riesgo municipal para los municipios con ≥100,000 menores de 15 años Guatemala, 2023.</w:t>
      </w:r>
    </w:p>
    <w:p>
      <w:pPr>
        <w:pStyle w:val="FirstParagraph"/>
      </w:pPr>
      <w:r>
        <w:drawing>
          <wp:inline>
            <wp:extent cx="4636008" cy="3477006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figures/fig_1b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008" cy="3477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33"/>
    <w:bookmarkStart w:id="37" w:name="X9cb665c2de14f701c833c37f608b8f21c01598a"/>
    <w:p>
      <w:pPr>
        <w:pStyle w:val="Heading2"/>
      </w:pPr>
      <w:r>
        <w:t xml:space="preserve">Figura 1c: Resultados del análisis de riesgo municipal para los municipios con &lt;100 000 menores de 15 años Guatemala, 2023.</w:t>
      </w:r>
    </w:p>
    <w:p>
      <w:pPr>
        <w:pStyle w:val="FirstParagraph"/>
      </w:pPr>
      <w:r>
        <w:drawing>
          <wp:inline>
            <wp:extent cx="4636008" cy="3477006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figures/fig_1c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008" cy="3477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37"/>
    <w:bookmarkEnd w:id="38"/>
    <w:bookmarkStart w:id="52" w:name="sección-2-inmunidad"/>
    <w:p>
      <w:pPr>
        <w:pStyle w:val="Heading1"/>
      </w:pPr>
      <w:r>
        <w:rPr>
          <w:bCs/>
          <w:b/>
        </w:rPr>
        <w:t xml:space="preserve">Sección 2: Inmunidad</w:t>
      </w:r>
    </w:p>
    <w:bookmarkStart w:id="39" w:name="Xbe479054a97ed5444a8287c667a4c4509c3b1dc"/>
    <w:p>
      <w:pPr>
        <w:pStyle w:val="Heading2"/>
      </w:pPr>
      <w:r>
        <w:t xml:space="preserve">Tabla 2a: Tabla resumen de resultados, Guatemala, 2023.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440"/>
        <w:gridCol w:w="1440"/>
        <w:gridCol w:w="1440"/>
        <w:gridCol w:w="1440"/>
        <w:gridCol w:w="1440"/>
        <w:gridCol w:w="1440"/>
      </w:tblGrid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Categorías de riesgo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Número de municipios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% de municipios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&lt;1 (%)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&lt;5 (%)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&lt;15 (%)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bajo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30.6%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20.51%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medio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15.3%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14.19%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alto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14.49%</w:t>
            </w:r>
          </w:p>
        </w:tc>
      </w:tr>
      <w:tr>
        <w:trPr>
          <w:trHeight w:val="360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muy alto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36.2%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50.81%</w:t>
            </w:r>
          </w:p>
        </w:tc>
      </w:tr>
      <w:tr>
        <w:trPr>
          <w:trHeight w:val="360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Total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100.0%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100.00%</w:t>
            </w:r>
          </w:p>
        </w:tc>
      </w:tr>
      <w:tr>
        <w:trPr>
          <w:trHeight w:val="360" w:hRule="auto"/>
        </w:trPr>
        footer1
        <w:tc>
          <w:tcPr>
            <w:gridSpan w:val="6"/>
            <w:tcBorders>
              <w:bottom w:val="none" w:sz="0" w:space="0" w:color="FFFFFF"/>
              <w:top w:val="single" w:sz="12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Respecto a la población total de ese grupo de edad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; </w:t>
            </w:r>
          </w:p>
        </w:tc>
      </w:tr>
    </w:tbl>
    <w:p>
      <w:r>
        <w:br w:type="page"/>
      </w:r>
    </w:p>
    <w:bookmarkEnd w:id="39"/>
    <w:bookmarkStart w:id="43" w:name="Xa921307bca505fd468c2723cf0b3dec02ab5f38"/>
    <w:p>
      <w:pPr>
        <w:pStyle w:val="Heading2"/>
      </w:pPr>
      <w:r>
        <w:t xml:space="preserve">Figura 2a: Resultados del análisis de riesgo para el componente de inmunidad Guatemala, 2023.</w:t>
      </w:r>
    </w:p>
    <w:p>
      <w:pPr>
        <w:pStyle w:val="FirstParagraph"/>
      </w:pPr>
      <w:r>
        <w:drawing>
          <wp:inline>
            <wp:extent cx="4636008" cy="3477006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figures/fig_2a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008" cy="3477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43"/>
    <w:bookmarkStart w:id="47" w:name="X9cba55aab2d54e485a36837bbffe1f34587c74a"/>
    <w:p>
      <w:pPr>
        <w:pStyle w:val="Heading2"/>
      </w:pPr>
      <w:r>
        <w:t xml:space="preserve">Figura 2b: Resultados del análisis de riesgo para el componente de inmunidad para municipios con ≥100 000 menores de 15 años Guatemala, 2023.</w:t>
      </w:r>
    </w:p>
    <w:p>
      <w:pPr>
        <w:pStyle w:val="FirstParagraph"/>
      </w:pPr>
      <w:r>
        <w:drawing>
          <wp:inline>
            <wp:extent cx="4636008" cy="3477006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figures/fig_2b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008" cy="3477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47"/>
    <w:bookmarkStart w:id="51" w:name="X70290d0493a42c3523e566f7329588b18e5b0b9"/>
    <w:p>
      <w:pPr>
        <w:pStyle w:val="Heading2"/>
      </w:pPr>
      <w:r>
        <w:t xml:space="preserve">Figura 2c: Resultados del análisis de riesgo para el componente de inmunidad para municipios con &lt;100 000 menores de 15 años Guatemala, 2023.</w:t>
      </w:r>
    </w:p>
    <w:p>
      <w:pPr>
        <w:pStyle w:val="FirstParagraph"/>
      </w:pPr>
      <w:r>
        <w:drawing>
          <wp:inline>
            <wp:extent cx="4636008" cy="3477006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figures/fig_2c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008" cy="3477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51"/>
    <w:bookmarkEnd w:id="52"/>
    <w:bookmarkStart w:id="66" w:name="sección-3-vigilancia"/>
    <w:p>
      <w:pPr>
        <w:pStyle w:val="Heading1"/>
      </w:pPr>
      <w:r>
        <w:rPr>
          <w:bCs/>
          <w:b/>
        </w:rPr>
        <w:t xml:space="preserve">Sección 3: Vigilancia</w:t>
      </w:r>
    </w:p>
    <w:bookmarkStart w:id="53" w:name="Xfdf754e8d3af32933df9c38176c3b9f6c56f2e2"/>
    <w:p>
      <w:pPr>
        <w:pStyle w:val="Heading2"/>
      </w:pPr>
      <w:r>
        <w:t xml:space="preserve">Tabla 3a: Tabla resumen de resultados, Guatemala, 2023.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440"/>
        <w:gridCol w:w="1440"/>
        <w:gridCol w:w="1440"/>
        <w:gridCol w:w="1440"/>
        <w:gridCol w:w="1440"/>
        <w:gridCol w:w="1440"/>
      </w:tblGrid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Categorías de riesgo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Número de municipios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% de municipios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&lt;1 (%)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&lt;5 (%)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&lt;15 (%)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bajo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40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11.8%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9.34%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medio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6.5%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8.66%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alto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34.4%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39.07%</w:t>
            </w:r>
          </w:p>
        </w:tc>
      </w:tr>
      <w:tr>
        <w:trPr>
          <w:trHeight w:val="360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muy alto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47.4%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42.93%</w:t>
            </w:r>
          </w:p>
        </w:tc>
      </w:tr>
      <w:tr>
        <w:trPr>
          <w:trHeight w:val="360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Total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100.0%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100.00%</w:t>
            </w:r>
          </w:p>
        </w:tc>
      </w:tr>
      <w:tr>
        <w:trPr>
          <w:trHeight w:val="360" w:hRule="auto"/>
        </w:trPr>
        footer1
        <w:tc>
          <w:tcPr>
            <w:gridSpan w:val="6"/>
            <w:tcBorders>
              <w:bottom w:val="none" w:sz="0" w:space="0" w:color="FFFFFF"/>
              <w:top w:val="single" w:sz="12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Respecto a la población total de ese grupo de edad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; </w:t>
            </w:r>
          </w:p>
        </w:tc>
      </w:tr>
    </w:tbl>
    <w:p>
      <w:r>
        <w:br w:type="page"/>
      </w:r>
    </w:p>
    <w:bookmarkEnd w:id="53"/>
    <w:bookmarkStart w:id="57" w:name="Xf84f1cf8d1f8ff44514168b433c7d4a4d382cf0"/>
    <w:p>
      <w:pPr>
        <w:pStyle w:val="Heading2"/>
      </w:pPr>
      <w:r>
        <w:t xml:space="preserve">Figura 3a: Resultados del análisis de riesgo para el componente de vigilancia Guatemala, 2023.</w:t>
      </w:r>
    </w:p>
    <w:p>
      <w:pPr>
        <w:pStyle w:val="FirstParagraph"/>
      </w:pPr>
      <w:r>
        <w:drawing>
          <wp:inline>
            <wp:extent cx="4636008" cy="3477006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figures/fig_3a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008" cy="3477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57"/>
    <w:bookmarkStart w:id="61" w:name="X8e86ad45a35ddf8e18d50cb7307ba99d44b0692"/>
    <w:p>
      <w:pPr>
        <w:pStyle w:val="Heading2"/>
      </w:pPr>
      <w:r>
        <w:t xml:space="preserve">Figura 3b: Resultados del análisis de riesgo para el componente de vigilancia para municipios con &gt;100 000 menores de 15 años Guatemala, 2023.</w:t>
      </w:r>
    </w:p>
    <w:p>
      <w:pPr>
        <w:pStyle w:val="FirstParagraph"/>
      </w:pPr>
      <w:r>
        <w:drawing>
          <wp:inline>
            <wp:extent cx="4636008" cy="3477006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figures/fig_3b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008" cy="3477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61"/>
    <w:bookmarkStart w:id="65" w:name="Xeb70b7710c936f64fbcdccf6d78f3d652c3aedc"/>
    <w:p>
      <w:pPr>
        <w:pStyle w:val="Heading2"/>
      </w:pPr>
      <w:r>
        <w:t xml:space="preserve">Figura 3c: Resultados del análisis de riesgo para el componente de vigilancia para municipios con &lt;100 000 menores de 15 años Guatemala, 2023.</w:t>
      </w:r>
    </w:p>
    <w:p>
      <w:pPr>
        <w:pStyle w:val="FirstParagraph"/>
      </w:pPr>
      <w:r>
        <w:drawing>
          <wp:inline>
            <wp:extent cx="4636008" cy="3477006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figures/fig_3c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008" cy="3477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65"/>
    <w:bookmarkEnd w:id="66"/>
    <w:bookmarkStart w:id="67" w:name="sección-4-completitud-del-dato"/>
    <w:p>
      <w:pPr>
        <w:pStyle w:val="Heading1"/>
      </w:pPr>
      <w:r>
        <w:rPr>
          <w:bCs/>
          <w:b/>
        </w:rPr>
        <w:t xml:space="preserve">Sección 4: Completitud del dato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5913"/>
        <w:gridCol w:w="778"/>
      </w:tblGrid>
      <w:tr>
        <w:trPr>
          <w:trHeight w:val="618" w:hRule="auto"/>
        </w:trPr>
        body1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Municipios del país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340</w:t>
            </w:r>
          </w:p>
        </w:tc>
      </w:tr>
      <w:tr>
        <w:trPr>
          <w:trHeight w:val="619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Municipios para los que se incluyó información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340</w:t>
            </w:r>
          </w:p>
        </w:tc>
      </w:tr>
      <w:tr>
        <w:trPr>
          <w:trHeight w:val="619" w:hRule="auto"/>
        </w:trPr>
        body3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Municipios para los que se incluyó información completa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</w:tbl>
    <w:p>
      <w:r>
        <w:br w:type="page"/>
      </w:r>
    </w:p>
    <w:bookmarkEnd w:id="67"/>
    <w:bookmarkStart w:id="71" w:name="sección-5-categorías-de-riesgo"/>
    <w:p>
      <w:pPr>
        <w:pStyle w:val="Heading1"/>
      </w:pPr>
      <w:r>
        <w:rPr>
          <w:bCs/>
          <w:b/>
        </w:rPr>
        <w:t xml:space="preserve">Sección 5: Categorías de riesgo</w:t>
      </w:r>
    </w:p>
    <w:p>
      <w:pPr>
        <w:pStyle w:val="FirstParagraph"/>
      </w:pPr>
      <w:r>
        <w:drawing>
          <wp:inline>
            <wp:extent cx="5943600" cy="4758671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../R/cut_offs_excel/cutoffs_SPA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8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1"/>
    <w:sectPr w:rsidR="000B5FFA" w:rsidRPr="00A25D43">
      <w:pgSz w:h="15840" w:w="12240"/>
      <w:pgMar w:bottom="1440" w:footer="708" w:gutter="0" w:header="708" w:left="1440" w:right="1440" w:top="1440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embedSystemFonts/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3"/>
  <w:proofState w:grammar="clean"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T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kern w:val="2"/>
        <w:sz w:val="24"/>
        <w:szCs w:val="24"/>
        <w:lang w:bidi="ar-SA" w:eastAsia="en-US" w:val="en-GT"/>
        <w14:ligatures w14:val="standardContextual"/>
      </w:rPr>
    </w:rPrDefault>
    <w:pPrDefault/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qFormat="1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  <w:rPr>
      <w:lang w:val="es-ES"/>
    </w:rPr>
  </w:style>
  <w:style w:styleId="Heading1" w:type="paragraph">
    <w:name w:val="heading 1"/>
    <w:basedOn w:val="Normal"/>
    <w:next w:val="BodyText"/>
    <w:link w:val="Heading1Char"/>
    <w:uiPriority w:val="9"/>
    <w:qFormat/>
    <w:rsid w:val="00036335"/>
    <w:pPr>
      <w:keepNext/>
      <w:keepLines/>
      <w:spacing w:before="480"/>
      <w:outlineLvl w:val="0"/>
    </w:pPr>
    <w:rPr>
      <w:rFonts w:ascii="Calibri" w:cstheme="majorBidi" w:eastAsiaTheme="majorEastAsia" w:hAnsi="Calibri"/>
      <w:b/>
      <w:bCs/>
      <w:color w:themeColor="accent1" w:val="4472C4"/>
      <w:kern w:val="0"/>
      <w:sz w:val="22"/>
      <w:szCs w:val="32"/>
      <w:lang w:val="en-US"/>
      <w14:ligatures w14:val="none"/>
    </w:rPr>
  </w:style>
  <w:style w:styleId="Heading2" w:type="paragraph">
    <w:name w:val="heading 2"/>
    <w:basedOn w:val="Normal"/>
    <w:next w:val="Normal"/>
    <w:link w:val="Heading2Char"/>
    <w:uiPriority w:val="9"/>
    <w:semiHidden/>
    <w:unhideWhenUsed/>
    <w:qFormat/>
    <w:rsid w:val="00036335"/>
    <w:pPr>
      <w:keepNext/>
      <w:keepLines/>
      <w:spacing w:before="40"/>
      <w:outlineLvl w:val="1"/>
    </w:pPr>
    <w:rPr>
      <w:rFonts w:cstheme="majorBidi" w:eastAsiaTheme="majorEastAsia"/>
      <w:color w:themeColor="accent1" w:themeShade="BF" w:val="2F5496"/>
      <w:sz w:val="22"/>
      <w:szCs w:val="26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036335"/>
    <w:rPr>
      <w:rFonts w:ascii="Calibri" w:cstheme="majorBidi" w:eastAsiaTheme="majorEastAsia" w:hAnsi="Calibri"/>
      <w:b/>
      <w:bCs/>
      <w:color w:themeColor="accent1" w:val="4472C4"/>
      <w:kern w:val="0"/>
      <w:sz w:val="22"/>
      <w:szCs w:val="32"/>
      <w:lang w:val="en-US"/>
      <w14:ligatures w14:val="none"/>
    </w:rPr>
  </w:style>
  <w:style w:customStyle="1" w:styleId="FirstParagraph" w:type="paragraph">
    <w:name w:val="First Paragraph"/>
    <w:basedOn w:val="BodyText"/>
    <w:next w:val="BodyText"/>
    <w:qFormat/>
    <w:rsid w:val="00036335"/>
    <w:pPr>
      <w:spacing w:after="180" w:before="180"/>
    </w:pPr>
    <w:rPr>
      <w:kern w:val="0"/>
      <w:sz w:val="22"/>
      <w:lang w:val="en-US"/>
      <w14:ligatures w14:val="none"/>
    </w:rPr>
  </w:style>
  <w:style w:styleId="Title" w:type="paragraph">
    <w:name w:val="Title"/>
    <w:basedOn w:val="Normal"/>
    <w:next w:val="BodyText"/>
    <w:link w:val="TitleChar"/>
    <w:qFormat/>
    <w:rsid w:val="00036335"/>
    <w:pPr>
      <w:keepNext/>
      <w:keepLines/>
      <w:spacing w:after="240" w:before="480"/>
      <w:jc w:val="center"/>
    </w:pPr>
    <w:rPr>
      <w:rFonts w:cstheme="majorBidi" w:eastAsiaTheme="majorEastAsia"/>
      <w:b/>
      <w:bCs/>
      <w:color w:themeColor="accent1" w:themeShade="B5" w:val="2D4F8E"/>
      <w:kern w:val="0"/>
      <w:sz w:val="22"/>
      <w:szCs w:val="36"/>
      <w:lang w:val="en-US"/>
      <w14:ligatures w14:val="none"/>
    </w:rPr>
  </w:style>
  <w:style w:customStyle="1" w:styleId="TitleChar" w:type="character">
    <w:name w:val="Title Char"/>
    <w:basedOn w:val="DefaultParagraphFont"/>
    <w:link w:val="Title"/>
    <w:rsid w:val="00036335"/>
    <w:rPr>
      <w:rFonts w:cstheme="majorBidi" w:eastAsiaTheme="majorEastAsia"/>
      <w:b/>
      <w:bCs/>
      <w:color w:themeColor="accent1" w:themeShade="B5" w:val="2D4F8E"/>
      <w:kern w:val="0"/>
      <w:sz w:val="22"/>
      <w:szCs w:val="36"/>
      <w:lang w:val="en-US"/>
      <w14:ligatures w14:val="none"/>
    </w:rPr>
  </w:style>
  <w:style w:customStyle="1" w:styleId="Author" w:type="paragraph">
    <w:name w:val="Author"/>
    <w:next w:val="BodyText"/>
    <w:qFormat/>
    <w:rsid w:val="00A25D43"/>
    <w:pPr>
      <w:keepNext/>
      <w:keepLines/>
      <w:spacing w:after="200"/>
      <w:jc w:val="center"/>
    </w:pPr>
    <w:rPr>
      <w:kern w:val="0"/>
      <w:lang w:val="en-US"/>
      <w14:ligatures w14:val="none"/>
    </w:rPr>
  </w:style>
  <w:style w:styleId="Date" w:type="paragraph">
    <w:name w:val="Date"/>
    <w:next w:val="BodyText"/>
    <w:link w:val="DateChar"/>
    <w:qFormat/>
    <w:rsid w:val="00A25D43"/>
    <w:pPr>
      <w:keepNext/>
      <w:keepLines/>
      <w:spacing w:after="200"/>
      <w:jc w:val="center"/>
    </w:pPr>
    <w:rPr>
      <w:kern w:val="0"/>
      <w:lang w:val="en-US"/>
      <w14:ligatures w14:val="none"/>
    </w:rPr>
  </w:style>
  <w:style w:customStyle="1" w:styleId="DateChar" w:type="character">
    <w:name w:val="Date Char"/>
    <w:basedOn w:val="DefaultParagraphFont"/>
    <w:link w:val="Date"/>
    <w:rsid w:val="00A25D43"/>
    <w:rPr>
      <w:kern w:val="0"/>
      <w:lang w:val="en-US"/>
      <w14:ligatures w14:val="none"/>
    </w:rPr>
  </w:style>
  <w:style w:styleId="CommentReference" w:type="character">
    <w:name w:val="annotation reference"/>
    <w:basedOn w:val="DefaultParagraphFont"/>
    <w:rsid w:val="00A25D43"/>
    <w:rPr>
      <w:sz w:val="16"/>
      <w:szCs w:val="16"/>
    </w:rPr>
  </w:style>
  <w:style w:styleId="CommentText" w:type="paragraph">
    <w:name w:val="annotation text"/>
    <w:basedOn w:val="Normal"/>
    <w:link w:val="CommentTextChar"/>
    <w:rsid w:val="00A25D43"/>
    <w:pPr>
      <w:spacing w:after="200"/>
    </w:pPr>
    <w:rPr>
      <w:kern w:val="0"/>
      <w:sz w:val="20"/>
      <w:szCs w:val="20"/>
      <w:lang w:val="en-US"/>
      <w14:ligatures w14:val="none"/>
    </w:rPr>
  </w:style>
  <w:style w:customStyle="1" w:styleId="CommentTextChar" w:type="character">
    <w:name w:val="Comment Text Char"/>
    <w:basedOn w:val="DefaultParagraphFont"/>
    <w:link w:val="CommentText"/>
    <w:rsid w:val="00A25D43"/>
    <w:rPr>
      <w:kern w:val="0"/>
      <w:sz w:val="20"/>
      <w:szCs w:val="20"/>
      <w:lang w:val="en-US"/>
      <w14:ligatures w14:val="none"/>
    </w:rPr>
  </w:style>
  <w:style w:styleId="BodyText" w:type="paragraph">
    <w:name w:val="Body Text"/>
    <w:basedOn w:val="Normal"/>
    <w:link w:val="BodyTextChar"/>
    <w:uiPriority w:val="99"/>
    <w:semiHidden/>
    <w:unhideWhenUsed/>
    <w:rsid w:val="00A25D43"/>
    <w:pPr>
      <w:spacing w:after="120"/>
    </w:pPr>
  </w:style>
  <w:style w:customStyle="1" w:styleId="BodyTextChar" w:type="character">
    <w:name w:val="Body Text Char"/>
    <w:basedOn w:val="DefaultParagraphFont"/>
    <w:link w:val="BodyText"/>
    <w:uiPriority w:val="99"/>
    <w:semiHidden/>
    <w:rsid w:val="00A25D43"/>
    <w:rPr>
      <w:lang w:val="es-ES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036335"/>
    <w:rPr>
      <w:rFonts w:cstheme="majorBidi" w:eastAsiaTheme="majorEastAsia"/>
      <w:color w:themeColor="accent1" w:themeShade="BF" w:val="2F5496"/>
      <w:sz w:val="22"/>
      <w:szCs w:val="26"/>
      <w:lang w:val="es-ES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68" Target="media/rId68.png" /><Relationship Type="http://schemas.openxmlformats.org/officeDocument/2006/relationships/image" Id="rId20" Target="media/rId20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95</Words>
  <Characters>548</Characters>
  <Application>Microsoft Office Word</Application>
  <DocSecurity>0</DocSecurity>
  <Lines>4</Lines>
  <Paragraphs>1</Paragraphs>
  <ScaleCrop>false</ScaleCrop>
  <Company/>
  <LinksUpToDate>false</LinksUpToDate>
  <CharactersWithSpaces>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Guatemala</dc:title>
  <dc:creator>Resultados del análisis de riesgo para polio del nivel municipal, 09.02.2024</dc:creator>
  <cp:keywords/>
  <dcterms:created xsi:type="dcterms:W3CDTF">2024-02-09T18:15:12Z</dcterms:created>
  <dcterms:modified xsi:type="dcterms:W3CDTF">2024-02-09T18:15:12Z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/>
  </property>
  <property fmtid="{D5CDD505-2E9C-101B-9397-08002B2CF9AE}" pid="3" name="output">
    <vt:lpwstr/>
  </property>
</Properties>
</file>