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18.01.2024</w:t>
      </w:r>
    </w:p>
    <w:p>
      <w:pPr>
        <w:pStyle w:val="Date"/>
      </w:pPr>
      <w:r>
        <w:drawing>
          <wp:inline>
            <wp:extent cx="1188720" cy="6736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alto, con base a la puntación final obtenida. El puntaje para cada indicador fue realizado por consenso de expertos. El rango de puntajes posibles va de 0 a 100 puntos de riesgo, según la siguiente tabla: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453"/>
        <w:gridCol w:w="2893"/>
      </w:tblGrid>
      <w:tr>
        <w:trPr>
          <w:trHeight w:val="62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de puntos de riesgo</w:t>
            </w:r>
          </w:p>
        </w:tc>
      </w:tr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Menos de 35 puntos</w:t>
            </w:r>
          </w:p>
        </w:tc>
      </w:tr>
      <w:tr>
        <w:trPr>
          <w:trHeight w:val="61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35 y 48 puntos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49 y 60 puntos</w:t>
            </w:r>
          </w:p>
        </w:tc>
      </w:tr>
      <w:tr>
        <w:trPr>
          <w:trHeight w:val="618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como de riesgo muy alto, 84 (24.7%) fueron categorizados como de riesgo alto, 95 (27.9%) fueron categorizados como de riesgo medio, y 33 (9.7%) de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820"/>
        <w:gridCol w:w="1878"/>
      </w:tblGrid>
      <w:tr>
        <w:trPr>
          <w:trHeight w:val="618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total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5,530,551</w:t>
            </w:r>
          </w:p>
        </w:tc>
      </w:tr>
      <w:tr>
        <w:trPr>
          <w:trHeight w:val="61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 en 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Esquema de vacunación contra la polio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</w:t>
            </w:r>
          </w:p>
        </w:tc>
      </w:tr>
      <w:tr>
        <w:trPr>
          <w:trHeight w:val="619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93%</w:t>
            </w:r>
          </w:p>
        </w:tc>
      </w:tr>
      <w:tr>
        <w:trPr>
          <w:trHeight w:val="61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86%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</w:t>
            </w:r>
          </w:p>
        </w:tc>
      </w:tr>
      <w:tr>
        <w:trPr>
          <w:trHeight w:val="61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</w:t>
            </w:r>
          </w:p>
        </w:tc>
      </w:tr>
      <w:tr>
        <w:trPr>
          <w:trHeight w:val="576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Tasa de PFA nacional del último año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</w:tr>
    </w:tbl>
    <w:bookmarkEnd w:id="24"/>
    <w:bookmarkStart w:id="25" w:name="X14b959f332b1f51833c1426d829cb86e0d197dd"/>
    <w:p>
      <w:pPr>
        <w:pStyle w:val="Heading2"/>
      </w:pPr>
      <w:r>
        <w:t xml:space="preserve">Tabla 1b: Resultados del análisis de riesgo municipal,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6.91%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19.01%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21.90%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52.18%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25"/>
    <w:bookmarkStart w:id="29" w:name="X7bd9033861a16da6d169f10bb60edcf633b0e11"/>
    <w:p>
      <w:pPr>
        <w:pStyle w:val="Heading2"/>
      </w:pPr>
      <w:r>
        <w:t xml:space="preserve">Figura 1a: Resultados del análisis de riesgo municipal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</w:tbl>
    <w:p>
      <w:r>
        <w:br w:type="page"/>
      </w:r>
    </w:p>
    <w:bookmarkEnd w:id="29"/>
    <w:bookmarkStart w:id="33" w:name="X49f628b9a8d66188e53e0e44d5678306d78fe59"/>
    <w:p>
      <w:pPr>
        <w:pStyle w:val="Heading2"/>
      </w:pPr>
      <w:r>
        <w:t xml:space="preserve">Figura 1b: Resultados del análisis de riesgo municipal para los municipios con ≥100,000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</w:tbl>
    <w:p>
      <w:r>
        <w:br w:type="page"/>
      </w:r>
    </w:p>
    <w:bookmarkEnd w:id="33"/>
    <w:bookmarkStart w:id="37" w:name="X9cb665c2de14f701c833c37f608b8f21c01598a"/>
    <w:p>
      <w:pPr>
        <w:pStyle w:val="Heading2"/>
      </w:pPr>
      <w:r>
        <w:t xml:space="preserve">Figura 1c: Resultados del análisis de riesgo municipal para los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</w:tbl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Xbe479054a97ed5444a8287c667a4c4509c3b1dc"/>
    <w:p>
      <w:pPr>
        <w:pStyle w:val="Heading2"/>
      </w:pPr>
      <w:r>
        <w:t xml:space="preserve">Tabla 2a: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30.6%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20.51%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15.3%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14.19%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14.49%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50.81%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39"/>
    <w:bookmarkStart w:id="43" w:name="Xa921307bca505fd468c2723cf0b3dec02ab5f38"/>
    <w:p>
      <w:pPr>
        <w:pStyle w:val="Heading2"/>
      </w:pPr>
      <w:r>
        <w:t xml:space="preserve">Figura 2a: Resultados del análisis de riesgo para el componente de inmunidad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&lt;100000 hábitantes menores de 15 años que no haya tenido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</w:tbl>
    <w:p>
      <w:r>
        <w:br w:type="page"/>
      </w:r>
    </w:p>
    <w:bookmarkEnd w:id="43"/>
    <w:bookmarkStart w:id="47" w:name="X9cba55aab2d54e485a36837bbffe1f34587c74a"/>
    <w:p>
      <w:pPr>
        <w:pStyle w:val="Heading2"/>
      </w:pPr>
      <w:r>
        <w:t xml:space="preserve">Figura 2b: Resultados del análisis de riesgo para el componente de inmunidad para municipios con ≥100 000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</w:t>
            </w:r>
          </w:p>
        </w:tc>
      </w:tr>
    </w:tbl>
    <w:p>
      <w:r>
        <w:br w:type="page"/>
      </w:r>
    </w:p>
    <w:bookmarkEnd w:id="47"/>
    <w:bookmarkStart w:id="51" w:name="X70290d0493a42c3523e566f7329588b18e5b0b9"/>
    <w:p>
      <w:pPr>
        <w:pStyle w:val="Heading2"/>
      </w:pPr>
      <w:r>
        <w:t xml:space="preserve">Figura 2c: Resultados del análisis de riesgo para el componente de inmunidad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&lt;100000 hábitantes menores de 15 años que no haya tenido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</w:tbl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Xfdf754e8d3af32933df9c38176c3b9f6c56f2e2"/>
    <w:p>
      <w:pPr>
        <w:pStyle w:val="Heading2"/>
      </w:pPr>
      <w:r>
        <w:t xml:space="preserve">Tabla 3a: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11.8%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9.34%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8.66%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39.07%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42.93%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53"/>
    <w:bookmarkStart w:id="57" w:name="Xf84f1cf8d1f8ff44514168b433c7d4a4d382cf0"/>
    <w:p>
      <w:pPr>
        <w:pStyle w:val="Heading2"/>
      </w:pPr>
      <w:r>
        <w:t xml:space="preserve">Figura 3a: Resultados del análisis de riesgo para el componente de vigilancia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&lt;100000 hábitantes menores de 15 años que no haya tenido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</w:tbl>
    <w:p>
      <w:r>
        <w:br w:type="page"/>
      </w:r>
    </w:p>
    <w:bookmarkEnd w:id="57"/>
    <w:bookmarkStart w:id="61" w:name="X8e86ad45a35ddf8e18d50cb7307ba99d44b0692"/>
    <w:p>
      <w:pPr>
        <w:pStyle w:val="Heading2"/>
      </w:pPr>
      <w:r>
        <w:t xml:space="preserve">Figura 3b: Resultados del análisis de riesgo para el componente de vigilancia para municipios con &gt;100 000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</w:tbl>
    <w:p>
      <w:r>
        <w:br w:type="page"/>
      </w:r>
    </w:p>
    <w:bookmarkEnd w:id="61"/>
    <w:bookmarkStart w:id="65" w:name="Xeb70b7710c936f64fbcdccf6d78f3d652c3aedc"/>
    <w:p>
      <w:pPr>
        <w:pStyle w:val="Heading2"/>
      </w:pPr>
      <w:r>
        <w:t xml:space="preserve">Figura 3c: Resultados del análisis de riesgo para el componente de vigilancia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≥100 000 hábitantes menores de 15 años o con &lt;100 000 hábitantes menores de 15 años, pero que tuvo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41"/>
        <w:gridCol w:w="851"/>
        <w:gridCol w:w="1010"/>
        <w:gridCol w:w="790"/>
        <w:gridCol w:w="1242"/>
      </w:tblGrid>
      <w:tr>
        <w:trPr>
          <w:trHeight w:val="617" w:hRule="auto"/>
          <w:tblHeader/>
        </w:trPr>
        header1
        <w:tc>
          <w:tcPr>
            <w:gridSpan w:val="5"/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&lt;100000 hábitantes menores de 15 años que no haya tenido casos de PFA en el último año</w:t>
            </w:r>
          </w:p>
        </w:tc>
      </w:tr>
      <w:tr>
        <w:trPr>
          <w:trHeight w:val="617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Bajo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Alto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Muy alto</w:t>
            </w:r>
          </w:p>
        </w:tc>
      </w:tr>
      <w:tr>
        <w:trPr>
          <w:trHeight w:val="576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mínimo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6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Límite máximo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</w:tbl>
    <w:p>
      <w:r>
        <w:br w:type="page"/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913"/>
        <w:gridCol w:w="778"/>
      </w:tblGrid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del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 completa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</w:tbl>
    <w:bookmarkEnd w:id="67"/>
    <w:bookmarkStart w:id="71" w:name="sección-5-categorías-de-riesgo"/>
    <w:p>
      <w:pPr>
        <w:pStyle w:val="Heading1"/>
      </w:pPr>
      <w:r>
        <w:rPr>
          <w:bCs/>
          <w:b/>
        </w:rPr>
        <w:t xml:space="preserve">Sección 5: Categorías de riesgo</w:t>
      </w:r>
    </w:p>
    <w:p>
      <w:pPr>
        <w:pStyle w:val="FirstParagraph"/>
      </w:pPr>
      <w:r>
        <w:drawing>
          <wp:inline>
            <wp:extent cx="3312302" cy="589564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R/cut_offs_excel/cutoffs_SP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02" cy="589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 w:rsidR="000B5FFA" w:rsidRPr="00A25D43"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3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T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qFormat="1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Pr>
      <w:lang w:val="es-ES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036335"/>
    <w:pPr>
      <w:keepNext/>
      <w:keepLines/>
      <w:spacing w:before="480"/>
      <w:outlineLvl w:val="0"/>
    </w:pPr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036335"/>
    <w:pPr>
      <w:keepNext/>
      <w:keepLines/>
      <w:spacing w:before="40"/>
      <w:outlineLvl w:val="1"/>
    </w:pPr>
    <w:rPr>
      <w:rFonts w:cstheme="majorBidi" w:eastAsiaTheme="majorEastAsia"/>
      <w:color w:themeColor="accent1" w:themeShade="BF" w:val="2F5496"/>
      <w:sz w:val="22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036335"/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customStyle="1" w:styleId="FirstParagraph" w:type="paragraph">
    <w:name w:val="First Paragraph"/>
    <w:basedOn w:val="BodyText"/>
    <w:next w:val="BodyText"/>
    <w:qFormat/>
    <w:rsid w:val="00036335"/>
    <w:pPr>
      <w:spacing w:after="180" w:before="180"/>
    </w:pPr>
    <w:rPr>
      <w:kern w:val="0"/>
      <w:sz w:val="22"/>
      <w:lang w:val="en-US"/>
      <w14:ligatures w14:val="none"/>
    </w:rPr>
  </w:style>
  <w:style w:styleId="Title" w:type="paragraph">
    <w:name w:val="Title"/>
    <w:basedOn w:val="Normal"/>
    <w:next w:val="BodyText"/>
    <w:link w:val="TitleChar"/>
    <w:qFormat/>
    <w:rsid w:val="00036335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TitleChar" w:type="character">
    <w:name w:val="Title Char"/>
    <w:basedOn w:val="DefaultParagraphFont"/>
    <w:link w:val="Title"/>
    <w:rsid w:val="00036335"/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Author" w:type="paragraph">
    <w:name w:val="Author"/>
    <w:next w:val="BodyText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styleId="Date" w:type="paragraph">
    <w:name w:val="Date"/>
    <w:next w:val="BodyText"/>
    <w:link w:val="DateChar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customStyle="1" w:styleId="DateChar" w:type="character">
    <w:name w:val="Date Char"/>
    <w:basedOn w:val="DefaultParagraphFont"/>
    <w:link w:val="Date"/>
    <w:rsid w:val="00A25D43"/>
    <w:rPr>
      <w:kern w:val="0"/>
      <w:lang w:val="en-US"/>
      <w14:ligatures w14:val="none"/>
    </w:rPr>
  </w:style>
  <w:style w:styleId="CommentReference" w:type="character">
    <w:name w:val="annotation reference"/>
    <w:basedOn w:val="DefaultParagraphFont"/>
    <w:rsid w:val="00A25D43"/>
    <w:rPr>
      <w:sz w:val="16"/>
      <w:szCs w:val="16"/>
    </w:rPr>
  </w:style>
  <w:style w:styleId="CommentText" w:type="paragraph">
    <w:name w:val="annotation text"/>
    <w:basedOn w:val="Normal"/>
    <w:link w:val="CommentTextChar"/>
    <w:rsid w:val="00A25D43"/>
    <w:pPr>
      <w:spacing w:after="200"/>
    </w:pPr>
    <w:rPr>
      <w:kern w:val="0"/>
      <w:sz w:val="20"/>
      <w:szCs w:val="20"/>
      <w:lang w:val="en-US"/>
      <w14:ligatures w14:val="none"/>
    </w:rPr>
  </w:style>
  <w:style w:customStyle="1" w:styleId="CommentTextChar" w:type="character">
    <w:name w:val="Comment Text Char"/>
    <w:basedOn w:val="DefaultParagraphFont"/>
    <w:link w:val="CommentText"/>
    <w:rsid w:val="00A25D43"/>
    <w:rPr>
      <w:kern w:val="0"/>
      <w:sz w:val="20"/>
      <w:szCs w:val="20"/>
      <w:lang w:val="en-US"/>
      <w14:ligatures w14:val="none"/>
    </w:rPr>
  </w:style>
  <w:style w:styleId="BodyText" w:type="paragraph">
    <w:name w:val="Body Text"/>
    <w:basedOn w:val="Normal"/>
    <w:link w:val="BodyTextChar"/>
    <w:uiPriority w:val="99"/>
    <w:semiHidden/>
    <w:unhideWhenUsed/>
    <w:rsid w:val="00A25D43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A25D43"/>
    <w:rPr>
      <w:lang w:val="es-ES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036335"/>
    <w:rPr>
      <w:rFonts w:cstheme="majorBidi" w:eastAsiaTheme="majorEastAsia"/>
      <w:color w:themeColor="accent1" w:themeShade="BF" w:val="2F5496"/>
      <w:sz w:val="22"/>
      <w:szCs w:val="26"/>
      <w:lang w:val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18.01.2024</dc:creator>
  <cp:keywords/>
  <dcterms:created xsi:type="dcterms:W3CDTF">2024-01-19T04:59:25Z</dcterms:created>
  <dcterms:modified xsi:type="dcterms:W3CDTF">2024-01-19T04:59:25Z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